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81" w:rsidRDefault="003B6981" w:rsidP="00140EBB">
      <w:pPr>
        <w:jc w:val="center"/>
        <w:rPr>
          <w:rFonts w:eastAsia="黑体"/>
          <w:b/>
          <w:sz w:val="30"/>
          <w:szCs w:val="30"/>
        </w:rPr>
      </w:pPr>
      <w:r>
        <w:rPr>
          <w:rFonts w:eastAsia="黑体"/>
          <w:b/>
          <w:sz w:val="30"/>
          <w:szCs w:val="30"/>
        </w:rPr>
        <w:t>关于</w:t>
      </w:r>
      <w:r w:rsidR="0004041B">
        <w:rPr>
          <w:rFonts w:eastAsia="黑体" w:hint="eastAsia"/>
          <w:b/>
          <w:sz w:val="30"/>
          <w:szCs w:val="30"/>
        </w:rPr>
        <w:t>调整</w:t>
      </w:r>
      <w:r w:rsidR="00140EBB">
        <w:rPr>
          <w:rFonts w:eastAsia="黑体" w:hint="eastAsia"/>
          <w:b/>
          <w:sz w:val="30"/>
          <w:szCs w:val="30"/>
        </w:rPr>
        <w:t>旗下</w:t>
      </w:r>
      <w:r w:rsidR="00275451">
        <w:rPr>
          <w:rFonts w:eastAsia="黑体" w:hint="eastAsia"/>
          <w:b/>
          <w:sz w:val="30"/>
          <w:szCs w:val="30"/>
        </w:rPr>
        <w:t>基金</w:t>
      </w:r>
      <w:r w:rsidR="00BD54A6">
        <w:rPr>
          <w:rFonts w:eastAsia="黑体" w:hint="eastAsia"/>
          <w:b/>
          <w:sz w:val="30"/>
          <w:szCs w:val="30"/>
        </w:rPr>
        <w:t>在</w:t>
      </w:r>
      <w:r w:rsidR="00C14F45" w:rsidRPr="00C14F45">
        <w:rPr>
          <w:rFonts w:eastAsia="黑体" w:hint="eastAsia"/>
          <w:b/>
          <w:sz w:val="30"/>
          <w:szCs w:val="30"/>
        </w:rPr>
        <w:t>信达证券</w:t>
      </w:r>
      <w:r w:rsidR="0004041B">
        <w:rPr>
          <w:rFonts w:eastAsia="黑体"/>
          <w:b/>
          <w:sz w:val="30"/>
          <w:szCs w:val="30"/>
        </w:rPr>
        <w:t>费率优惠活动</w:t>
      </w:r>
      <w:r>
        <w:rPr>
          <w:rFonts w:eastAsia="黑体"/>
          <w:b/>
          <w:sz w:val="30"/>
          <w:szCs w:val="30"/>
        </w:rPr>
        <w:t>的公告</w:t>
      </w:r>
    </w:p>
    <w:p w:rsidR="00B30B2F" w:rsidRDefault="00BC59C2" w:rsidP="009941E2">
      <w:pPr>
        <w:autoSpaceDE w:val="0"/>
        <w:autoSpaceDN w:val="0"/>
        <w:adjustRightInd w:val="0"/>
        <w:spacing w:line="360" w:lineRule="auto"/>
        <w:ind w:firstLineChars="200" w:firstLine="480"/>
        <w:rPr>
          <w:rFonts w:eastAsia="楷体_GB2312" w:hint="eastAsia"/>
          <w:sz w:val="24"/>
        </w:rPr>
      </w:pPr>
      <w:r w:rsidRPr="00BC59C2">
        <w:rPr>
          <w:rFonts w:eastAsia="楷体_GB2312" w:hint="eastAsia"/>
          <w:sz w:val="24"/>
        </w:rPr>
        <w:t>为更好为投资者提供服务，</w:t>
      </w:r>
      <w:r w:rsidR="00DC3969">
        <w:rPr>
          <w:rFonts w:eastAsia="楷体_GB2312" w:hint="eastAsia"/>
          <w:sz w:val="24"/>
        </w:rPr>
        <w:t>兴证全球</w:t>
      </w:r>
      <w:r w:rsidRPr="00BC59C2">
        <w:rPr>
          <w:rFonts w:eastAsia="楷体_GB2312" w:hint="eastAsia"/>
          <w:sz w:val="24"/>
        </w:rPr>
        <w:t>基金管理有限公司（以下简称“本公司”）经与</w:t>
      </w:r>
      <w:r w:rsidR="00C14F45" w:rsidRPr="00C14F45">
        <w:rPr>
          <w:rFonts w:eastAsia="楷体_GB2312" w:hint="eastAsia"/>
          <w:sz w:val="24"/>
        </w:rPr>
        <w:t>信达证券</w:t>
      </w:r>
      <w:r w:rsidR="0003669E">
        <w:rPr>
          <w:rFonts w:eastAsia="楷体_GB2312" w:hint="eastAsia"/>
          <w:sz w:val="24"/>
        </w:rPr>
        <w:t>股份有限公司</w:t>
      </w:r>
      <w:r w:rsidR="006416AF" w:rsidRPr="00BC59C2">
        <w:rPr>
          <w:rFonts w:eastAsia="楷体_GB2312" w:hint="eastAsia"/>
          <w:sz w:val="24"/>
        </w:rPr>
        <w:t>（以下简称</w:t>
      </w:r>
      <w:r w:rsidR="006F1BD9">
        <w:rPr>
          <w:rFonts w:eastAsia="楷体_GB2312" w:hint="eastAsia"/>
          <w:sz w:val="24"/>
        </w:rPr>
        <w:t>“</w:t>
      </w:r>
      <w:r w:rsidR="0019660B" w:rsidRPr="0019660B">
        <w:rPr>
          <w:rFonts w:eastAsia="楷体_GB2312" w:hint="eastAsia"/>
          <w:sz w:val="24"/>
        </w:rPr>
        <w:t>信达证券</w:t>
      </w:r>
      <w:r w:rsidR="006F1BD9">
        <w:rPr>
          <w:rFonts w:eastAsia="楷体_GB2312" w:hint="eastAsia"/>
          <w:sz w:val="24"/>
        </w:rPr>
        <w:t>”</w:t>
      </w:r>
      <w:r w:rsidR="006416AF" w:rsidRPr="00BC59C2">
        <w:rPr>
          <w:rFonts w:eastAsia="楷体_GB2312" w:hint="eastAsia"/>
          <w:sz w:val="24"/>
        </w:rPr>
        <w:t>）</w:t>
      </w:r>
      <w:r w:rsidRPr="00BC59C2">
        <w:rPr>
          <w:rFonts w:eastAsia="楷体_GB2312" w:hint="eastAsia"/>
          <w:sz w:val="24"/>
        </w:rPr>
        <w:t>协商一致，自</w:t>
      </w:r>
      <w:r w:rsidR="00DC3969">
        <w:rPr>
          <w:rFonts w:eastAsia="楷体_GB2312" w:hint="eastAsia"/>
          <w:sz w:val="24"/>
        </w:rPr>
        <w:t>2020</w:t>
      </w:r>
      <w:r w:rsidRPr="001C064A">
        <w:rPr>
          <w:rFonts w:eastAsia="楷体_GB2312" w:hint="eastAsia"/>
          <w:sz w:val="24"/>
        </w:rPr>
        <w:t>年</w:t>
      </w:r>
      <w:r w:rsidR="00841EC5">
        <w:rPr>
          <w:rFonts w:eastAsia="楷体_GB2312" w:hint="eastAsia"/>
          <w:sz w:val="24"/>
        </w:rPr>
        <w:t>12</w:t>
      </w:r>
      <w:r w:rsidRPr="001C064A">
        <w:rPr>
          <w:rFonts w:eastAsia="楷体_GB2312" w:hint="eastAsia"/>
          <w:sz w:val="24"/>
        </w:rPr>
        <w:t>月</w:t>
      </w:r>
      <w:r w:rsidR="0019660B">
        <w:rPr>
          <w:rFonts w:eastAsia="楷体_GB2312" w:hint="eastAsia"/>
          <w:sz w:val="24"/>
        </w:rPr>
        <w:t>16</w:t>
      </w:r>
      <w:r w:rsidRPr="001C064A">
        <w:rPr>
          <w:rFonts w:eastAsia="楷体_GB2312" w:hint="eastAsia"/>
          <w:sz w:val="24"/>
        </w:rPr>
        <w:t>日</w:t>
      </w:r>
      <w:r w:rsidRPr="00BC59C2">
        <w:rPr>
          <w:rFonts w:eastAsia="楷体_GB2312" w:hint="eastAsia"/>
          <w:sz w:val="24"/>
        </w:rPr>
        <w:t>起，本公司将不对</w:t>
      </w:r>
      <w:r w:rsidR="00E50348">
        <w:rPr>
          <w:rFonts w:eastAsia="楷体_GB2312" w:hint="eastAsia"/>
          <w:sz w:val="24"/>
        </w:rPr>
        <w:t>本公告</w:t>
      </w:r>
      <w:r w:rsidR="00E50348">
        <w:rPr>
          <w:rFonts w:eastAsia="楷体_GB2312"/>
          <w:sz w:val="24"/>
        </w:rPr>
        <w:t>所列</w:t>
      </w:r>
      <w:r w:rsidRPr="00BC59C2">
        <w:rPr>
          <w:rFonts w:eastAsia="楷体_GB2312" w:hint="eastAsia"/>
          <w:sz w:val="24"/>
        </w:rPr>
        <w:t>基金</w:t>
      </w:r>
      <w:r w:rsidR="002B7F8B" w:rsidRPr="00BC59C2">
        <w:rPr>
          <w:rFonts w:eastAsia="楷体_GB2312" w:hint="eastAsia"/>
          <w:sz w:val="24"/>
        </w:rPr>
        <w:t>参加</w:t>
      </w:r>
      <w:r w:rsidR="0019660B" w:rsidRPr="0019660B">
        <w:rPr>
          <w:rFonts w:eastAsia="楷体_GB2312" w:hint="eastAsia"/>
          <w:sz w:val="24"/>
        </w:rPr>
        <w:t>信达证券</w:t>
      </w:r>
      <w:r w:rsidR="002B7F8B" w:rsidRPr="00BC59C2">
        <w:rPr>
          <w:rFonts w:eastAsia="楷体_GB2312" w:hint="eastAsia"/>
          <w:sz w:val="24"/>
        </w:rPr>
        <w:t>申购费率优惠活动</w:t>
      </w:r>
      <w:r w:rsidRPr="00BC59C2">
        <w:rPr>
          <w:rFonts w:eastAsia="楷体_GB2312" w:hint="eastAsia"/>
          <w:sz w:val="24"/>
        </w:rPr>
        <w:t>（含定期定额投资）设折扣限制，具体优惠</w:t>
      </w:r>
      <w:r w:rsidRPr="0019660B">
        <w:rPr>
          <w:rFonts w:eastAsia="楷体_GB2312" w:hint="eastAsia"/>
          <w:sz w:val="24"/>
        </w:rPr>
        <w:t>费率以</w:t>
      </w:r>
      <w:r w:rsidR="0019660B" w:rsidRPr="0019660B">
        <w:rPr>
          <w:rFonts w:eastAsia="楷体_GB2312" w:hint="eastAsia"/>
          <w:sz w:val="24"/>
        </w:rPr>
        <w:t>信达证券</w:t>
      </w:r>
      <w:r w:rsidRPr="0019660B">
        <w:rPr>
          <w:rFonts w:eastAsia="楷体_GB2312" w:hint="eastAsia"/>
          <w:sz w:val="24"/>
        </w:rPr>
        <w:t>官方公告</w:t>
      </w:r>
      <w:r w:rsidRPr="00BC59C2">
        <w:rPr>
          <w:rFonts w:eastAsia="楷体_GB2312" w:hint="eastAsia"/>
          <w:sz w:val="24"/>
        </w:rPr>
        <w:t>为准。</w:t>
      </w:r>
      <w:r w:rsidR="00AC7961">
        <w:rPr>
          <w:rFonts w:eastAsia="楷体_GB2312" w:hint="eastAsia"/>
          <w:sz w:val="24"/>
        </w:rPr>
        <w:t>同时</w:t>
      </w:r>
      <w:r w:rsidRPr="00BC59C2">
        <w:rPr>
          <w:rFonts w:eastAsia="楷体_GB2312" w:hint="eastAsia"/>
          <w:sz w:val="24"/>
        </w:rPr>
        <w:t>现将具体有关事项公告如下：</w:t>
      </w:r>
    </w:p>
    <w:p w:rsidR="00C13454" w:rsidRDefault="009941E2" w:rsidP="008C5150">
      <w:pPr>
        <w:numPr>
          <w:ilvl w:val="0"/>
          <w:numId w:val="8"/>
        </w:numPr>
        <w:autoSpaceDE w:val="0"/>
        <w:autoSpaceDN w:val="0"/>
        <w:adjustRightInd w:val="0"/>
        <w:spacing w:line="360" w:lineRule="auto"/>
        <w:rPr>
          <w:rFonts w:eastAsia="楷体_GB2312" w:hint="eastAsia"/>
          <w:b/>
          <w:sz w:val="24"/>
        </w:rPr>
      </w:pPr>
      <w:r w:rsidRPr="005327A2">
        <w:rPr>
          <w:rFonts w:eastAsia="楷体_GB2312" w:hint="eastAsia"/>
          <w:b/>
          <w:sz w:val="24"/>
        </w:rPr>
        <w:t>适用基金</w:t>
      </w:r>
    </w:p>
    <w:tbl>
      <w:tblPr>
        <w:tblW w:w="5142"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1"/>
        <w:gridCol w:w="2616"/>
        <w:gridCol w:w="2196"/>
      </w:tblGrid>
      <w:tr w:rsidR="008C5150" w:rsidRPr="008C5150" w:rsidTr="008C5150">
        <w:tc>
          <w:tcPr>
            <w:tcW w:w="2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150" w:rsidRPr="008C5150" w:rsidRDefault="008C5150" w:rsidP="00021321">
            <w:pPr>
              <w:widowControl/>
              <w:spacing w:line="360" w:lineRule="auto"/>
              <w:jc w:val="center"/>
              <w:rPr>
                <w:rFonts w:ascii="楷体" w:eastAsia="楷体" w:hAnsi="楷体"/>
                <w:color w:val="222222"/>
                <w:kern w:val="0"/>
                <w:sz w:val="24"/>
              </w:rPr>
            </w:pPr>
            <w:r w:rsidRPr="008C5150">
              <w:rPr>
                <w:rFonts w:ascii="楷体" w:eastAsia="楷体" w:hAnsi="楷体"/>
                <w:b/>
                <w:color w:val="000000"/>
                <w:kern w:val="0"/>
                <w:sz w:val="24"/>
              </w:rPr>
              <w:t>基金名称</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150" w:rsidRPr="008C5150" w:rsidRDefault="008C5150" w:rsidP="00021321">
            <w:pPr>
              <w:widowControl/>
              <w:spacing w:line="360" w:lineRule="auto"/>
              <w:jc w:val="center"/>
              <w:rPr>
                <w:rFonts w:ascii="楷体" w:eastAsia="楷体" w:hAnsi="楷体"/>
                <w:color w:val="222222"/>
                <w:kern w:val="0"/>
                <w:sz w:val="24"/>
              </w:rPr>
            </w:pPr>
            <w:r w:rsidRPr="008C5150">
              <w:rPr>
                <w:rFonts w:ascii="楷体" w:eastAsia="楷体" w:hAnsi="楷体"/>
                <w:b/>
                <w:color w:val="000000"/>
                <w:kern w:val="0"/>
                <w:sz w:val="24"/>
              </w:rPr>
              <w:t>基金简称</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150" w:rsidRPr="008C5150" w:rsidRDefault="008C5150" w:rsidP="00021321">
            <w:pPr>
              <w:widowControl/>
              <w:spacing w:line="360" w:lineRule="auto"/>
              <w:jc w:val="center"/>
              <w:rPr>
                <w:rFonts w:ascii="楷体" w:eastAsia="楷体" w:hAnsi="楷体"/>
                <w:color w:val="222222"/>
                <w:kern w:val="0"/>
                <w:sz w:val="24"/>
              </w:rPr>
            </w:pPr>
            <w:r w:rsidRPr="008C5150">
              <w:rPr>
                <w:rFonts w:ascii="楷体" w:eastAsia="楷体" w:hAnsi="楷体"/>
                <w:b/>
                <w:color w:val="000000"/>
                <w:kern w:val="0"/>
                <w:sz w:val="24"/>
              </w:rPr>
              <w:t>基金代码</w:t>
            </w:r>
          </w:p>
        </w:tc>
      </w:tr>
      <w:tr w:rsidR="008C5150" w:rsidRPr="008C5150" w:rsidTr="008C5150">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兴全可转债混合型证券投资基金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兴全可转债混合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340001</w:t>
            </w:r>
          </w:p>
        </w:tc>
      </w:tr>
      <w:tr w:rsidR="008C5150" w:rsidRPr="008C5150" w:rsidTr="008C5150">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兴全全球视野股票型证券投资基金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兴全全球视野股票</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340006</w:t>
            </w:r>
          </w:p>
        </w:tc>
      </w:tr>
      <w:tr w:rsidR="008C5150" w:rsidRPr="008C5150" w:rsidTr="008C5150">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兴全社会责任混合型证券投资基金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兴全社会责任混合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340007</w:t>
            </w:r>
          </w:p>
        </w:tc>
      </w:tr>
      <w:tr w:rsidR="008C5150" w:rsidRPr="008C5150" w:rsidTr="008C5150">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兴全有机增长灵活配置混合型证券投资基金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兴全有机增长混合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340008</w:t>
            </w:r>
          </w:p>
        </w:tc>
      </w:tr>
      <w:tr w:rsidR="008C5150" w:rsidRPr="008C5150" w:rsidTr="008C5150">
        <w:tc>
          <w:tcPr>
            <w:tcW w:w="2331" w:type="pct"/>
            <w:tcBorders>
              <w:top w:val="single" w:sz="4" w:space="0" w:color="auto"/>
              <w:left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hint="eastAsia"/>
                <w:color w:val="000000"/>
                <w:kern w:val="0"/>
                <w:sz w:val="24"/>
                <w:bdr w:val="none" w:sz="0" w:space="0" w:color="auto" w:frame="1"/>
              </w:rPr>
            </w:pPr>
            <w:r w:rsidRPr="008C5150">
              <w:rPr>
                <w:rFonts w:ascii="楷体" w:eastAsia="楷体" w:hAnsi="楷体"/>
                <w:color w:val="000000"/>
                <w:kern w:val="0"/>
                <w:sz w:val="24"/>
                <w:bdr w:val="none" w:sz="0" w:space="0" w:color="auto" w:frame="1"/>
              </w:rPr>
              <w:t>兴全磐稳增利债券型证券投资基金</w:t>
            </w:r>
            <w:r w:rsidR="00D41E81">
              <w:rPr>
                <w:rFonts w:ascii="楷体" w:eastAsia="楷体" w:hAnsi="楷体" w:hint="eastAsia"/>
                <w:color w:val="000000"/>
                <w:kern w:val="0"/>
                <w:sz w:val="24"/>
                <w:bdr w:val="none" w:sz="0" w:space="0" w:color="auto" w:frame="1"/>
              </w:rPr>
              <w:t>A份额</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rPr>
            </w:pPr>
            <w:r w:rsidRPr="008C5150">
              <w:rPr>
                <w:rFonts w:ascii="楷体" w:eastAsia="楷体" w:hAnsi="楷体"/>
                <w:color w:val="000000"/>
                <w:kern w:val="0"/>
                <w:sz w:val="24"/>
                <w:bdr w:val="none" w:sz="0" w:space="0" w:color="auto" w:frame="1"/>
              </w:rPr>
              <w:t>兴全磐稳增利债券</w:t>
            </w:r>
            <w:r w:rsidRPr="008C5150">
              <w:rPr>
                <w:rFonts w:ascii="楷体" w:eastAsia="楷体" w:hAnsi="楷体" w:hint="eastAsia"/>
                <w:color w:val="000000"/>
                <w:kern w:val="0"/>
                <w:sz w:val="24"/>
                <w:bdr w:val="none" w:sz="0" w:space="0" w:color="auto" w:frame="1"/>
              </w:rPr>
              <w:t>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rPr>
            </w:pPr>
            <w:r w:rsidRPr="008C5150">
              <w:rPr>
                <w:rFonts w:ascii="楷体" w:eastAsia="楷体" w:hAnsi="楷体"/>
                <w:color w:val="000000"/>
                <w:kern w:val="0"/>
                <w:sz w:val="24"/>
                <w:bdr w:val="none" w:sz="0" w:space="0" w:color="auto" w:frame="1"/>
              </w:rPr>
              <w:t>340009</w:t>
            </w:r>
          </w:p>
        </w:tc>
      </w:tr>
      <w:tr w:rsidR="008C5150" w:rsidRPr="008C5150" w:rsidTr="008C5150">
        <w:tc>
          <w:tcPr>
            <w:tcW w:w="233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兴全新视野灵活配置定期开放混合型发起式证券投资基金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兴全新视野定开混合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001511</w:t>
            </w:r>
          </w:p>
        </w:tc>
      </w:tr>
      <w:tr w:rsidR="008C5150" w:rsidRPr="008C5150" w:rsidTr="008C5150">
        <w:trPr>
          <w:trHeight w:val="231"/>
        </w:trPr>
        <w:tc>
          <w:tcPr>
            <w:tcW w:w="2331" w:type="pct"/>
            <w:tcBorders>
              <w:left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兴全趋势投资混合型证券投资基金（LOF）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兴全趋势投资混合（LOF）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163402（前端）</w:t>
            </w:r>
          </w:p>
        </w:tc>
      </w:tr>
      <w:tr w:rsidR="008C5150" w:rsidRPr="008C5150" w:rsidTr="008C5150">
        <w:trPr>
          <w:trHeight w:val="231"/>
        </w:trPr>
        <w:tc>
          <w:tcPr>
            <w:tcW w:w="2331" w:type="pct"/>
            <w:tcBorders>
              <w:left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兴全合润分级混合型证券投资基金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兴全合润分级</w:t>
            </w:r>
            <w:r w:rsidRPr="008C5150">
              <w:rPr>
                <w:rFonts w:ascii="楷体" w:eastAsia="楷体" w:hAnsi="楷体" w:hint="eastAsia"/>
                <w:color w:val="000000"/>
                <w:kern w:val="0"/>
                <w:sz w:val="24"/>
                <w:bdr w:val="none" w:sz="0" w:space="0" w:color="auto" w:frame="1"/>
              </w:rPr>
              <w:t>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163406</w:t>
            </w:r>
            <w:r w:rsidRPr="008C5150">
              <w:rPr>
                <w:rFonts w:ascii="宋体" w:hAnsi="宋体" w:cs="宋体" w:hint="eastAsia"/>
                <w:color w:val="000000"/>
                <w:kern w:val="0"/>
                <w:sz w:val="24"/>
                <w:bdr w:val="none" w:sz="0" w:space="0" w:color="auto" w:frame="1"/>
              </w:rPr>
              <w:t> </w:t>
            </w:r>
          </w:p>
        </w:tc>
      </w:tr>
      <w:tr w:rsidR="008C5150" w:rsidRPr="008C5150" w:rsidTr="008C5150">
        <w:trPr>
          <w:trHeight w:val="231"/>
        </w:trPr>
        <w:tc>
          <w:tcPr>
            <w:tcW w:w="2331" w:type="pct"/>
            <w:tcBorders>
              <w:left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兴全沪深300指数增强型证券投资基金（LOF）</w:t>
            </w:r>
            <w:r w:rsidR="00D41E81">
              <w:rPr>
                <w:rFonts w:ascii="楷体" w:eastAsia="楷体" w:hAnsi="楷体" w:hint="eastAsia"/>
                <w:color w:val="000000"/>
                <w:kern w:val="0"/>
                <w:sz w:val="24"/>
                <w:bdr w:val="none" w:sz="0" w:space="0" w:color="auto" w:frame="1"/>
              </w:rPr>
              <w:t>A份额</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兴全沪深300指数（LOF）A</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163407（前端）</w:t>
            </w:r>
          </w:p>
        </w:tc>
      </w:tr>
      <w:tr w:rsidR="008C5150" w:rsidRPr="008C5150" w:rsidTr="008C5150">
        <w:trPr>
          <w:trHeight w:val="231"/>
        </w:trPr>
        <w:tc>
          <w:tcPr>
            <w:tcW w:w="2331" w:type="pct"/>
            <w:tcBorders>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兴全绿色投资混合型证券投资基金</w:t>
            </w:r>
            <w:r w:rsidRPr="008C5150">
              <w:rPr>
                <w:rFonts w:ascii="楷体" w:eastAsia="楷体" w:hAnsi="楷体"/>
                <w:color w:val="000000"/>
                <w:kern w:val="0"/>
                <w:sz w:val="24"/>
                <w:bdr w:val="none" w:sz="0" w:space="0" w:color="auto" w:frame="1"/>
              </w:rPr>
              <w:lastRenderedPageBreak/>
              <w:t>（LOF）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lastRenderedPageBreak/>
              <w:t>兴全绿色投资混合</w:t>
            </w:r>
            <w:r w:rsidRPr="008C5150">
              <w:rPr>
                <w:rFonts w:ascii="楷体" w:eastAsia="楷体" w:hAnsi="楷体"/>
                <w:color w:val="000000"/>
                <w:kern w:val="0"/>
                <w:sz w:val="24"/>
                <w:bdr w:val="none" w:sz="0" w:space="0" w:color="auto" w:frame="1"/>
              </w:rPr>
              <w:lastRenderedPageBreak/>
              <w:t>（LOF）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lastRenderedPageBreak/>
              <w:t>163409（前端）</w:t>
            </w:r>
          </w:p>
        </w:tc>
      </w:tr>
      <w:tr w:rsidR="008C5150" w:rsidRPr="008C5150" w:rsidTr="008C5150">
        <w:trPr>
          <w:trHeight w:val="231"/>
        </w:trPr>
        <w:tc>
          <w:tcPr>
            <w:tcW w:w="2331" w:type="pct"/>
            <w:tcBorders>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lastRenderedPageBreak/>
              <w:t>兴全轻资产投资混合型证券投资基金（LOF）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兴全轻资产混合（LOF）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163412（前端）</w:t>
            </w:r>
          </w:p>
        </w:tc>
      </w:tr>
      <w:tr w:rsidR="008C5150" w:rsidRPr="008C5150" w:rsidTr="008C5150">
        <w:trPr>
          <w:trHeight w:val="231"/>
        </w:trPr>
        <w:tc>
          <w:tcPr>
            <w:tcW w:w="2331" w:type="pct"/>
            <w:tcBorders>
              <w:left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兴全商业模式优选混合型证券投资基金（LOF）</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222222"/>
                <w:kern w:val="0"/>
                <w:sz w:val="24"/>
              </w:rPr>
            </w:pPr>
            <w:r w:rsidRPr="008C5150">
              <w:rPr>
                <w:rFonts w:ascii="楷体" w:eastAsia="楷体" w:hAnsi="楷体"/>
                <w:color w:val="000000"/>
                <w:kern w:val="0"/>
                <w:sz w:val="24"/>
                <w:bdr w:val="none" w:sz="0" w:space="0" w:color="auto" w:frame="1"/>
              </w:rPr>
              <w:t>兴全商业模式混合（LOF）</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163415（前端）</w:t>
            </w:r>
          </w:p>
        </w:tc>
      </w:tr>
      <w:tr w:rsidR="008C5150" w:rsidRPr="00122447" w:rsidTr="008C5150">
        <w:trPr>
          <w:trHeight w:val="231"/>
        </w:trPr>
        <w:tc>
          <w:tcPr>
            <w:tcW w:w="2331" w:type="pct"/>
            <w:tcBorders>
              <w:left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兴全精选混合型证券投资基金</w:t>
            </w:r>
          </w:p>
        </w:tc>
        <w:tc>
          <w:tcPr>
            <w:tcW w:w="1451"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兴全精选混合</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rsidR="008C5150" w:rsidRPr="008C5150" w:rsidRDefault="008C5150" w:rsidP="00021321">
            <w:pPr>
              <w:widowControl/>
              <w:spacing w:line="360" w:lineRule="auto"/>
              <w:jc w:val="left"/>
              <w:rPr>
                <w:rFonts w:ascii="楷体" w:eastAsia="楷体" w:hAnsi="楷体"/>
                <w:color w:val="000000"/>
                <w:kern w:val="0"/>
                <w:sz w:val="24"/>
                <w:bdr w:val="none" w:sz="0" w:space="0" w:color="auto" w:frame="1"/>
              </w:rPr>
            </w:pPr>
            <w:r w:rsidRPr="008C5150">
              <w:rPr>
                <w:rFonts w:ascii="楷体" w:eastAsia="楷体" w:hAnsi="楷体"/>
                <w:color w:val="000000"/>
                <w:kern w:val="0"/>
                <w:sz w:val="24"/>
                <w:bdr w:val="none" w:sz="0" w:space="0" w:color="auto" w:frame="1"/>
              </w:rPr>
              <w:t>163411</w:t>
            </w:r>
          </w:p>
        </w:tc>
      </w:tr>
    </w:tbl>
    <w:p w:rsidR="009941E2" w:rsidRPr="00275451" w:rsidRDefault="009941E2" w:rsidP="008C5150">
      <w:pPr>
        <w:widowControl/>
        <w:shd w:val="clear" w:color="auto" w:fill="FFFFFF"/>
        <w:spacing w:line="480" w:lineRule="auto"/>
        <w:rPr>
          <w:rFonts w:eastAsia="楷体_GB2312" w:hint="eastAsia"/>
          <w:b/>
          <w:sz w:val="24"/>
        </w:rPr>
      </w:pPr>
      <w:r w:rsidRPr="00275451">
        <w:rPr>
          <w:rFonts w:eastAsia="楷体_GB2312" w:hint="eastAsia"/>
          <w:b/>
          <w:sz w:val="24"/>
        </w:rPr>
        <w:t>二、申购费率优惠方式</w:t>
      </w:r>
    </w:p>
    <w:p w:rsidR="008529BF" w:rsidRPr="0019660B" w:rsidRDefault="009941E2" w:rsidP="00E27EC6">
      <w:pPr>
        <w:widowControl/>
        <w:shd w:val="clear" w:color="auto" w:fill="FFFFFF"/>
        <w:spacing w:line="360" w:lineRule="auto"/>
        <w:ind w:firstLine="482"/>
        <w:rPr>
          <w:rFonts w:eastAsia="楷体_GB2312" w:hint="eastAsia"/>
          <w:sz w:val="24"/>
        </w:rPr>
      </w:pPr>
      <w:r>
        <w:rPr>
          <w:rFonts w:eastAsia="楷体_GB2312" w:hint="eastAsia"/>
          <w:sz w:val="24"/>
        </w:rPr>
        <w:t>1</w:t>
      </w:r>
      <w:r w:rsidR="0029610E">
        <w:rPr>
          <w:rFonts w:eastAsia="楷体_GB2312" w:hint="eastAsia"/>
          <w:sz w:val="24"/>
        </w:rPr>
        <w:t>、</w:t>
      </w:r>
      <w:r w:rsidR="008529BF" w:rsidRPr="001C064A">
        <w:rPr>
          <w:rFonts w:eastAsia="楷体_GB2312" w:hint="eastAsia"/>
          <w:sz w:val="24"/>
        </w:rPr>
        <w:t>自</w:t>
      </w:r>
      <w:r w:rsidR="008529BF" w:rsidRPr="001C064A">
        <w:rPr>
          <w:rFonts w:eastAsia="楷体_GB2312" w:hint="eastAsia"/>
          <w:sz w:val="24"/>
        </w:rPr>
        <w:t>20</w:t>
      </w:r>
      <w:r w:rsidR="00522528">
        <w:rPr>
          <w:rFonts w:eastAsia="楷体_GB2312" w:hint="eastAsia"/>
          <w:sz w:val="24"/>
        </w:rPr>
        <w:t>20</w:t>
      </w:r>
      <w:r w:rsidR="00522528">
        <w:rPr>
          <w:rFonts w:eastAsia="楷体_GB2312" w:hint="eastAsia"/>
          <w:sz w:val="24"/>
        </w:rPr>
        <w:t>年</w:t>
      </w:r>
      <w:r w:rsidR="002365F7">
        <w:rPr>
          <w:rFonts w:eastAsia="楷体_GB2312" w:hint="eastAsia"/>
          <w:sz w:val="24"/>
        </w:rPr>
        <w:t>12</w:t>
      </w:r>
      <w:r w:rsidR="00496CA0" w:rsidRPr="001C064A">
        <w:rPr>
          <w:rFonts w:eastAsia="楷体_GB2312" w:hint="eastAsia"/>
          <w:sz w:val="24"/>
        </w:rPr>
        <w:t>月</w:t>
      </w:r>
      <w:r w:rsidR="0019660B">
        <w:rPr>
          <w:rFonts w:eastAsia="楷体_GB2312" w:hint="eastAsia"/>
          <w:sz w:val="24"/>
        </w:rPr>
        <w:t>16</w:t>
      </w:r>
      <w:r w:rsidR="00496CA0" w:rsidRPr="001C064A">
        <w:rPr>
          <w:rFonts w:eastAsia="楷体_GB2312" w:hint="eastAsia"/>
          <w:sz w:val="24"/>
        </w:rPr>
        <w:t>日</w:t>
      </w:r>
      <w:r w:rsidR="008529BF" w:rsidRPr="008529BF">
        <w:rPr>
          <w:rFonts w:eastAsia="楷体_GB2312" w:hint="eastAsia"/>
          <w:sz w:val="24"/>
        </w:rPr>
        <w:t>起，投资</w:t>
      </w:r>
      <w:r w:rsidR="008529BF" w:rsidRPr="0019660B">
        <w:rPr>
          <w:rFonts w:eastAsia="楷体_GB2312" w:hint="eastAsia"/>
          <w:sz w:val="24"/>
        </w:rPr>
        <w:t>者通过</w:t>
      </w:r>
      <w:r w:rsidR="0019660B" w:rsidRPr="0019660B">
        <w:rPr>
          <w:rFonts w:eastAsia="楷体_GB2312" w:hint="eastAsia"/>
          <w:sz w:val="24"/>
        </w:rPr>
        <w:t>信达证券</w:t>
      </w:r>
      <w:r w:rsidR="008529BF" w:rsidRPr="0019660B">
        <w:rPr>
          <w:rFonts w:eastAsia="楷体_GB2312" w:hint="eastAsia"/>
          <w:sz w:val="24"/>
        </w:rPr>
        <w:t>申购（包括定期定额申购）</w:t>
      </w:r>
      <w:r w:rsidR="002C5795" w:rsidRPr="0019660B">
        <w:rPr>
          <w:rFonts w:eastAsia="楷体" w:hint="eastAsia"/>
          <w:color w:val="000000"/>
          <w:kern w:val="0"/>
          <w:sz w:val="24"/>
          <w:bdr w:val="none" w:sz="0" w:space="0" w:color="auto" w:frame="1"/>
        </w:rPr>
        <w:t>上述</w:t>
      </w:r>
      <w:r w:rsidR="003B3686" w:rsidRPr="0019660B">
        <w:rPr>
          <w:rFonts w:eastAsia="楷体" w:hint="eastAsia"/>
          <w:color w:val="000000"/>
          <w:kern w:val="0"/>
          <w:sz w:val="24"/>
          <w:bdr w:val="none" w:sz="0" w:space="0" w:color="auto" w:frame="1"/>
        </w:rPr>
        <w:t>基金</w:t>
      </w:r>
      <w:r w:rsidR="008529BF" w:rsidRPr="0019660B">
        <w:rPr>
          <w:rFonts w:eastAsia="楷体_GB2312" w:hint="eastAsia"/>
          <w:sz w:val="24"/>
        </w:rPr>
        <w:t>，本公司将不对申购（包括定期定额申购）费率设折扣限制，原申购费率为固定费用的，则按原费率执行。具体优惠费率以</w:t>
      </w:r>
      <w:r w:rsidR="0019660B" w:rsidRPr="0019660B">
        <w:rPr>
          <w:rFonts w:eastAsia="楷体_GB2312" w:hint="eastAsia"/>
          <w:sz w:val="24"/>
        </w:rPr>
        <w:t>信达证券</w:t>
      </w:r>
      <w:r w:rsidR="008529BF" w:rsidRPr="0019660B">
        <w:rPr>
          <w:rFonts w:eastAsia="楷体_GB2312" w:hint="eastAsia"/>
          <w:sz w:val="24"/>
        </w:rPr>
        <w:t>官方公告为准。</w:t>
      </w:r>
    </w:p>
    <w:p w:rsidR="001C4B8D" w:rsidRDefault="009941E2" w:rsidP="00FD4F74">
      <w:pPr>
        <w:widowControl/>
        <w:shd w:val="clear" w:color="auto" w:fill="FFFFFF"/>
        <w:spacing w:line="360" w:lineRule="auto"/>
        <w:ind w:firstLine="482"/>
        <w:rPr>
          <w:rFonts w:eastAsia="楷体_GB2312" w:hint="eastAsia"/>
          <w:sz w:val="24"/>
        </w:rPr>
      </w:pPr>
      <w:r w:rsidRPr="0019660B">
        <w:rPr>
          <w:rFonts w:eastAsia="楷体_GB2312" w:hint="eastAsia"/>
          <w:sz w:val="24"/>
        </w:rPr>
        <w:t>2</w:t>
      </w:r>
      <w:r w:rsidR="0029610E" w:rsidRPr="0019660B">
        <w:rPr>
          <w:rFonts w:eastAsia="楷体_GB2312" w:hint="eastAsia"/>
          <w:sz w:val="24"/>
        </w:rPr>
        <w:t>、</w:t>
      </w:r>
      <w:r w:rsidR="008529BF" w:rsidRPr="0019660B">
        <w:rPr>
          <w:rFonts w:eastAsia="楷体_GB2312" w:hint="eastAsia"/>
          <w:sz w:val="24"/>
        </w:rPr>
        <w:t>基金费率详见基金合同、招募说明书（更新）等法律文件，以及本公司发布的最新业务公告。本次优惠活动仅适用于处于正常申购期的</w:t>
      </w:r>
      <w:r w:rsidR="008529BF" w:rsidRPr="008529BF">
        <w:rPr>
          <w:rFonts w:eastAsia="楷体_GB2312" w:hint="eastAsia"/>
          <w:sz w:val="24"/>
        </w:rPr>
        <w:t>前端收费模式基金，不包括各基金的后端收费模式的申购手续费及基金转换业务等其他业务的基金手续费。</w:t>
      </w:r>
      <w:r w:rsidR="004C169A">
        <w:rPr>
          <w:rFonts w:eastAsia="楷体_GB2312" w:hint="eastAsia"/>
          <w:sz w:val="24"/>
        </w:rPr>
        <w:t>上述优惠活动解释权</w:t>
      </w:r>
      <w:r w:rsidR="00547932">
        <w:rPr>
          <w:rFonts w:eastAsia="楷体_GB2312" w:hint="eastAsia"/>
          <w:sz w:val="24"/>
        </w:rPr>
        <w:t>归</w:t>
      </w:r>
      <w:r w:rsidR="0019660B" w:rsidRPr="0019660B">
        <w:rPr>
          <w:rFonts w:eastAsia="楷体_GB2312" w:hint="eastAsia"/>
          <w:sz w:val="24"/>
        </w:rPr>
        <w:t>信达证券</w:t>
      </w:r>
      <w:r w:rsidR="008529BF" w:rsidRPr="008529BF">
        <w:rPr>
          <w:rFonts w:eastAsia="楷体_GB2312" w:hint="eastAsia"/>
          <w:sz w:val="24"/>
        </w:rPr>
        <w:t>所有。</w:t>
      </w:r>
    </w:p>
    <w:p w:rsidR="003B6981" w:rsidRDefault="00E50348" w:rsidP="00340138">
      <w:pPr>
        <w:spacing w:line="360" w:lineRule="auto"/>
        <w:rPr>
          <w:rFonts w:eastAsia="楷体_GB2312"/>
          <w:b/>
          <w:sz w:val="24"/>
        </w:rPr>
      </w:pPr>
      <w:r>
        <w:rPr>
          <w:rFonts w:eastAsia="楷体_GB2312" w:hint="eastAsia"/>
          <w:b/>
          <w:sz w:val="24"/>
        </w:rPr>
        <w:t>三</w:t>
      </w:r>
      <w:r w:rsidR="003B6981">
        <w:rPr>
          <w:rFonts w:eastAsia="楷体_GB2312"/>
          <w:b/>
          <w:sz w:val="24"/>
        </w:rPr>
        <w:t>、投资者可通过以下途径咨询详情</w:t>
      </w:r>
    </w:p>
    <w:p w:rsidR="005327A2" w:rsidRDefault="0019660B" w:rsidP="00275451">
      <w:pPr>
        <w:spacing w:line="360" w:lineRule="auto"/>
        <w:ind w:firstLineChars="200" w:firstLine="480"/>
        <w:rPr>
          <w:rFonts w:eastAsia="楷体_GB2312"/>
          <w:sz w:val="24"/>
        </w:rPr>
      </w:pPr>
      <w:r w:rsidRPr="0019660B">
        <w:rPr>
          <w:rFonts w:eastAsia="楷体_GB2312" w:hint="eastAsia"/>
          <w:sz w:val="24"/>
        </w:rPr>
        <w:t>信达证券</w:t>
      </w:r>
      <w:r w:rsidR="002C5795">
        <w:rPr>
          <w:rFonts w:eastAsia="楷体_GB2312" w:hint="eastAsia"/>
          <w:sz w:val="24"/>
        </w:rPr>
        <w:t>股份有限公司</w:t>
      </w:r>
    </w:p>
    <w:p w:rsidR="005327A2" w:rsidRDefault="005327A2" w:rsidP="00275451">
      <w:pPr>
        <w:spacing w:line="360" w:lineRule="auto"/>
        <w:ind w:firstLineChars="200" w:firstLine="480"/>
        <w:rPr>
          <w:rFonts w:eastAsia="楷体_GB2312"/>
          <w:sz w:val="24"/>
        </w:rPr>
      </w:pPr>
      <w:r>
        <w:rPr>
          <w:rFonts w:eastAsia="楷体_GB2312"/>
          <w:sz w:val="24"/>
        </w:rPr>
        <w:t>客户服务电话：</w:t>
      </w:r>
      <w:r w:rsidR="0019660B">
        <w:rPr>
          <w:rFonts w:eastAsia="楷体_GB2312" w:hint="eastAsia"/>
          <w:sz w:val="24"/>
        </w:rPr>
        <w:t>95321</w:t>
      </w:r>
    </w:p>
    <w:p w:rsidR="005327A2" w:rsidRPr="00275451" w:rsidRDefault="00436F2D" w:rsidP="00275451">
      <w:pPr>
        <w:spacing w:line="360" w:lineRule="auto"/>
        <w:ind w:firstLineChars="200" w:firstLine="480"/>
        <w:rPr>
          <w:rFonts w:eastAsia="楷体_GB2312" w:hint="eastAsia"/>
          <w:sz w:val="24"/>
        </w:rPr>
      </w:pPr>
      <w:r>
        <w:rPr>
          <w:rFonts w:eastAsia="楷体_GB2312"/>
          <w:sz w:val="24"/>
        </w:rPr>
        <w:t>网站</w:t>
      </w:r>
      <w:r>
        <w:rPr>
          <w:rFonts w:eastAsia="楷体_GB2312" w:hint="eastAsia"/>
          <w:sz w:val="24"/>
        </w:rPr>
        <w:t>：</w:t>
      </w:r>
      <w:r w:rsidR="006F5492">
        <w:rPr>
          <w:rFonts w:eastAsia="楷体_GB2312" w:hint="eastAsia"/>
          <w:sz w:val="24"/>
        </w:rPr>
        <w:t>https://</w:t>
      </w:r>
      <w:r w:rsidR="007F7730">
        <w:rPr>
          <w:rFonts w:eastAsia="楷体_GB2312" w:hint="eastAsia"/>
          <w:sz w:val="24"/>
        </w:rPr>
        <w:t>www</w:t>
      </w:r>
      <w:r w:rsidR="006F5492">
        <w:rPr>
          <w:rFonts w:eastAsia="楷体_GB2312" w:hint="eastAsia"/>
          <w:sz w:val="24"/>
        </w:rPr>
        <w:t>.</w:t>
      </w:r>
      <w:r w:rsidR="0019660B">
        <w:rPr>
          <w:rFonts w:eastAsia="楷体_GB2312" w:hint="eastAsia"/>
          <w:sz w:val="24"/>
        </w:rPr>
        <w:t>cindasc</w:t>
      </w:r>
      <w:r w:rsidR="002365F7">
        <w:rPr>
          <w:rFonts w:eastAsia="楷体_GB2312" w:hint="eastAsia"/>
          <w:sz w:val="24"/>
        </w:rPr>
        <w:t>.com/</w:t>
      </w:r>
    </w:p>
    <w:p w:rsidR="00672A4C" w:rsidRPr="003752EF" w:rsidRDefault="00672A4C" w:rsidP="008F2F6A">
      <w:pPr>
        <w:spacing w:line="360" w:lineRule="auto"/>
        <w:ind w:firstLineChars="200" w:firstLine="480"/>
        <w:rPr>
          <w:rFonts w:eastAsia="楷体"/>
          <w:b/>
          <w:sz w:val="24"/>
        </w:rPr>
      </w:pPr>
      <w:r w:rsidRPr="003752EF">
        <w:rPr>
          <w:rFonts w:eastAsia="楷体"/>
          <w:b/>
          <w:sz w:val="24"/>
        </w:rPr>
        <w:t>*</w:t>
      </w:r>
      <w:r w:rsidR="00275451">
        <w:rPr>
          <w:rFonts w:eastAsia="楷体" w:hint="eastAsia"/>
          <w:b/>
          <w:sz w:val="24"/>
        </w:rPr>
        <w:t>上述机构</w:t>
      </w:r>
      <w:r w:rsidRPr="003752EF">
        <w:rPr>
          <w:rFonts w:eastAsia="楷体"/>
          <w:b/>
          <w:sz w:val="24"/>
        </w:rPr>
        <w:t>已取得中国证监会颁发的基金销售业务资格证书</w:t>
      </w:r>
    </w:p>
    <w:p w:rsidR="00672A4C" w:rsidRDefault="00672A4C" w:rsidP="00672A4C">
      <w:pPr>
        <w:spacing w:line="360" w:lineRule="auto"/>
        <w:ind w:firstLineChars="200" w:firstLine="480"/>
        <w:rPr>
          <w:rFonts w:eastAsia="楷体" w:hint="eastAsia"/>
          <w:sz w:val="24"/>
        </w:rPr>
      </w:pPr>
    </w:p>
    <w:p w:rsidR="00672A4C" w:rsidRPr="003752EF" w:rsidRDefault="00672A4C" w:rsidP="00672A4C">
      <w:pPr>
        <w:spacing w:line="360" w:lineRule="auto"/>
        <w:ind w:firstLineChars="200" w:firstLine="480"/>
        <w:rPr>
          <w:rFonts w:eastAsia="楷体"/>
          <w:sz w:val="24"/>
        </w:rPr>
      </w:pPr>
      <w:r w:rsidRPr="003752EF">
        <w:rPr>
          <w:rFonts w:eastAsia="楷体"/>
          <w:sz w:val="24"/>
        </w:rPr>
        <w:t>投资者也可通过以下途径咨询有关详情</w:t>
      </w:r>
      <w:r>
        <w:rPr>
          <w:rFonts w:eastAsia="楷体" w:hint="eastAsia"/>
          <w:sz w:val="24"/>
        </w:rPr>
        <w:t>:</w:t>
      </w:r>
    </w:p>
    <w:p w:rsidR="00672A4C" w:rsidRPr="003752EF" w:rsidRDefault="00672A4C" w:rsidP="00672A4C">
      <w:pPr>
        <w:spacing w:line="360" w:lineRule="auto"/>
        <w:ind w:firstLineChars="200" w:firstLine="480"/>
        <w:rPr>
          <w:rFonts w:eastAsia="楷体"/>
          <w:sz w:val="24"/>
        </w:rPr>
      </w:pPr>
      <w:r w:rsidRPr="003752EF">
        <w:rPr>
          <w:rFonts w:eastAsia="楷体"/>
          <w:sz w:val="24"/>
        </w:rPr>
        <w:t>兴证全球基金管理有限公司客服电话：</w:t>
      </w:r>
      <w:r w:rsidRPr="003752EF">
        <w:rPr>
          <w:rFonts w:eastAsia="楷体"/>
          <w:sz w:val="24"/>
        </w:rPr>
        <w:t>400-678-0099</w:t>
      </w:r>
      <w:r w:rsidRPr="003752EF">
        <w:rPr>
          <w:rFonts w:eastAsia="楷体"/>
          <w:sz w:val="24"/>
        </w:rPr>
        <w:t>（免长话）</w:t>
      </w:r>
      <w:r w:rsidRPr="003752EF">
        <w:rPr>
          <w:rFonts w:eastAsia="楷体"/>
          <w:sz w:val="24"/>
        </w:rPr>
        <w:t xml:space="preserve"> </w:t>
      </w:r>
      <w:r w:rsidRPr="003752EF">
        <w:rPr>
          <w:rFonts w:eastAsia="楷体"/>
          <w:sz w:val="24"/>
        </w:rPr>
        <w:t>、</w:t>
      </w:r>
      <w:r w:rsidRPr="003752EF">
        <w:rPr>
          <w:rFonts w:eastAsia="楷体"/>
          <w:sz w:val="24"/>
        </w:rPr>
        <w:t>021-38824536</w:t>
      </w:r>
    </w:p>
    <w:p w:rsidR="00672A4C" w:rsidRPr="003752EF" w:rsidRDefault="00672A4C" w:rsidP="00672A4C">
      <w:pPr>
        <w:spacing w:line="360" w:lineRule="auto"/>
        <w:ind w:firstLineChars="200" w:firstLine="480"/>
        <w:rPr>
          <w:rFonts w:eastAsia="楷体"/>
          <w:sz w:val="24"/>
          <w:lang w:val="en-CA"/>
        </w:rPr>
      </w:pPr>
      <w:r w:rsidRPr="003752EF">
        <w:rPr>
          <w:rFonts w:eastAsia="楷体"/>
          <w:sz w:val="24"/>
        </w:rPr>
        <w:t>兴证全球基金管理有限公司网站：</w:t>
      </w:r>
      <w:hyperlink r:id="rId8" w:history="1">
        <w:r w:rsidRPr="003752EF">
          <w:rPr>
            <w:rFonts w:eastAsia="楷体"/>
            <w:sz w:val="24"/>
            <w:lang w:val="en-CA"/>
          </w:rPr>
          <w:t>http</w:t>
        </w:r>
        <w:r w:rsidR="00275451">
          <w:rPr>
            <w:rFonts w:eastAsia="楷体" w:hint="eastAsia"/>
            <w:sz w:val="24"/>
            <w:lang w:val="en-CA"/>
          </w:rPr>
          <w:t>s</w:t>
        </w:r>
        <w:r w:rsidRPr="003752EF">
          <w:rPr>
            <w:rFonts w:eastAsia="楷体"/>
            <w:sz w:val="24"/>
            <w:lang w:val="en-CA"/>
          </w:rPr>
          <w:t>://www.xqfu</w:t>
        </w:r>
        <w:r w:rsidRPr="003752EF">
          <w:rPr>
            <w:rFonts w:eastAsia="楷体"/>
            <w:sz w:val="24"/>
            <w:lang w:val="en-CA"/>
          </w:rPr>
          <w:t>n</w:t>
        </w:r>
        <w:r w:rsidRPr="003752EF">
          <w:rPr>
            <w:rFonts w:eastAsia="楷体"/>
            <w:sz w:val="24"/>
            <w:lang w:val="en-CA"/>
          </w:rPr>
          <w:t>ds.com/</w:t>
        </w:r>
      </w:hyperlink>
    </w:p>
    <w:p w:rsidR="00672A4C" w:rsidRDefault="00672A4C" w:rsidP="009B737E">
      <w:pPr>
        <w:spacing w:line="360" w:lineRule="auto"/>
        <w:ind w:firstLineChars="225" w:firstLine="542"/>
        <w:rPr>
          <w:rFonts w:eastAsia="楷体_GB2312" w:hint="eastAsia"/>
          <w:b/>
          <w:sz w:val="24"/>
        </w:rPr>
      </w:pPr>
    </w:p>
    <w:p w:rsidR="003B6981" w:rsidRDefault="003B6981" w:rsidP="009B737E">
      <w:pPr>
        <w:spacing w:line="360" w:lineRule="auto"/>
        <w:ind w:firstLineChars="225" w:firstLine="542"/>
        <w:rPr>
          <w:rFonts w:eastAsia="楷体_GB2312"/>
          <w:sz w:val="24"/>
        </w:rPr>
      </w:pPr>
      <w:r>
        <w:rPr>
          <w:rFonts w:eastAsia="楷体_GB2312"/>
          <w:b/>
          <w:sz w:val="24"/>
        </w:rPr>
        <w:t>风险提示：</w:t>
      </w:r>
      <w:r w:rsidR="00635DA6" w:rsidRPr="00635DA6">
        <w:rPr>
          <w:rFonts w:eastAsia="楷体_GB2312" w:hint="eastAsia"/>
          <w:b/>
          <w:sz w:val="24"/>
        </w:rPr>
        <w:t>投资人应当充分了解基金定期定额投资和零存整取等储蓄方式的</w:t>
      </w:r>
      <w:r w:rsidR="00635DA6" w:rsidRPr="00635DA6">
        <w:rPr>
          <w:rFonts w:eastAsia="楷体_GB2312" w:hint="eastAsia"/>
          <w:b/>
          <w:sz w:val="24"/>
        </w:rPr>
        <w:lastRenderedPageBreak/>
        <w:t>区别。定期定额投资是引导投资人进行长期投资、平均投资成本的一种简单易行的投资方式。但是定期定额投资并不能规避基金投资所固有的风险，不能保证投资人获得收益，也不是替代储蓄的等效理财方式。</w:t>
      </w:r>
      <w:r>
        <w:rPr>
          <w:rFonts w:eastAsia="楷体_GB2312"/>
          <w:sz w:val="24"/>
          <w:szCs w:val="18"/>
        </w:rPr>
        <w:t>本基金管理人承诺以诚实信用、勤勉尽责的原则管理和运用基金财产，但不保证基金一定盈利，也不保证最低收益。基金的过往业绩不代表未来表现。投资有风险，敬请投资人认真阅读基金的相关法律文件，并选择适合自身风险承受能力的投资品种进行投资。</w:t>
      </w:r>
    </w:p>
    <w:p w:rsidR="003B6981" w:rsidRDefault="003B6981">
      <w:pPr>
        <w:spacing w:line="360" w:lineRule="auto"/>
        <w:ind w:firstLineChars="225" w:firstLine="540"/>
        <w:rPr>
          <w:rFonts w:eastAsia="楷体_GB2312"/>
          <w:sz w:val="24"/>
        </w:rPr>
      </w:pPr>
      <w:r>
        <w:rPr>
          <w:rFonts w:eastAsia="楷体_GB2312"/>
          <w:sz w:val="24"/>
        </w:rPr>
        <w:t>特此公告。</w:t>
      </w:r>
    </w:p>
    <w:p w:rsidR="00E5416D" w:rsidRDefault="00E5416D">
      <w:pPr>
        <w:spacing w:line="360" w:lineRule="auto"/>
        <w:ind w:firstLineChars="225" w:firstLine="540"/>
        <w:rPr>
          <w:rFonts w:eastAsia="楷体_GB2312" w:hint="eastAsia"/>
          <w:sz w:val="24"/>
        </w:rPr>
      </w:pPr>
    </w:p>
    <w:p w:rsidR="003B6981" w:rsidRDefault="005327A2">
      <w:pPr>
        <w:spacing w:line="360" w:lineRule="auto"/>
        <w:ind w:firstLineChars="225" w:firstLine="540"/>
        <w:jc w:val="right"/>
        <w:rPr>
          <w:rFonts w:eastAsia="楷体_GB2312"/>
          <w:i/>
          <w:sz w:val="24"/>
        </w:rPr>
      </w:pPr>
      <w:r>
        <w:rPr>
          <w:rFonts w:eastAsia="楷体_GB2312" w:hint="eastAsia"/>
          <w:i/>
          <w:sz w:val="24"/>
        </w:rPr>
        <w:t>兴证全球基金</w:t>
      </w:r>
      <w:r w:rsidR="003B6981">
        <w:rPr>
          <w:rFonts w:eastAsia="楷体_GB2312"/>
          <w:i/>
          <w:sz w:val="24"/>
        </w:rPr>
        <w:t>管理有限公司</w:t>
      </w:r>
    </w:p>
    <w:p w:rsidR="003B6981" w:rsidRDefault="005327A2" w:rsidP="00D34A70">
      <w:pPr>
        <w:wordWrap w:val="0"/>
        <w:spacing w:line="360" w:lineRule="auto"/>
        <w:ind w:firstLineChars="225" w:firstLine="540"/>
        <w:jc w:val="right"/>
        <w:rPr>
          <w:rFonts w:eastAsia="楷体_GB2312"/>
          <w:i/>
          <w:sz w:val="24"/>
        </w:rPr>
      </w:pPr>
      <w:r>
        <w:rPr>
          <w:rFonts w:eastAsia="楷体_GB2312" w:hint="eastAsia"/>
          <w:i/>
          <w:sz w:val="24"/>
        </w:rPr>
        <w:t>2020</w:t>
      </w:r>
      <w:r w:rsidR="0081765E" w:rsidRPr="001C064A">
        <w:rPr>
          <w:rFonts w:eastAsia="楷体_GB2312"/>
          <w:i/>
          <w:sz w:val="24"/>
        </w:rPr>
        <w:t>年</w:t>
      </w:r>
      <w:r w:rsidR="00841EC5">
        <w:rPr>
          <w:rFonts w:eastAsia="楷体_GB2312" w:hint="eastAsia"/>
          <w:i/>
          <w:sz w:val="24"/>
        </w:rPr>
        <w:t>12</w:t>
      </w:r>
      <w:r w:rsidR="00496CA0" w:rsidRPr="00496CA0">
        <w:rPr>
          <w:rFonts w:eastAsia="楷体_GB2312" w:hint="eastAsia"/>
          <w:i/>
          <w:sz w:val="24"/>
        </w:rPr>
        <w:t>月</w:t>
      </w:r>
      <w:r w:rsidR="0019660B">
        <w:rPr>
          <w:rFonts w:eastAsia="楷体_GB2312" w:hint="eastAsia"/>
          <w:i/>
          <w:sz w:val="24"/>
        </w:rPr>
        <w:t>16</w:t>
      </w:r>
      <w:r w:rsidR="00496CA0" w:rsidRPr="00496CA0">
        <w:rPr>
          <w:rFonts w:eastAsia="楷体_GB2312" w:hint="eastAsia"/>
          <w:i/>
          <w:sz w:val="24"/>
        </w:rPr>
        <w:t>日</w:t>
      </w:r>
    </w:p>
    <w:sectPr w:rsidR="003B6981">
      <w:headerReference w:type="default" r:id="rId9"/>
      <w:footerReference w:type="even" r:id="rId10"/>
      <w:footerReference w:type="default" r:id="rId11"/>
      <w:pgSz w:w="11906" w:h="16838"/>
      <w:pgMar w:top="1558" w:right="1558" w:bottom="1402" w:left="1800" w:header="468"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01B" w:rsidRDefault="0000101B">
      <w:r>
        <w:separator/>
      </w:r>
    </w:p>
  </w:endnote>
  <w:endnote w:type="continuationSeparator" w:id="0">
    <w:p w:rsidR="0000101B" w:rsidRDefault="000010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28" w:rsidRDefault="00B53A28">
    <w:pPr>
      <w:pStyle w:val="a7"/>
      <w:framePr w:wrap="around" w:vAnchor="text" w:hAnchor="margin" w:xAlign="center" w:y="1"/>
      <w:rPr>
        <w:rStyle w:val="a3"/>
      </w:rPr>
    </w:pPr>
    <w:r>
      <w:fldChar w:fldCharType="begin"/>
    </w:r>
    <w:r>
      <w:rPr>
        <w:rStyle w:val="a3"/>
      </w:rPr>
      <w:instrText xml:space="preserve">PAGE  </w:instrText>
    </w:r>
    <w:r>
      <w:fldChar w:fldCharType="end"/>
    </w:r>
  </w:p>
  <w:p w:rsidR="00B53A28" w:rsidRDefault="00B53A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28" w:rsidRDefault="00B53A28">
    <w:pPr>
      <w:pStyle w:val="a7"/>
      <w:framePr w:wrap="around" w:vAnchor="text" w:hAnchor="margin" w:xAlign="center" w:y="1"/>
      <w:rPr>
        <w:rStyle w:val="a3"/>
      </w:rPr>
    </w:pPr>
    <w:r>
      <w:fldChar w:fldCharType="begin"/>
    </w:r>
    <w:r>
      <w:rPr>
        <w:rStyle w:val="a3"/>
      </w:rPr>
      <w:instrText xml:space="preserve">PAGE  </w:instrText>
    </w:r>
    <w:r>
      <w:fldChar w:fldCharType="separate"/>
    </w:r>
    <w:r w:rsidR="008F2F6A">
      <w:rPr>
        <w:rStyle w:val="a3"/>
        <w:noProof/>
      </w:rPr>
      <w:t>1</w:t>
    </w:r>
    <w:r>
      <w:fldChar w:fldCharType="end"/>
    </w:r>
  </w:p>
  <w:p w:rsidR="00B53A28" w:rsidRDefault="00B53A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01B" w:rsidRDefault="0000101B">
      <w:r>
        <w:separator/>
      </w:r>
    </w:p>
  </w:footnote>
  <w:footnote w:type="continuationSeparator" w:id="0">
    <w:p w:rsidR="0000101B" w:rsidRDefault="00001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28" w:rsidRDefault="00B53A28">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4AECF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023D4"/>
    <w:multiLevelType w:val="hybridMultilevel"/>
    <w:tmpl w:val="25BAD910"/>
    <w:lvl w:ilvl="0" w:tplc="A3C2E3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C97DF6"/>
    <w:multiLevelType w:val="hybridMultilevel"/>
    <w:tmpl w:val="651C3DE0"/>
    <w:lvl w:ilvl="0" w:tplc="74A8DC6A">
      <w:start w:val="1"/>
      <w:numFmt w:val="decimal"/>
      <w:lvlText w:val="%1、"/>
      <w:lvlJc w:val="left"/>
      <w:pPr>
        <w:ind w:left="917" w:hanging="37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
    <w:nsid w:val="42A86A61"/>
    <w:multiLevelType w:val="hybridMultilevel"/>
    <w:tmpl w:val="651C3DE0"/>
    <w:lvl w:ilvl="0" w:tplc="74A8DC6A">
      <w:start w:val="1"/>
      <w:numFmt w:val="decimal"/>
      <w:lvlText w:val="%1、"/>
      <w:lvlJc w:val="left"/>
      <w:pPr>
        <w:ind w:left="917" w:hanging="37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4">
    <w:nsid w:val="4AC64022"/>
    <w:multiLevelType w:val="hybridMultilevel"/>
    <w:tmpl w:val="A6B62B08"/>
    <w:lvl w:ilvl="0" w:tplc="44921CC2">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B24CF4"/>
    <w:multiLevelType w:val="hybridMultilevel"/>
    <w:tmpl w:val="651C3DE0"/>
    <w:lvl w:ilvl="0" w:tplc="74A8DC6A">
      <w:start w:val="1"/>
      <w:numFmt w:val="decimal"/>
      <w:lvlText w:val="%1、"/>
      <w:lvlJc w:val="left"/>
      <w:pPr>
        <w:ind w:left="917" w:hanging="375"/>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6">
    <w:nsid w:val="6FE869A6"/>
    <w:multiLevelType w:val="hybridMultilevel"/>
    <w:tmpl w:val="02DE5BC4"/>
    <w:lvl w:ilvl="0" w:tplc="5C5240BE">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AA42C9D"/>
    <w:multiLevelType w:val="hybridMultilevel"/>
    <w:tmpl w:val="13D4216E"/>
    <w:lvl w:ilvl="0" w:tplc="A09C2C76">
      <w:start w:val="6580"/>
      <w:numFmt w:val="decimalZero"/>
      <w:lvlText w:val="%1"/>
      <w:lvlJc w:val="left"/>
      <w:pPr>
        <w:ind w:left="720" w:hanging="72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5"/>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5AEF"/>
    <w:rsid w:val="0000101B"/>
    <w:rsid w:val="00010ECB"/>
    <w:rsid w:val="0001367A"/>
    <w:rsid w:val="00015BDC"/>
    <w:rsid w:val="00021321"/>
    <w:rsid w:val="0002180A"/>
    <w:rsid w:val="000246C6"/>
    <w:rsid w:val="000343E6"/>
    <w:rsid w:val="0003669E"/>
    <w:rsid w:val="0004041B"/>
    <w:rsid w:val="00052243"/>
    <w:rsid w:val="00056985"/>
    <w:rsid w:val="000604EA"/>
    <w:rsid w:val="00062817"/>
    <w:rsid w:val="00062F71"/>
    <w:rsid w:val="000635BF"/>
    <w:rsid w:val="000654A0"/>
    <w:rsid w:val="000655D4"/>
    <w:rsid w:val="00065D5A"/>
    <w:rsid w:val="00075647"/>
    <w:rsid w:val="00076816"/>
    <w:rsid w:val="0009630D"/>
    <w:rsid w:val="000B02F5"/>
    <w:rsid w:val="000B4027"/>
    <w:rsid w:val="000C148C"/>
    <w:rsid w:val="000D431C"/>
    <w:rsid w:val="000E512C"/>
    <w:rsid w:val="000E61D8"/>
    <w:rsid w:val="000E6BCE"/>
    <w:rsid w:val="000E737F"/>
    <w:rsid w:val="000F0270"/>
    <w:rsid w:val="000F78E2"/>
    <w:rsid w:val="00103060"/>
    <w:rsid w:val="0011266F"/>
    <w:rsid w:val="00116206"/>
    <w:rsid w:val="00124ACA"/>
    <w:rsid w:val="00140EBB"/>
    <w:rsid w:val="00143E92"/>
    <w:rsid w:val="0014704C"/>
    <w:rsid w:val="00150CF1"/>
    <w:rsid w:val="00150E2D"/>
    <w:rsid w:val="00151F1C"/>
    <w:rsid w:val="00155123"/>
    <w:rsid w:val="0016357E"/>
    <w:rsid w:val="00166F3E"/>
    <w:rsid w:val="00186D0B"/>
    <w:rsid w:val="00194C98"/>
    <w:rsid w:val="0019660B"/>
    <w:rsid w:val="001969A8"/>
    <w:rsid w:val="001A00A5"/>
    <w:rsid w:val="001B36A7"/>
    <w:rsid w:val="001B4E2A"/>
    <w:rsid w:val="001C064A"/>
    <w:rsid w:val="001C4221"/>
    <w:rsid w:val="001C48B1"/>
    <w:rsid w:val="001C4B8D"/>
    <w:rsid w:val="001C5F81"/>
    <w:rsid w:val="001D1415"/>
    <w:rsid w:val="001E4AD2"/>
    <w:rsid w:val="001E7059"/>
    <w:rsid w:val="001F6495"/>
    <w:rsid w:val="001F7938"/>
    <w:rsid w:val="002004B1"/>
    <w:rsid w:val="0022153A"/>
    <w:rsid w:val="002365F7"/>
    <w:rsid w:val="00240354"/>
    <w:rsid w:val="00253520"/>
    <w:rsid w:val="00255FE8"/>
    <w:rsid w:val="00261B06"/>
    <w:rsid w:val="00264988"/>
    <w:rsid w:val="00275451"/>
    <w:rsid w:val="00293E27"/>
    <w:rsid w:val="0029610E"/>
    <w:rsid w:val="002B7F6A"/>
    <w:rsid w:val="002B7F8B"/>
    <w:rsid w:val="002C312A"/>
    <w:rsid w:val="002C4698"/>
    <w:rsid w:val="002C5795"/>
    <w:rsid w:val="002C6282"/>
    <w:rsid w:val="002C690F"/>
    <w:rsid w:val="002D430E"/>
    <w:rsid w:val="002D57D0"/>
    <w:rsid w:val="002D6331"/>
    <w:rsid w:val="002E2428"/>
    <w:rsid w:val="002F1EB6"/>
    <w:rsid w:val="002F5269"/>
    <w:rsid w:val="00312F70"/>
    <w:rsid w:val="003156D0"/>
    <w:rsid w:val="0033402F"/>
    <w:rsid w:val="00334661"/>
    <w:rsid w:val="0033581A"/>
    <w:rsid w:val="00340138"/>
    <w:rsid w:val="00343D82"/>
    <w:rsid w:val="00350467"/>
    <w:rsid w:val="00355A4A"/>
    <w:rsid w:val="00361AEA"/>
    <w:rsid w:val="003802F7"/>
    <w:rsid w:val="00390DD2"/>
    <w:rsid w:val="003918D3"/>
    <w:rsid w:val="0039562E"/>
    <w:rsid w:val="003974CF"/>
    <w:rsid w:val="003A3400"/>
    <w:rsid w:val="003B2AF0"/>
    <w:rsid w:val="003B3686"/>
    <w:rsid w:val="003B6981"/>
    <w:rsid w:val="003C0FC3"/>
    <w:rsid w:val="003C7D44"/>
    <w:rsid w:val="0040356E"/>
    <w:rsid w:val="00407CCC"/>
    <w:rsid w:val="00424A83"/>
    <w:rsid w:val="00425899"/>
    <w:rsid w:val="00436432"/>
    <w:rsid w:val="00436F2D"/>
    <w:rsid w:val="004402C5"/>
    <w:rsid w:val="00444717"/>
    <w:rsid w:val="00451E02"/>
    <w:rsid w:val="00452E59"/>
    <w:rsid w:val="0046619D"/>
    <w:rsid w:val="00471E97"/>
    <w:rsid w:val="00484F40"/>
    <w:rsid w:val="004968A4"/>
    <w:rsid w:val="00496CA0"/>
    <w:rsid w:val="004C169A"/>
    <w:rsid w:val="004C45F2"/>
    <w:rsid w:val="004C67AB"/>
    <w:rsid w:val="004D5650"/>
    <w:rsid w:val="004D5732"/>
    <w:rsid w:val="004E4A81"/>
    <w:rsid w:val="004F204F"/>
    <w:rsid w:val="00507063"/>
    <w:rsid w:val="00512637"/>
    <w:rsid w:val="00514432"/>
    <w:rsid w:val="00516FDE"/>
    <w:rsid w:val="00522528"/>
    <w:rsid w:val="00523B26"/>
    <w:rsid w:val="0052494B"/>
    <w:rsid w:val="005327A2"/>
    <w:rsid w:val="00533B67"/>
    <w:rsid w:val="005371EA"/>
    <w:rsid w:val="00544834"/>
    <w:rsid w:val="00546617"/>
    <w:rsid w:val="0054712A"/>
    <w:rsid w:val="00547932"/>
    <w:rsid w:val="00551C40"/>
    <w:rsid w:val="00553B5C"/>
    <w:rsid w:val="00574D79"/>
    <w:rsid w:val="00582E23"/>
    <w:rsid w:val="005906F4"/>
    <w:rsid w:val="00591E3B"/>
    <w:rsid w:val="005923E1"/>
    <w:rsid w:val="005A0363"/>
    <w:rsid w:val="005A0BC4"/>
    <w:rsid w:val="005A5577"/>
    <w:rsid w:val="005A7766"/>
    <w:rsid w:val="005E6F74"/>
    <w:rsid w:val="00604989"/>
    <w:rsid w:val="0061005C"/>
    <w:rsid w:val="006147D0"/>
    <w:rsid w:val="00635DA6"/>
    <w:rsid w:val="006416AF"/>
    <w:rsid w:val="00646F3F"/>
    <w:rsid w:val="00651598"/>
    <w:rsid w:val="0066556F"/>
    <w:rsid w:val="00667B31"/>
    <w:rsid w:val="00672A4C"/>
    <w:rsid w:val="0067455C"/>
    <w:rsid w:val="0067780D"/>
    <w:rsid w:val="006977F7"/>
    <w:rsid w:val="006A029B"/>
    <w:rsid w:val="006B35DB"/>
    <w:rsid w:val="006C05DC"/>
    <w:rsid w:val="006C2EBD"/>
    <w:rsid w:val="006C7684"/>
    <w:rsid w:val="006E137C"/>
    <w:rsid w:val="006E5664"/>
    <w:rsid w:val="006F1BD9"/>
    <w:rsid w:val="006F26C7"/>
    <w:rsid w:val="006F50A6"/>
    <w:rsid w:val="006F5492"/>
    <w:rsid w:val="0070798C"/>
    <w:rsid w:val="00711B94"/>
    <w:rsid w:val="00735521"/>
    <w:rsid w:val="00737C26"/>
    <w:rsid w:val="007558CD"/>
    <w:rsid w:val="00761211"/>
    <w:rsid w:val="00766FF5"/>
    <w:rsid w:val="00767033"/>
    <w:rsid w:val="00774688"/>
    <w:rsid w:val="007806F6"/>
    <w:rsid w:val="007A0BF3"/>
    <w:rsid w:val="007A6047"/>
    <w:rsid w:val="007B0BC9"/>
    <w:rsid w:val="007B70C2"/>
    <w:rsid w:val="007C26DE"/>
    <w:rsid w:val="007C39DA"/>
    <w:rsid w:val="007C45B9"/>
    <w:rsid w:val="007D407F"/>
    <w:rsid w:val="007D440A"/>
    <w:rsid w:val="007E1375"/>
    <w:rsid w:val="007F7730"/>
    <w:rsid w:val="0081747E"/>
    <w:rsid w:val="0081765E"/>
    <w:rsid w:val="00841EC5"/>
    <w:rsid w:val="00847DB5"/>
    <w:rsid w:val="008509A1"/>
    <w:rsid w:val="008529BF"/>
    <w:rsid w:val="008531F3"/>
    <w:rsid w:val="00854538"/>
    <w:rsid w:val="0085529D"/>
    <w:rsid w:val="0085566C"/>
    <w:rsid w:val="00856488"/>
    <w:rsid w:val="00863387"/>
    <w:rsid w:val="008647F3"/>
    <w:rsid w:val="008661B1"/>
    <w:rsid w:val="008669D8"/>
    <w:rsid w:val="008735F3"/>
    <w:rsid w:val="008801C5"/>
    <w:rsid w:val="0088079E"/>
    <w:rsid w:val="008922B8"/>
    <w:rsid w:val="00894DF3"/>
    <w:rsid w:val="008A0B4F"/>
    <w:rsid w:val="008A17EF"/>
    <w:rsid w:val="008B1D43"/>
    <w:rsid w:val="008B33D3"/>
    <w:rsid w:val="008B56A8"/>
    <w:rsid w:val="008C5150"/>
    <w:rsid w:val="008E27A8"/>
    <w:rsid w:val="008E73B9"/>
    <w:rsid w:val="008F088F"/>
    <w:rsid w:val="008F1BFA"/>
    <w:rsid w:val="008F2F6A"/>
    <w:rsid w:val="008F39FC"/>
    <w:rsid w:val="009060E3"/>
    <w:rsid w:val="009155AE"/>
    <w:rsid w:val="00915963"/>
    <w:rsid w:val="00920F41"/>
    <w:rsid w:val="00926CE4"/>
    <w:rsid w:val="00931393"/>
    <w:rsid w:val="00943564"/>
    <w:rsid w:val="0094372C"/>
    <w:rsid w:val="00945DAB"/>
    <w:rsid w:val="00965904"/>
    <w:rsid w:val="00967694"/>
    <w:rsid w:val="00977F61"/>
    <w:rsid w:val="00983757"/>
    <w:rsid w:val="0099160F"/>
    <w:rsid w:val="00991A91"/>
    <w:rsid w:val="009941E2"/>
    <w:rsid w:val="009A09EA"/>
    <w:rsid w:val="009B116D"/>
    <w:rsid w:val="009B737E"/>
    <w:rsid w:val="009C08A6"/>
    <w:rsid w:val="009C64FF"/>
    <w:rsid w:val="009D449F"/>
    <w:rsid w:val="009D5AB8"/>
    <w:rsid w:val="009E02D8"/>
    <w:rsid w:val="009F0E4D"/>
    <w:rsid w:val="00A10C41"/>
    <w:rsid w:val="00A134A1"/>
    <w:rsid w:val="00A17BAA"/>
    <w:rsid w:val="00A2273D"/>
    <w:rsid w:val="00A23718"/>
    <w:rsid w:val="00A2770A"/>
    <w:rsid w:val="00A503DA"/>
    <w:rsid w:val="00A60C7D"/>
    <w:rsid w:val="00A65699"/>
    <w:rsid w:val="00A71DBE"/>
    <w:rsid w:val="00A80FA2"/>
    <w:rsid w:val="00A84333"/>
    <w:rsid w:val="00A96B99"/>
    <w:rsid w:val="00AA7CED"/>
    <w:rsid w:val="00AB5F14"/>
    <w:rsid w:val="00AC072A"/>
    <w:rsid w:val="00AC372D"/>
    <w:rsid w:val="00AC74BA"/>
    <w:rsid w:val="00AC7961"/>
    <w:rsid w:val="00AE1718"/>
    <w:rsid w:val="00AF1951"/>
    <w:rsid w:val="00B005CE"/>
    <w:rsid w:val="00B03E98"/>
    <w:rsid w:val="00B254D4"/>
    <w:rsid w:val="00B30B2F"/>
    <w:rsid w:val="00B317CA"/>
    <w:rsid w:val="00B326B1"/>
    <w:rsid w:val="00B33669"/>
    <w:rsid w:val="00B52206"/>
    <w:rsid w:val="00B53A28"/>
    <w:rsid w:val="00B57DED"/>
    <w:rsid w:val="00B622F5"/>
    <w:rsid w:val="00B75AEF"/>
    <w:rsid w:val="00B80B8C"/>
    <w:rsid w:val="00BA345C"/>
    <w:rsid w:val="00BC0222"/>
    <w:rsid w:val="00BC0E2B"/>
    <w:rsid w:val="00BC0FF3"/>
    <w:rsid w:val="00BC59C2"/>
    <w:rsid w:val="00BD1EC8"/>
    <w:rsid w:val="00BD4743"/>
    <w:rsid w:val="00BD54A6"/>
    <w:rsid w:val="00BE7D63"/>
    <w:rsid w:val="00BF120F"/>
    <w:rsid w:val="00BF215C"/>
    <w:rsid w:val="00BF316B"/>
    <w:rsid w:val="00C05B59"/>
    <w:rsid w:val="00C13454"/>
    <w:rsid w:val="00C14F45"/>
    <w:rsid w:val="00C22604"/>
    <w:rsid w:val="00C227F4"/>
    <w:rsid w:val="00C22893"/>
    <w:rsid w:val="00C2607C"/>
    <w:rsid w:val="00C27A95"/>
    <w:rsid w:val="00C35644"/>
    <w:rsid w:val="00C50956"/>
    <w:rsid w:val="00C53EC1"/>
    <w:rsid w:val="00C6121C"/>
    <w:rsid w:val="00C67CE0"/>
    <w:rsid w:val="00C70911"/>
    <w:rsid w:val="00C75768"/>
    <w:rsid w:val="00CC555A"/>
    <w:rsid w:val="00CC7C1C"/>
    <w:rsid w:val="00CD065B"/>
    <w:rsid w:val="00CD73B2"/>
    <w:rsid w:val="00D13656"/>
    <w:rsid w:val="00D213D4"/>
    <w:rsid w:val="00D25A50"/>
    <w:rsid w:val="00D317C1"/>
    <w:rsid w:val="00D348BF"/>
    <w:rsid w:val="00D34A70"/>
    <w:rsid w:val="00D40025"/>
    <w:rsid w:val="00D41E81"/>
    <w:rsid w:val="00D427CC"/>
    <w:rsid w:val="00D440A0"/>
    <w:rsid w:val="00D553FB"/>
    <w:rsid w:val="00D61489"/>
    <w:rsid w:val="00D62C88"/>
    <w:rsid w:val="00D62E65"/>
    <w:rsid w:val="00D70A3F"/>
    <w:rsid w:val="00D74BE7"/>
    <w:rsid w:val="00D7577D"/>
    <w:rsid w:val="00D80F91"/>
    <w:rsid w:val="00D81763"/>
    <w:rsid w:val="00D81AA8"/>
    <w:rsid w:val="00DA726D"/>
    <w:rsid w:val="00DB4C2C"/>
    <w:rsid w:val="00DB5AA7"/>
    <w:rsid w:val="00DC3969"/>
    <w:rsid w:val="00DD173E"/>
    <w:rsid w:val="00DE64DF"/>
    <w:rsid w:val="00E0539E"/>
    <w:rsid w:val="00E10102"/>
    <w:rsid w:val="00E15E1B"/>
    <w:rsid w:val="00E15E5D"/>
    <w:rsid w:val="00E21912"/>
    <w:rsid w:val="00E27EC6"/>
    <w:rsid w:val="00E50348"/>
    <w:rsid w:val="00E53EF3"/>
    <w:rsid w:val="00E5416D"/>
    <w:rsid w:val="00E6282E"/>
    <w:rsid w:val="00E748F1"/>
    <w:rsid w:val="00E76E09"/>
    <w:rsid w:val="00E936B8"/>
    <w:rsid w:val="00EB1912"/>
    <w:rsid w:val="00EB2B8B"/>
    <w:rsid w:val="00EC679E"/>
    <w:rsid w:val="00ED7B7C"/>
    <w:rsid w:val="00EE3D5F"/>
    <w:rsid w:val="00EF3163"/>
    <w:rsid w:val="00EF7463"/>
    <w:rsid w:val="00F0043B"/>
    <w:rsid w:val="00F17617"/>
    <w:rsid w:val="00F2749D"/>
    <w:rsid w:val="00F278A3"/>
    <w:rsid w:val="00F3006A"/>
    <w:rsid w:val="00F360F3"/>
    <w:rsid w:val="00F42B04"/>
    <w:rsid w:val="00F44649"/>
    <w:rsid w:val="00F965CE"/>
    <w:rsid w:val="00FA1D07"/>
    <w:rsid w:val="00FA6368"/>
    <w:rsid w:val="00FB21E7"/>
    <w:rsid w:val="00FB3DA1"/>
    <w:rsid w:val="00FB6F60"/>
    <w:rsid w:val="00FD4F74"/>
    <w:rsid w:val="00FD6380"/>
    <w:rsid w:val="00FD722D"/>
    <w:rsid w:val="00FE06F1"/>
    <w:rsid w:val="00FE1E3B"/>
    <w:rsid w:val="00FE4D89"/>
    <w:rsid w:val="00FF0FAF"/>
    <w:rsid w:val="00FF2DC9"/>
    <w:rsid w:val="014417FF"/>
    <w:rsid w:val="25C82B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页眉 字符"/>
    <w:link w:val="a5"/>
    <w:rPr>
      <w:rFonts w:eastAsia="宋体"/>
      <w:kern w:val="2"/>
      <w:sz w:val="18"/>
      <w:szCs w:val="18"/>
      <w:lang w:val="en-US" w:eastAsia="zh-CN" w:bidi="ar-SA"/>
    </w:rPr>
  </w:style>
  <w:style w:type="paragraph" w:styleId="a6">
    <w:name w:val="Balloon Text"/>
    <w:basedOn w:val="a"/>
    <w:semiHidden/>
    <w:rPr>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pPr>
      <w:tabs>
        <w:tab w:val="center" w:pos="4153"/>
        <w:tab w:val="right" w:pos="8306"/>
      </w:tabs>
      <w:snapToGrid w:val="0"/>
      <w:jc w:val="left"/>
    </w:pPr>
    <w:rPr>
      <w:sz w:val="18"/>
      <w:szCs w:val="18"/>
    </w:rPr>
  </w:style>
  <w:style w:type="paragraph" w:customStyle="1" w:styleId="Char2">
    <w:name w:val="Char2"/>
    <w:basedOn w:val="a"/>
    <w:pPr>
      <w:widowControl/>
      <w:spacing w:after="160" w:line="240" w:lineRule="exact"/>
      <w:jc w:val="left"/>
    </w:pPr>
    <w:rPr>
      <w:rFonts w:ascii="Arial" w:hAnsi="Arial"/>
      <w:kern w:val="0"/>
      <w:sz w:val="20"/>
      <w:szCs w:val="20"/>
      <w:lang w:eastAsia="en-US"/>
    </w:rPr>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rsid w:val="0004041B"/>
    <w:rPr>
      <w:sz w:val="21"/>
      <w:szCs w:val="21"/>
    </w:rPr>
  </w:style>
  <w:style w:type="paragraph" w:styleId="aa">
    <w:name w:val="annotation text"/>
    <w:basedOn w:val="a"/>
    <w:link w:val="ab"/>
    <w:rsid w:val="0004041B"/>
    <w:pPr>
      <w:jc w:val="left"/>
    </w:pPr>
  </w:style>
  <w:style w:type="character" w:customStyle="1" w:styleId="ab">
    <w:name w:val="批注文字 字符"/>
    <w:link w:val="aa"/>
    <w:rsid w:val="0004041B"/>
    <w:rPr>
      <w:kern w:val="2"/>
      <w:sz w:val="21"/>
      <w:szCs w:val="24"/>
    </w:rPr>
  </w:style>
  <w:style w:type="paragraph" w:styleId="ac">
    <w:name w:val="annotation subject"/>
    <w:basedOn w:val="aa"/>
    <w:next w:val="aa"/>
    <w:link w:val="ad"/>
    <w:rsid w:val="0004041B"/>
    <w:rPr>
      <w:b/>
      <w:bCs/>
    </w:rPr>
  </w:style>
  <w:style w:type="character" w:customStyle="1" w:styleId="ad">
    <w:name w:val="批注主题 字符"/>
    <w:link w:val="ac"/>
    <w:rsid w:val="0004041B"/>
    <w:rPr>
      <w:b/>
      <w:bCs/>
      <w:kern w:val="2"/>
      <w:sz w:val="21"/>
      <w:szCs w:val="24"/>
    </w:rPr>
  </w:style>
  <w:style w:type="paragraph" w:styleId="2-2">
    <w:name w:val="中等深浅列表 2 - 着色 2"/>
    <w:hidden/>
    <w:uiPriority w:val="71"/>
    <w:rsid w:val="00C05B59"/>
    <w:rPr>
      <w:kern w:val="2"/>
      <w:sz w:val="21"/>
      <w:szCs w:val="24"/>
    </w:rPr>
  </w:style>
  <w:style w:type="character" w:styleId="ae">
    <w:name w:val="Hyperlink"/>
    <w:uiPriority w:val="99"/>
    <w:rsid w:val="00BD54A6"/>
    <w:rPr>
      <w:color w:val="0563C1"/>
      <w:u w:val="single"/>
    </w:rPr>
  </w:style>
  <w:style w:type="character" w:customStyle="1" w:styleId="af">
    <w:name w:val="未处理的提及"/>
    <w:uiPriority w:val="99"/>
    <w:semiHidden/>
    <w:unhideWhenUsed/>
    <w:rsid w:val="006F1BD9"/>
    <w:rPr>
      <w:color w:val="605E5C"/>
      <w:shd w:val="clear" w:color="auto" w:fill="E1DFDD"/>
    </w:rPr>
  </w:style>
  <w:style w:type="character" w:styleId="af0">
    <w:name w:val="访问过的超链接"/>
    <w:rsid w:val="00EE3D5F"/>
    <w:rPr>
      <w:color w:val="954F72"/>
      <w:u w:val="single"/>
    </w:rPr>
  </w:style>
</w:styles>
</file>

<file path=word/webSettings.xml><?xml version="1.0" encoding="utf-8"?>
<w:webSettings xmlns:r="http://schemas.openxmlformats.org/officeDocument/2006/relationships" xmlns:w="http://schemas.openxmlformats.org/wordprocessingml/2006/main">
  <w:divs>
    <w:div w:id="161897625">
      <w:bodyDiv w:val="1"/>
      <w:marLeft w:val="0"/>
      <w:marRight w:val="0"/>
      <w:marTop w:val="0"/>
      <w:marBottom w:val="0"/>
      <w:divBdr>
        <w:top w:val="none" w:sz="0" w:space="0" w:color="auto"/>
        <w:left w:val="none" w:sz="0" w:space="0" w:color="auto"/>
        <w:bottom w:val="none" w:sz="0" w:space="0" w:color="auto"/>
        <w:right w:val="none" w:sz="0" w:space="0" w:color="auto"/>
      </w:divBdr>
    </w:div>
    <w:div w:id="201023162">
      <w:bodyDiv w:val="1"/>
      <w:marLeft w:val="0"/>
      <w:marRight w:val="0"/>
      <w:marTop w:val="0"/>
      <w:marBottom w:val="0"/>
      <w:divBdr>
        <w:top w:val="none" w:sz="0" w:space="0" w:color="auto"/>
        <w:left w:val="none" w:sz="0" w:space="0" w:color="auto"/>
        <w:bottom w:val="none" w:sz="0" w:space="0" w:color="auto"/>
        <w:right w:val="none" w:sz="0" w:space="0" w:color="auto"/>
      </w:divBdr>
    </w:div>
    <w:div w:id="270867879">
      <w:bodyDiv w:val="1"/>
      <w:marLeft w:val="0"/>
      <w:marRight w:val="0"/>
      <w:marTop w:val="0"/>
      <w:marBottom w:val="0"/>
      <w:divBdr>
        <w:top w:val="none" w:sz="0" w:space="0" w:color="auto"/>
        <w:left w:val="none" w:sz="0" w:space="0" w:color="auto"/>
        <w:bottom w:val="none" w:sz="0" w:space="0" w:color="auto"/>
        <w:right w:val="none" w:sz="0" w:space="0" w:color="auto"/>
      </w:divBdr>
    </w:div>
    <w:div w:id="433600553">
      <w:bodyDiv w:val="1"/>
      <w:marLeft w:val="0"/>
      <w:marRight w:val="0"/>
      <w:marTop w:val="0"/>
      <w:marBottom w:val="0"/>
      <w:divBdr>
        <w:top w:val="none" w:sz="0" w:space="0" w:color="auto"/>
        <w:left w:val="none" w:sz="0" w:space="0" w:color="auto"/>
        <w:bottom w:val="none" w:sz="0" w:space="0" w:color="auto"/>
        <w:right w:val="none" w:sz="0" w:space="0" w:color="auto"/>
      </w:divBdr>
    </w:div>
    <w:div w:id="510267644">
      <w:bodyDiv w:val="1"/>
      <w:marLeft w:val="0"/>
      <w:marRight w:val="0"/>
      <w:marTop w:val="0"/>
      <w:marBottom w:val="0"/>
      <w:divBdr>
        <w:top w:val="none" w:sz="0" w:space="0" w:color="auto"/>
        <w:left w:val="none" w:sz="0" w:space="0" w:color="auto"/>
        <w:bottom w:val="none" w:sz="0" w:space="0" w:color="auto"/>
        <w:right w:val="none" w:sz="0" w:space="0" w:color="auto"/>
      </w:divBdr>
    </w:div>
    <w:div w:id="537940034">
      <w:bodyDiv w:val="1"/>
      <w:marLeft w:val="0"/>
      <w:marRight w:val="0"/>
      <w:marTop w:val="0"/>
      <w:marBottom w:val="0"/>
      <w:divBdr>
        <w:top w:val="none" w:sz="0" w:space="0" w:color="auto"/>
        <w:left w:val="none" w:sz="0" w:space="0" w:color="auto"/>
        <w:bottom w:val="none" w:sz="0" w:space="0" w:color="auto"/>
        <w:right w:val="none" w:sz="0" w:space="0" w:color="auto"/>
      </w:divBdr>
    </w:div>
    <w:div w:id="540215715">
      <w:bodyDiv w:val="1"/>
      <w:marLeft w:val="0"/>
      <w:marRight w:val="0"/>
      <w:marTop w:val="0"/>
      <w:marBottom w:val="0"/>
      <w:divBdr>
        <w:top w:val="none" w:sz="0" w:space="0" w:color="auto"/>
        <w:left w:val="none" w:sz="0" w:space="0" w:color="auto"/>
        <w:bottom w:val="none" w:sz="0" w:space="0" w:color="auto"/>
        <w:right w:val="none" w:sz="0" w:space="0" w:color="auto"/>
      </w:divBdr>
    </w:div>
    <w:div w:id="558369724">
      <w:bodyDiv w:val="1"/>
      <w:marLeft w:val="0"/>
      <w:marRight w:val="0"/>
      <w:marTop w:val="0"/>
      <w:marBottom w:val="0"/>
      <w:divBdr>
        <w:top w:val="none" w:sz="0" w:space="0" w:color="auto"/>
        <w:left w:val="none" w:sz="0" w:space="0" w:color="auto"/>
        <w:bottom w:val="none" w:sz="0" w:space="0" w:color="auto"/>
        <w:right w:val="none" w:sz="0" w:space="0" w:color="auto"/>
      </w:divBdr>
    </w:div>
    <w:div w:id="600259443">
      <w:bodyDiv w:val="1"/>
      <w:marLeft w:val="0"/>
      <w:marRight w:val="0"/>
      <w:marTop w:val="0"/>
      <w:marBottom w:val="0"/>
      <w:divBdr>
        <w:top w:val="none" w:sz="0" w:space="0" w:color="auto"/>
        <w:left w:val="none" w:sz="0" w:space="0" w:color="auto"/>
        <w:bottom w:val="none" w:sz="0" w:space="0" w:color="auto"/>
        <w:right w:val="none" w:sz="0" w:space="0" w:color="auto"/>
      </w:divBdr>
    </w:div>
    <w:div w:id="622078069">
      <w:bodyDiv w:val="1"/>
      <w:marLeft w:val="0"/>
      <w:marRight w:val="0"/>
      <w:marTop w:val="0"/>
      <w:marBottom w:val="0"/>
      <w:divBdr>
        <w:top w:val="none" w:sz="0" w:space="0" w:color="auto"/>
        <w:left w:val="none" w:sz="0" w:space="0" w:color="auto"/>
        <w:bottom w:val="none" w:sz="0" w:space="0" w:color="auto"/>
        <w:right w:val="none" w:sz="0" w:space="0" w:color="auto"/>
      </w:divBdr>
    </w:div>
    <w:div w:id="688993054">
      <w:bodyDiv w:val="1"/>
      <w:marLeft w:val="0"/>
      <w:marRight w:val="0"/>
      <w:marTop w:val="0"/>
      <w:marBottom w:val="0"/>
      <w:divBdr>
        <w:top w:val="none" w:sz="0" w:space="0" w:color="auto"/>
        <w:left w:val="none" w:sz="0" w:space="0" w:color="auto"/>
        <w:bottom w:val="none" w:sz="0" w:space="0" w:color="auto"/>
        <w:right w:val="none" w:sz="0" w:space="0" w:color="auto"/>
      </w:divBdr>
    </w:div>
    <w:div w:id="695034539">
      <w:bodyDiv w:val="1"/>
      <w:marLeft w:val="0"/>
      <w:marRight w:val="0"/>
      <w:marTop w:val="0"/>
      <w:marBottom w:val="0"/>
      <w:divBdr>
        <w:top w:val="none" w:sz="0" w:space="0" w:color="auto"/>
        <w:left w:val="none" w:sz="0" w:space="0" w:color="auto"/>
        <w:bottom w:val="none" w:sz="0" w:space="0" w:color="auto"/>
        <w:right w:val="none" w:sz="0" w:space="0" w:color="auto"/>
      </w:divBdr>
    </w:div>
    <w:div w:id="928125511">
      <w:bodyDiv w:val="1"/>
      <w:marLeft w:val="0"/>
      <w:marRight w:val="0"/>
      <w:marTop w:val="0"/>
      <w:marBottom w:val="0"/>
      <w:divBdr>
        <w:top w:val="none" w:sz="0" w:space="0" w:color="auto"/>
        <w:left w:val="none" w:sz="0" w:space="0" w:color="auto"/>
        <w:bottom w:val="none" w:sz="0" w:space="0" w:color="auto"/>
        <w:right w:val="none" w:sz="0" w:space="0" w:color="auto"/>
      </w:divBdr>
      <w:divsChild>
        <w:div w:id="1231624071">
          <w:marLeft w:val="0"/>
          <w:marRight w:val="0"/>
          <w:marTop w:val="0"/>
          <w:marBottom w:val="0"/>
          <w:divBdr>
            <w:top w:val="none" w:sz="0" w:space="0" w:color="auto"/>
            <w:left w:val="none" w:sz="0" w:space="0" w:color="auto"/>
            <w:bottom w:val="none" w:sz="0" w:space="0" w:color="auto"/>
            <w:right w:val="none" w:sz="0" w:space="0" w:color="auto"/>
          </w:divBdr>
          <w:divsChild>
            <w:div w:id="14545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20475">
      <w:bodyDiv w:val="1"/>
      <w:marLeft w:val="0"/>
      <w:marRight w:val="0"/>
      <w:marTop w:val="0"/>
      <w:marBottom w:val="0"/>
      <w:divBdr>
        <w:top w:val="none" w:sz="0" w:space="0" w:color="auto"/>
        <w:left w:val="none" w:sz="0" w:space="0" w:color="auto"/>
        <w:bottom w:val="none" w:sz="0" w:space="0" w:color="auto"/>
        <w:right w:val="none" w:sz="0" w:space="0" w:color="auto"/>
      </w:divBdr>
    </w:div>
    <w:div w:id="997802417">
      <w:bodyDiv w:val="1"/>
      <w:marLeft w:val="0"/>
      <w:marRight w:val="0"/>
      <w:marTop w:val="0"/>
      <w:marBottom w:val="0"/>
      <w:divBdr>
        <w:top w:val="none" w:sz="0" w:space="0" w:color="auto"/>
        <w:left w:val="none" w:sz="0" w:space="0" w:color="auto"/>
        <w:bottom w:val="none" w:sz="0" w:space="0" w:color="auto"/>
        <w:right w:val="none" w:sz="0" w:space="0" w:color="auto"/>
      </w:divBdr>
    </w:div>
    <w:div w:id="1000809438">
      <w:bodyDiv w:val="1"/>
      <w:marLeft w:val="0"/>
      <w:marRight w:val="0"/>
      <w:marTop w:val="0"/>
      <w:marBottom w:val="0"/>
      <w:divBdr>
        <w:top w:val="none" w:sz="0" w:space="0" w:color="auto"/>
        <w:left w:val="none" w:sz="0" w:space="0" w:color="auto"/>
        <w:bottom w:val="none" w:sz="0" w:space="0" w:color="auto"/>
        <w:right w:val="none" w:sz="0" w:space="0" w:color="auto"/>
      </w:divBdr>
      <w:divsChild>
        <w:div w:id="285545855">
          <w:marLeft w:val="0"/>
          <w:marRight w:val="0"/>
          <w:marTop w:val="0"/>
          <w:marBottom w:val="0"/>
          <w:divBdr>
            <w:top w:val="none" w:sz="0" w:space="0" w:color="auto"/>
            <w:left w:val="none" w:sz="0" w:space="0" w:color="auto"/>
            <w:bottom w:val="none" w:sz="0" w:space="0" w:color="auto"/>
            <w:right w:val="none" w:sz="0" w:space="0" w:color="auto"/>
          </w:divBdr>
          <w:divsChild>
            <w:div w:id="16127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40804">
      <w:bodyDiv w:val="1"/>
      <w:marLeft w:val="0"/>
      <w:marRight w:val="0"/>
      <w:marTop w:val="0"/>
      <w:marBottom w:val="0"/>
      <w:divBdr>
        <w:top w:val="none" w:sz="0" w:space="0" w:color="auto"/>
        <w:left w:val="none" w:sz="0" w:space="0" w:color="auto"/>
        <w:bottom w:val="none" w:sz="0" w:space="0" w:color="auto"/>
        <w:right w:val="none" w:sz="0" w:space="0" w:color="auto"/>
      </w:divBdr>
    </w:div>
    <w:div w:id="1115707905">
      <w:bodyDiv w:val="1"/>
      <w:marLeft w:val="0"/>
      <w:marRight w:val="0"/>
      <w:marTop w:val="0"/>
      <w:marBottom w:val="0"/>
      <w:divBdr>
        <w:top w:val="none" w:sz="0" w:space="0" w:color="auto"/>
        <w:left w:val="none" w:sz="0" w:space="0" w:color="auto"/>
        <w:bottom w:val="none" w:sz="0" w:space="0" w:color="auto"/>
        <w:right w:val="none" w:sz="0" w:space="0" w:color="auto"/>
      </w:divBdr>
    </w:div>
    <w:div w:id="1117723176">
      <w:bodyDiv w:val="1"/>
      <w:marLeft w:val="0"/>
      <w:marRight w:val="0"/>
      <w:marTop w:val="0"/>
      <w:marBottom w:val="0"/>
      <w:divBdr>
        <w:top w:val="none" w:sz="0" w:space="0" w:color="auto"/>
        <w:left w:val="none" w:sz="0" w:space="0" w:color="auto"/>
        <w:bottom w:val="none" w:sz="0" w:space="0" w:color="auto"/>
        <w:right w:val="none" w:sz="0" w:space="0" w:color="auto"/>
      </w:divBdr>
    </w:div>
    <w:div w:id="1181316100">
      <w:bodyDiv w:val="1"/>
      <w:marLeft w:val="0"/>
      <w:marRight w:val="0"/>
      <w:marTop w:val="0"/>
      <w:marBottom w:val="0"/>
      <w:divBdr>
        <w:top w:val="none" w:sz="0" w:space="0" w:color="auto"/>
        <w:left w:val="none" w:sz="0" w:space="0" w:color="auto"/>
        <w:bottom w:val="none" w:sz="0" w:space="0" w:color="auto"/>
        <w:right w:val="none" w:sz="0" w:space="0" w:color="auto"/>
      </w:divBdr>
    </w:div>
    <w:div w:id="1189949418">
      <w:bodyDiv w:val="1"/>
      <w:marLeft w:val="0"/>
      <w:marRight w:val="0"/>
      <w:marTop w:val="0"/>
      <w:marBottom w:val="0"/>
      <w:divBdr>
        <w:top w:val="none" w:sz="0" w:space="0" w:color="auto"/>
        <w:left w:val="none" w:sz="0" w:space="0" w:color="auto"/>
        <w:bottom w:val="none" w:sz="0" w:space="0" w:color="auto"/>
        <w:right w:val="none" w:sz="0" w:space="0" w:color="auto"/>
      </w:divBdr>
    </w:div>
    <w:div w:id="1471895262">
      <w:bodyDiv w:val="1"/>
      <w:marLeft w:val="0"/>
      <w:marRight w:val="0"/>
      <w:marTop w:val="0"/>
      <w:marBottom w:val="0"/>
      <w:divBdr>
        <w:top w:val="none" w:sz="0" w:space="0" w:color="auto"/>
        <w:left w:val="none" w:sz="0" w:space="0" w:color="auto"/>
        <w:bottom w:val="none" w:sz="0" w:space="0" w:color="auto"/>
        <w:right w:val="none" w:sz="0" w:space="0" w:color="auto"/>
      </w:divBdr>
    </w:div>
    <w:div w:id="1524856610">
      <w:bodyDiv w:val="1"/>
      <w:marLeft w:val="0"/>
      <w:marRight w:val="0"/>
      <w:marTop w:val="0"/>
      <w:marBottom w:val="0"/>
      <w:divBdr>
        <w:top w:val="none" w:sz="0" w:space="0" w:color="auto"/>
        <w:left w:val="none" w:sz="0" w:space="0" w:color="auto"/>
        <w:bottom w:val="none" w:sz="0" w:space="0" w:color="auto"/>
        <w:right w:val="none" w:sz="0" w:space="0" w:color="auto"/>
      </w:divBdr>
    </w:div>
    <w:div w:id="1627616511">
      <w:bodyDiv w:val="1"/>
      <w:marLeft w:val="0"/>
      <w:marRight w:val="0"/>
      <w:marTop w:val="0"/>
      <w:marBottom w:val="0"/>
      <w:divBdr>
        <w:top w:val="none" w:sz="0" w:space="0" w:color="auto"/>
        <w:left w:val="none" w:sz="0" w:space="0" w:color="auto"/>
        <w:bottom w:val="none" w:sz="0" w:space="0" w:color="auto"/>
        <w:right w:val="none" w:sz="0" w:space="0" w:color="auto"/>
      </w:divBdr>
    </w:div>
    <w:div w:id="1741706659">
      <w:bodyDiv w:val="1"/>
      <w:marLeft w:val="0"/>
      <w:marRight w:val="0"/>
      <w:marTop w:val="0"/>
      <w:marBottom w:val="0"/>
      <w:divBdr>
        <w:top w:val="none" w:sz="0" w:space="0" w:color="auto"/>
        <w:left w:val="none" w:sz="0" w:space="0" w:color="auto"/>
        <w:bottom w:val="none" w:sz="0" w:space="0" w:color="auto"/>
        <w:right w:val="none" w:sz="0" w:space="0" w:color="auto"/>
      </w:divBdr>
    </w:div>
    <w:div w:id="1827476072">
      <w:bodyDiv w:val="1"/>
      <w:marLeft w:val="0"/>
      <w:marRight w:val="0"/>
      <w:marTop w:val="0"/>
      <w:marBottom w:val="0"/>
      <w:divBdr>
        <w:top w:val="none" w:sz="0" w:space="0" w:color="auto"/>
        <w:left w:val="none" w:sz="0" w:space="0" w:color="auto"/>
        <w:bottom w:val="none" w:sz="0" w:space="0" w:color="auto"/>
        <w:right w:val="none" w:sz="0" w:space="0" w:color="auto"/>
      </w:divBdr>
    </w:div>
    <w:div w:id="1831288860">
      <w:bodyDiv w:val="1"/>
      <w:marLeft w:val="0"/>
      <w:marRight w:val="0"/>
      <w:marTop w:val="0"/>
      <w:marBottom w:val="0"/>
      <w:divBdr>
        <w:top w:val="none" w:sz="0" w:space="0" w:color="auto"/>
        <w:left w:val="none" w:sz="0" w:space="0" w:color="auto"/>
        <w:bottom w:val="none" w:sz="0" w:space="0" w:color="auto"/>
        <w:right w:val="none" w:sz="0" w:space="0" w:color="auto"/>
      </w:divBdr>
      <w:divsChild>
        <w:div w:id="840434251">
          <w:marLeft w:val="0"/>
          <w:marRight w:val="0"/>
          <w:marTop w:val="0"/>
          <w:marBottom w:val="0"/>
          <w:divBdr>
            <w:top w:val="none" w:sz="0" w:space="0" w:color="auto"/>
            <w:left w:val="none" w:sz="0" w:space="0" w:color="auto"/>
            <w:bottom w:val="none" w:sz="0" w:space="0" w:color="auto"/>
            <w:right w:val="none" w:sz="0" w:space="0" w:color="auto"/>
          </w:divBdr>
          <w:divsChild>
            <w:div w:id="13881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4620">
      <w:bodyDiv w:val="1"/>
      <w:marLeft w:val="0"/>
      <w:marRight w:val="0"/>
      <w:marTop w:val="0"/>
      <w:marBottom w:val="0"/>
      <w:divBdr>
        <w:top w:val="none" w:sz="0" w:space="0" w:color="auto"/>
        <w:left w:val="none" w:sz="0" w:space="0" w:color="auto"/>
        <w:bottom w:val="none" w:sz="0" w:space="0" w:color="auto"/>
        <w:right w:val="none" w:sz="0" w:space="0" w:color="auto"/>
      </w:divBdr>
      <w:divsChild>
        <w:div w:id="81297383">
          <w:marLeft w:val="0"/>
          <w:marRight w:val="0"/>
          <w:marTop w:val="0"/>
          <w:marBottom w:val="0"/>
          <w:divBdr>
            <w:top w:val="none" w:sz="0" w:space="0" w:color="auto"/>
            <w:left w:val="none" w:sz="0" w:space="0" w:color="auto"/>
            <w:bottom w:val="none" w:sz="0" w:space="0" w:color="auto"/>
            <w:right w:val="none" w:sz="0" w:space="0" w:color="auto"/>
          </w:divBdr>
          <w:divsChild>
            <w:div w:id="6138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4207">
      <w:bodyDiv w:val="1"/>
      <w:marLeft w:val="0"/>
      <w:marRight w:val="0"/>
      <w:marTop w:val="0"/>
      <w:marBottom w:val="0"/>
      <w:divBdr>
        <w:top w:val="none" w:sz="0" w:space="0" w:color="auto"/>
        <w:left w:val="none" w:sz="0" w:space="0" w:color="auto"/>
        <w:bottom w:val="none" w:sz="0" w:space="0" w:color="auto"/>
        <w:right w:val="none" w:sz="0" w:space="0" w:color="auto"/>
      </w:divBdr>
    </w:div>
    <w:div w:id="2075812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xqfund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046C1-ECD8-4080-BB68-9A15BAEC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1262</Characters>
  <Application>Microsoft Office Word</Application>
  <DocSecurity>4</DocSecurity>
  <PresentationFormat/>
  <Lines>10</Lines>
  <Paragraphs>2</Paragraphs>
  <Slides>0</Slides>
  <Notes>0</Notes>
  <HiddenSlides>0</HiddenSlides>
  <MMClips>0</MMClips>
  <ScaleCrop>false</ScaleCrop>
  <Company>Microsoft</Company>
  <LinksUpToDate>false</LinksUpToDate>
  <CharactersWithSpaces>1481</CharactersWithSpaces>
  <SharedDoc>false</SharedDoc>
  <HLinks>
    <vt:vector size="6" baseType="variant">
      <vt:variant>
        <vt:i4>2490481</vt:i4>
      </vt:variant>
      <vt:variant>
        <vt:i4>0</vt:i4>
      </vt:variant>
      <vt:variant>
        <vt:i4>0</vt:i4>
      </vt:variant>
      <vt:variant>
        <vt:i4>5</vt:i4>
      </vt:variant>
      <vt:variant>
        <vt:lpwstr>http://www.xqfunds.com/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xuhw</dc:creator>
  <cp:keywords/>
  <cp:lastModifiedBy>ZHONGM</cp:lastModifiedBy>
  <cp:revision>2</cp:revision>
  <dcterms:created xsi:type="dcterms:W3CDTF">2020-12-15T16:01:00Z</dcterms:created>
  <dcterms:modified xsi:type="dcterms:W3CDTF">2020-12-15T16:01:00Z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