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84C" w:rsidRDefault="0078084C">
      <w:pPr>
        <w:spacing w:line="360" w:lineRule="auto"/>
        <w:jc w:val="center"/>
        <w:rPr>
          <w:rFonts w:ascii="宋体" w:eastAsia="宋体" w:hAnsi="宋体"/>
          <w:b/>
          <w:bCs/>
          <w:sz w:val="24"/>
          <w:szCs w:val="24"/>
        </w:rPr>
      </w:pPr>
      <w:r>
        <w:rPr>
          <w:rFonts w:ascii="宋体" w:eastAsia="宋体" w:hAnsi="宋体" w:hint="eastAsia"/>
          <w:b/>
          <w:bCs/>
          <w:sz w:val="24"/>
          <w:szCs w:val="24"/>
        </w:rPr>
        <w:t>广发基金管理有限公司</w:t>
      </w:r>
    </w:p>
    <w:p w:rsidR="00213B5E" w:rsidRDefault="0078084C" w:rsidP="0078084C">
      <w:pPr>
        <w:spacing w:line="360" w:lineRule="auto"/>
        <w:jc w:val="center"/>
        <w:rPr>
          <w:rFonts w:ascii="宋体" w:eastAsia="宋体" w:hAnsi="宋体"/>
          <w:b/>
          <w:bCs/>
          <w:sz w:val="24"/>
          <w:szCs w:val="24"/>
        </w:rPr>
      </w:pPr>
      <w:r>
        <w:rPr>
          <w:rFonts w:ascii="宋体" w:eastAsia="宋体" w:hAnsi="宋体" w:hint="eastAsia"/>
          <w:b/>
          <w:bCs/>
          <w:sz w:val="24"/>
          <w:szCs w:val="24"/>
        </w:rPr>
        <w:t>关于广发中证全指工业交易型开放式指数证券投资基金基金份额持有人大会表决结果暨决议生效的公告</w:t>
      </w:r>
    </w:p>
    <w:p w:rsidR="00213B5E" w:rsidRDefault="00213B5E">
      <w:pPr>
        <w:spacing w:line="360" w:lineRule="auto"/>
        <w:rPr>
          <w:rFonts w:ascii="宋体" w:eastAsia="宋体" w:hAnsi="宋体"/>
          <w:sz w:val="24"/>
          <w:szCs w:val="24"/>
        </w:rPr>
      </w:pP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依据《中华人民共和国证券投资基金法》、《公开募集证券投资基金运作管理办法》、《广发中证全指工业交易型开放式指数证券投资基金基金合同》（以下简称“《基金合同》”）的有关规定，现将广发中证全指工业交易型开放式指数证券投资基金（以下简称 “本基金”）基金份额持有人大会的决议及相关事项公告如下。</w:t>
      </w:r>
    </w:p>
    <w:p w:rsidR="00213B5E" w:rsidRDefault="00213B5E">
      <w:pPr>
        <w:spacing w:line="360" w:lineRule="auto"/>
        <w:ind w:firstLineChars="200" w:firstLine="480"/>
        <w:rPr>
          <w:rFonts w:ascii="宋体" w:eastAsia="宋体" w:hAnsi="宋体"/>
          <w:sz w:val="24"/>
          <w:szCs w:val="24"/>
        </w:rPr>
      </w:pPr>
    </w:p>
    <w:p w:rsidR="00213B5E" w:rsidRDefault="0078084C" w:rsidP="0078084C">
      <w:pPr>
        <w:spacing w:line="360" w:lineRule="auto"/>
        <w:ind w:firstLineChars="200" w:firstLine="482"/>
        <w:rPr>
          <w:rFonts w:ascii="宋体" w:eastAsia="宋体" w:hAnsi="宋体"/>
          <w:b/>
          <w:bCs/>
          <w:sz w:val="24"/>
          <w:szCs w:val="24"/>
        </w:rPr>
      </w:pPr>
      <w:r>
        <w:rPr>
          <w:rFonts w:ascii="宋体" w:eastAsia="宋体" w:hAnsi="宋体" w:hint="eastAsia"/>
          <w:b/>
          <w:bCs/>
          <w:sz w:val="24"/>
          <w:szCs w:val="24"/>
        </w:rPr>
        <w:t>一、本基金基金份额持有人大会会议情况</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本基金基金份额持有人大会已于</w:t>
      </w:r>
      <w:r w:rsidRPr="0078084C">
        <w:rPr>
          <w:rFonts w:ascii="宋体" w:eastAsia="宋体" w:hAnsi="宋体" w:hint="eastAsia"/>
          <w:sz w:val="24"/>
          <w:szCs w:val="24"/>
        </w:rPr>
        <w:t>2020年11月4日起，至2020年12月8日</w:t>
      </w:r>
      <w:r>
        <w:rPr>
          <w:rFonts w:ascii="宋体" w:eastAsia="宋体" w:hAnsi="宋体"/>
          <w:sz w:val="24"/>
          <w:szCs w:val="24"/>
        </w:rPr>
        <w:t>1</w:t>
      </w:r>
      <w:r>
        <w:rPr>
          <w:rFonts w:ascii="宋体" w:eastAsia="宋体" w:hAnsi="宋体" w:hint="eastAsia"/>
          <w:sz w:val="24"/>
          <w:szCs w:val="24"/>
        </w:rPr>
        <w:t>5：</w:t>
      </w:r>
      <w:r>
        <w:rPr>
          <w:rFonts w:ascii="宋体" w:eastAsia="宋体" w:hAnsi="宋体"/>
          <w:sz w:val="24"/>
          <w:szCs w:val="24"/>
        </w:rPr>
        <w:t>00</w:t>
      </w:r>
      <w:r>
        <w:rPr>
          <w:rFonts w:ascii="宋体" w:eastAsia="宋体" w:hAnsi="宋体" w:hint="eastAsia"/>
          <w:sz w:val="24"/>
          <w:szCs w:val="24"/>
        </w:rPr>
        <w:t>以通讯方式召开。</w:t>
      </w:r>
      <w:r>
        <w:rPr>
          <w:rFonts w:ascii="宋体" w:eastAsia="宋体" w:hAnsi="宋体"/>
          <w:sz w:val="24"/>
          <w:szCs w:val="24"/>
        </w:rPr>
        <w:t>2020</w:t>
      </w:r>
      <w:r>
        <w:rPr>
          <w:rFonts w:ascii="宋体" w:eastAsia="宋体" w:hAnsi="宋体" w:hint="eastAsia"/>
          <w:sz w:val="24"/>
          <w:szCs w:val="24"/>
        </w:rPr>
        <w:t>年</w:t>
      </w:r>
      <w:r>
        <w:rPr>
          <w:rFonts w:ascii="宋体" w:eastAsia="宋体" w:hAnsi="宋体"/>
          <w:sz w:val="24"/>
          <w:szCs w:val="24"/>
        </w:rPr>
        <w:t>12</w:t>
      </w:r>
      <w:r>
        <w:rPr>
          <w:rFonts w:ascii="宋体" w:eastAsia="宋体" w:hAnsi="宋体" w:hint="eastAsia"/>
          <w:sz w:val="24"/>
          <w:szCs w:val="24"/>
        </w:rPr>
        <w:t>月</w:t>
      </w:r>
      <w:r>
        <w:rPr>
          <w:rFonts w:ascii="宋体" w:eastAsia="宋体" w:hAnsi="宋体"/>
          <w:sz w:val="24"/>
          <w:szCs w:val="24"/>
        </w:rPr>
        <w:t>9</w:t>
      </w:r>
      <w:r>
        <w:rPr>
          <w:rFonts w:ascii="宋体" w:eastAsia="宋体" w:hAnsi="宋体" w:hint="eastAsia"/>
          <w:sz w:val="24"/>
          <w:szCs w:val="24"/>
        </w:rPr>
        <w:t>日，在本基金的基金托管人</w:t>
      </w:r>
      <w:r w:rsidRPr="00AE3C52">
        <w:rPr>
          <w:rFonts w:ascii="宋体" w:hAnsi="宋体" w:hint="eastAsia"/>
          <w:sz w:val="24"/>
          <w:szCs w:val="24"/>
        </w:rPr>
        <w:t>中国银行股份有限公司</w:t>
      </w:r>
      <w:r>
        <w:rPr>
          <w:rFonts w:ascii="宋体" w:eastAsia="宋体" w:hAnsi="宋体" w:hint="eastAsia"/>
          <w:sz w:val="24"/>
          <w:szCs w:val="24"/>
        </w:rPr>
        <w:t>授权代表的监督下，本基金管理人对本次大会表决进行了计票，广东广信君达律师事务所对计票过程进行了见证，广东省广州市南方公证处对计票过程及结果进行了公证。经统计，基金份额持有人出席情况如下：</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出席本次大会的广发中证全指工业交易型开放式指数证券投资基金基金份额持有人所代表份额共计</w:t>
      </w:r>
      <w:r w:rsidR="00640595" w:rsidRPr="00640595">
        <w:rPr>
          <w:rFonts w:ascii="宋体" w:eastAsia="宋体" w:hAnsi="宋体" w:hint="eastAsia"/>
          <w:sz w:val="24"/>
          <w:szCs w:val="24"/>
        </w:rPr>
        <w:t>16,277,223.00份，占权益登记日基金总份额27,166,421.00份的59.92%</w:t>
      </w:r>
      <w:r>
        <w:rPr>
          <w:rFonts w:ascii="宋体" w:eastAsia="宋体" w:hAnsi="宋体" w:hint="eastAsia"/>
          <w:sz w:val="24"/>
          <w:szCs w:val="24"/>
        </w:rPr>
        <w:t>。出席情况达到本基金在权益登记日总份额的50%以上（含50%），满足法定开会条件，符合《中华人民共和国证券投资基金法》、《公开募集证券投资基金运作管理办法》和《基金合同》的有关规定。</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大会审议了</w:t>
      </w:r>
      <w:r>
        <w:rPr>
          <w:rFonts w:ascii="宋体" w:hAnsi="宋体" w:hint="eastAsia"/>
          <w:sz w:val="24"/>
          <w:szCs w:val="24"/>
        </w:rPr>
        <w:t>《</w:t>
      </w:r>
      <w:r w:rsidRPr="0078084C">
        <w:rPr>
          <w:rFonts w:ascii="宋体" w:hAnsi="宋体" w:hint="eastAsia"/>
          <w:sz w:val="24"/>
          <w:szCs w:val="24"/>
        </w:rPr>
        <w:t>关于广发中证全指工业交易型开放式指数证券投资基金终止基金合同并终止上市相关事项的议案</w:t>
      </w:r>
      <w:r>
        <w:rPr>
          <w:rFonts w:ascii="宋体" w:hAnsi="宋体" w:hint="eastAsia"/>
          <w:sz w:val="24"/>
          <w:szCs w:val="24"/>
        </w:rPr>
        <w:t>》</w:t>
      </w:r>
      <w:r>
        <w:rPr>
          <w:rFonts w:ascii="宋体" w:eastAsia="宋体" w:hAnsi="宋体" w:hint="eastAsia"/>
          <w:sz w:val="24"/>
          <w:szCs w:val="24"/>
        </w:rPr>
        <w:t>（以下简称“议案”），并由参加大会的基金份额持有人及代理人对本次会议议案进行表决，表决结果为：</w:t>
      </w:r>
      <w:r w:rsidR="00640595" w:rsidRPr="0073359D">
        <w:rPr>
          <w:rFonts w:ascii="宋体" w:hAnsi="宋体" w:hint="eastAsia"/>
          <w:sz w:val="24"/>
          <w:szCs w:val="24"/>
        </w:rPr>
        <w:t>15,460,637.00</w:t>
      </w:r>
      <w:r>
        <w:rPr>
          <w:rFonts w:ascii="宋体" w:eastAsia="宋体" w:hAnsi="宋体" w:hint="eastAsia"/>
          <w:sz w:val="24"/>
          <w:szCs w:val="24"/>
        </w:rPr>
        <w:t>份基金份额同意，</w:t>
      </w:r>
      <w:r w:rsidR="00640595" w:rsidRPr="0073359D">
        <w:rPr>
          <w:rFonts w:ascii="宋体" w:hAnsi="宋体" w:hint="eastAsia"/>
          <w:sz w:val="24"/>
          <w:szCs w:val="24"/>
        </w:rPr>
        <w:t>816,586.00</w:t>
      </w:r>
      <w:r>
        <w:rPr>
          <w:rFonts w:ascii="宋体" w:eastAsia="宋体" w:hAnsi="宋体" w:hint="eastAsia"/>
          <w:sz w:val="24"/>
          <w:szCs w:val="24"/>
        </w:rPr>
        <w:t>份基金份额反对，</w:t>
      </w:r>
      <w:r w:rsidR="00640595">
        <w:rPr>
          <w:rFonts w:ascii="宋体" w:eastAsia="宋体" w:hAnsi="宋体"/>
          <w:sz w:val="24"/>
          <w:szCs w:val="24"/>
        </w:rPr>
        <w:t>0</w:t>
      </w:r>
      <w:r>
        <w:rPr>
          <w:rFonts w:ascii="宋体" w:eastAsia="宋体" w:hAnsi="宋体" w:hint="eastAsia"/>
          <w:sz w:val="24"/>
          <w:szCs w:val="24"/>
        </w:rPr>
        <w:t>份基金份额弃权。同意本次大会议案的基金份额占参加本次会议表决的持有人及代理人所持表决权的</w:t>
      </w:r>
      <w:r w:rsidR="00640595" w:rsidRPr="0073359D">
        <w:rPr>
          <w:rFonts w:ascii="宋体" w:hAnsi="宋体" w:hint="eastAsia"/>
          <w:sz w:val="24"/>
          <w:szCs w:val="24"/>
        </w:rPr>
        <w:t>9</w:t>
      </w:r>
      <w:r w:rsidR="00640595" w:rsidRPr="0073359D">
        <w:rPr>
          <w:rFonts w:ascii="宋体" w:hAnsi="宋体"/>
          <w:sz w:val="24"/>
          <w:szCs w:val="24"/>
        </w:rPr>
        <w:t>4</w:t>
      </w:r>
      <w:r w:rsidR="00640595" w:rsidRPr="0073359D">
        <w:rPr>
          <w:rFonts w:ascii="宋体" w:hAnsi="宋体" w:hint="eastAsia"/>
          <w:sz w:val="24"/>
          <w:szCs w:val="24"/>
        </w:rPr>
        <w:t>.</w:t>
      </w:r>
      <w:r w:rsidR="00640595" w:rsidRPr="0073359D">
        <w:rPr>
          <w:rFonts w:ascii="宋体" w:hAnsi="宋体"/>
          <w:sz w:val="24"/>
          <w:szCs w:val="24"/>
        </w:rPr>
        <w:t>98%</w:t>
      </w:r>
      <w:r>
        <w:rPr>
          <w:rFonts w:ascii="宋体" w:eastAsia="宋体" w:hAnsi="宋体" w:hint="eastAsia"/>
          <w:sz w:val="24"/>
          <w:szCs w:val="24"/>
        </w:rPr>
        <w:t>，达三分之二以上,满足法定生效条件，符合《中华人民共和国证券投资基金法》、《公开募集证券投资基金运作管理办法》和《基金合同》的有关规定，本次会议议案获得通过。</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根据《公开募集证券投资基金运作管理办法》、《广发中证全指工业交易型开放式指数证券投资基金基金合同》的有关规定，经本基金托管人中国银行股份有限公司确认，本次基金份额持有人大会费用由基金资产列支，本次基金份额持有人大会律师费1万元，公证费1万元，合计为2万元。</w:t>
      </w:r>
    </w:p>
    <w:p w:rsidR="00213B5E" w:rsidRDefault="00213B5E">
      <w:pPr>
        <w:spacing w:line="360" w:lineRule="auto"/>
        <w:ind w:firstLineChars="200" w:firstLine="480"/>
        <w:rPr>
          <w:rFonts w:ascii="宋体" w:eastAsia="宋体" w:hAnsi="宋体"/>
          <w:sz w:val="24"/>
          <w:szCs w:val="24"/>
        </w:rPr>
      </w:pPr>
    </w:p>
    <w:p w:rsidR="00213B5E" w:rsidRDefault="0078084C">
      <w:pPr>
        <w:spacing w:line="360" w:lineRule="auto"/>
        <w:rPr>
          <w:rFonts w:ascii="宋体" w:eastAsia="宋体" w:hAnsi="宋体"/>
          <w:b/>
          <w:sz w:val="24"/>
          <w:szCs w:val="24"/>
        </w:rPr>
      </w:pPr>
      <w:r>
        <w:rPr>
          <w:rFonts w:ascii="宋体" w:eastAsia="宋体" w:hAnsi="宋体" w:hint="eastAsia"/>
          <w:b/>
          <w:sz w:val="24"/>
          <w:szCs w:val="24"/>
        </w:rPr>
        <w:t>二、本基金基金份额持有人大会决议的生效</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根据《公开募集证券投资基金运作管理办法》的规定，本基金基金份额持有人大会决定的事项自表决通过之日起生效。广发中证全指工业交易型开放式指数证券投资基金基金份额持有人大会于</w:t>
      </w:r>
      <w:r>
        <w:rPr>
          <w:rFonts w:ascii="宋体" w:eastAsia="宋体" w:hAnsi="宋体"/>
          <w:sz w:val="24"/>
          <w:szCs w:val="24"/>
        </w:rPr>
        <w:t>2020</w:t>
      </w:r>
      <w:r>
        <w:rPr>
          <w:rFonts w:ascii="宋体" w:eastAsia="宋体" w:hAnsi="宋体" w:hint="eastAsia"/>
          <w:sz w:val="24"/>
          <w:szCs w:val="24"/>
        </w:rPr>
        <w:t>年</w:t>
      </w:r>
      <w:r>
        <w:rPr>
          <w:rFonts w:ascii="宋体" w:eastAsia="宋体" w:hAnsi="宋体"/>
          <w:sz w:val="24"/>
          <w:szCs w:val="24"/>
        </w:rPr>
        <w:t>12</w:t>
      </w:r>
      <w:r>
        <w:rPr>
          <w:rFonts w:ascii="宋体" w:eastAsia="宋体" w:hAnsi="宋体" w:hint="eastAsia"/>
          <w:sz w:val="24"/>
          <w:szCs w:val="24"/>
        </w:rPr>
        <w:t>月</w:t>
      </w:r>
      <w:r>
        <w:rPr>
          <w:rFonts w:ascii="宋体" w:eastAsia="宋体" w:hAnsi="宋体"/>
          <w:sz w:val="24"/>
          <w:szCs w:val="24"/>
        </w:rPr>
        <w:t>9</w:t>
      </w:r>
      <w:r>
        <w:rPr>
          <w:rFonts w:ascii="宋体" w:eastAsia="宋体" w:hAnsi="宋体" w:hint="eastAsia"/>
          <w:sz w:val="24"/>
          <w:szCs w:val="24"/>
        </w:rPr>
        <w:t>日表决通过了</w:t>
      </w:r>
      <w:r>
        <w:rPr>
          <w:rFonts w:ascii="宋体" w:hAnsi="宋体" w:hint="eastAsia"/>
          <w:sz w:val="24"/>
          <w:szCs w:val="24"/>
        </w:rPr>
        <w:t>《</w:t>
      </w:r>
      <w:r w:rsidRPr="0078084C">
        <w:rPr>
          <w:rFonts w:ascii="宋体" w:hAnsi="宋体" w:hint="eastAsia"/>
          <w:sz w:val="24"/>
          <w:szCs w:val="24"/>
        </w:rPr>
        <w:t>关于广发中证全指工业交易型开放式指数证券投资基金终止基金合同并终止上市相关事项的议案</w:t>
      </w:r>
      <w:r>
        <w:rPr>
          <w:rFonts w:ascii="宋体" w:hAnsi="宋体" w:hint="eastAsia"/>
          <w:sz w:val="24"/>
          <w:szCs w:val="24"/>
        </w:rPr>
        <w:t>》</w:t>
      </w:r>
      <w:r>
        <w:rPr>
          <w:rFonts w:ascii="宋体" w:eastAsia="宋体" w:hAnsi="宋体" w:hint="eastAsia"/>
          <w:sz w:val="24"/>
          <w:szCs w:val="24"/>
        </w:rPr>
        <w:t>，本次大会决议自该日起生效。基金管理人将自该日起五日内将表决通过的事项报中国证监会备案。</w:t>
      </w:r>
      <w:r>
        <w:rPr>
          <w:rFonts w:ascii="宋体" w:eastAsia="宋体" w:hAnsi="宋体"/>
          <w:sz w:val="24"/>
          <w:szCs w:val="24"/>
        </w:rPr>
        <w:t xml:space="preserve"> </w:t>
      </w:r>
    </w:p>
    <w:p w:rsidR="00213B5E" w:rsidRDefault="00213B5E" w:rsidP="00640595">
      <w:pPr>
        <w:spacing w:line="360" w:lineRule="auto"/>
        <w:rPr>
          <w:rFonts w:ascii="宋体" w:eastAsia="宋体" w:hAnsi="宋体"/>
          <w:sz w:val="24"/>
          <w:szCs w:val="24"/>
        </w:rPr>
      </w:pPr>
    </w:p>
    <w:p w:rsidR="00213B5E" w:rsidRDefault="0078084C">
      <w:pPr>
        <w:spacing w:line="360" w:lineRule="auto"/>
        <w:rPr>
          <w:rFonts w:ascii="宋体" w:eastAsia="宋体" w:hAnsi="宋体"/>
          <w:b/>
          <w:sz w:val="24"/>
          <w:szCs w:val="24"/>
        </w:rPr>
      </w:pPr>
      <w:r>
        <w:rPr>
          <w:rFonts w:ascii="宋体" w:eastAsia="宋体" w:hAnsi="宋体" w:hint="eastAsia"/>
          <w:b/>
          <w:sz w:val="24"/>
          <w:szCs w:val="24"/>
        </w:rPr>
        <w:t>三、本基金基金份额持有人大会决议相关事项的后续安排</w:t>
      </w:r>
    </w:p>
    <w:p w:rsidR="00213B5E" w:rsidRDefault="0078084C" w:rsidP="0078084C">
      <w:pPr>
        <w:spacing w:line="360" w:lineRule="auto"/>
        <w:ind w:firstLineChars="200" w:firstLine="480"/>
        <w:rPr>
          <w:rFonts w:ascii="宋体" w:eastAsia="宋体" w:hAnsi="宋体"/>
          <w:sz w:val="24"/>
          <w:szCs w:val="24"/>
        </w:rPr>
      </w:pPr>
      <w:r>
        <w:rPr>
          <w:rFonts w:ascii="宋体" w:eastAsia="宋体" w:hAnsi="宋体" w:hint="eastAsia"/>
          <w:sz w:val="24"/>
          <w:szCs w:val="24"/>
        </w:rPr>
        <w:t>本次基金份额持有人大会决议通过后，根据</w:t>
      </w:r>
      <w:r w:rsidRPr="0078084C">
        <w:rPr>
          <w:rFonts w:ascii="宋体" w:eastAsia="宋体" w:hAnsi="宋体" w:hint="eastAsia"/>
          <w:sz w:val="24"/>
          <w:szCs w:val="24"/>
        </w:rPr>
        <w:t>《关于广发中证全指工业交易型开放式指数证券投资基金终止基金合同并终止上市相关事项的议案》及《&lt;关于广发中证全指工业交易型开放式指数证券投资基金终止基金合同并终止上市相关事项的议案&gt;的说明》</w:t>
      </w:r>
      <w:r>
        <w:rPr>
          <w:rFonts w:ascii="宋体" w:eastAsia="宋体" w:hAnsi="宋体" w:hint="eastAsia"/>
          <w:sz w:val="24"/>
          <w:szCs w:val="24"/>
        </w:rPr>
        <w:t>，本基金管理人将依据深圳证券交易所的业务规定</w:t>
      </w:r>
      <w:r w:rsidR="00652C42">
        <w:rPr>
          <w:rFonts w:ascii="宋体" w:eastAsia="宋体" w:hAnsi="宋体" w:hint="eastAsia"/>
          <w:sz w:val="24"/>
          <w:szCs w:val="24"/>
        </w:rPr>
        <w:t>申请本基金终止上市交易，</w:t>
      </w:r>
      <w:r>
        <w:rPr>
          <w:rFonts w:ascii="宋体" w:eastAsia="宋体" w:hAnsi="宋体" w:hint="eastAsia"/>
          <w:sz w:val="24"/>
          <w:szCs w:val="24"/>
        </w:rPr>
        <w:t>履行本基金的退市程序。</w:t>
      </w:r>
      <w:r w:rsidRPr="0078084C">
        <w:rPr>
          <w:rFonts w:ascii="宋体" w:eastAsia="宋体" w:hAnsi="宋体" w:hint="eastAsia"/>
          <w:sz w:val="24"/>
          <w:szCs w:val="24"/>
        </w:rPr>
        <w:t>本基金于</w:t>
      </w:r>
      <w:r w:rsidR="00A43368">
        <w:rPr>
          <w:rFonts w:ascii="宋体" w:eastAsia="宋体" w:hAnsi="宋体" w:hint="eastAsia"/>
          <w:sz w:val="24"/>
          <w:szCs w:val="24"/>
        </w:rPr>
        <w:t>20</w:t>
      </w:r>
      <w:r w:rsidR="00A43368">
        <w:rPr>
          <w:rFonts w:ascii="宋体" w:eastAsia="宋体" w:hAnsi="宋体"/>
          <w:sz w:val="24"/>
          <w:szCs w:val="24"/>
        </w:rPr>
        <w:t>20</w:t>
      </w:r>
      <w:r w:rsidRPr="0078084C">
        <w:rPr>
          <w:rFonts w:ascii="宋体" w:eastAsia="宋体" w:hAnsi="宋体" w:hint="eastAsia"/>
          <w:sz w:val="24"/>
          <w:szCs w:val="24"/>
        </w:rPr>
        <w:t>年</w:t>
      </w:r>
      <w:r>
        <w:rPr>
          <w:rFonts w:ascii="宋体" w:eastAsia="宋体" w:hAnsi="宋体"/>
          <w:sz w:val="24"/>
          <w:szCs w:val="24"/>
        </w:rPr>
        <w:t>12</w:t>
      </w:r>
      <w:r w:rsidRPr="0078084C">
        <w:rPr>
          <w:rFonts w:ascii="宋体" w:eastAsia="宋体" w:hAnsi="宋体" w:hint="eastAsia"/>
          <w:sz w:val="24"/>
          <w:szCs w:val="24"/>
        </w:rPr>
        <w:t>月</w:t>
      </w:r>
      <w:r>
        <w:rPr>
          <w:rFonts w:ascii="宋体" w:eastAsia="宋体" w:hAnsi="宋体"/>
          <w:sz w:val="24"/>
          <w:szCs w:val="24"/>
        </w:rPr>
        <w:t>9</w:t>
      </w:r>
      <w:r w:rsidRPr="0078084C">
        <w:rPr>
          <w:rFonts w:ascii="宋体" w:eastAsia="宋体" w:hAnsi="宋体" w:hint="eastAsia"/>
          <w:sz w:val="24"/>
          <w:szCs w:val="24"/>
        </w:rPr>
        <w:t>日</w:t>
      </w:r>
      <w:r>
        <w:rPr>
          <w:rFonts w:ascii="宋体" w:eastAsia="宋体" w:hAnsi="宋体" w:hint="eastAsia"/>
          <w:sz w:val="24"/>
          <w:szCs w:val="24"/>
        </w:rPr>
        <w:t>开市</w:t>
      </w:r>
      <w:r w:rsidRPr="0078084C">
        <w:rPr>
          <w:rFonts w:ascii="宋体" w:eastAsia="宋体" w:hAnsi="宋体" w:hint="eastAsia"/>
          <w:sz w:val="24"/>
          <w:szCs w:val="24"/>
        </w:rPr>
        <w:t>起停牌并不再复牌</w:t>
      </w:r>
      <w:r>
        <w:rPr>
          <w:rFonts w:ascii="宋体" w:eastAsia="宋体" w:hAnsi="宋体" w:hint="eastAsia"/>
          <w:sz w:val="24"/>
          <w:szCs w:val="24"/>
        </w:rPr>
        <w:t>，</w:t>
      </w:r>
      <w:r w:rsidRPr="0078084C">
        <w:rPr>
          <w:rFonts w:ascii="宋体" w:eastAsia="宋体" w:hAnsi="宋体" w:hint="eastAsia"/>
          <w:sz w:val="24"/>
          <w:szCs w:val="24"/>
        </w:rPr>
        <w:t>自决议生效并公告后的下一个工作日（20</w:t>
      </w:r>
      <w:r>
        <w:rPr>
          <w:rFonts w:ascii="宋体" w:eastAsia="宋体" w:hAnsi="宋体"/>
          <w:sz w:val="24"/>
          <w:szCs w:val="24"/>
        </w:rPr>
        <w:t>20</w:t>
      </w:r>
      <w:r w:rsidRPr="0078084C">
        <w:rPr>
          <w:rFonts w:ascii="宋体" w:eastAsia="宋体" w:hAnsi="宋体" w:hint="eastAsia"/>
          <w:sz w:val="24"/>
          <w:szCs w:val="24"/>
        </w:rPr>
        <w:t>年</w:t>
      </w:r>
      <w:r>
        <w:rPr>
          <w:rFonts w:ascii="宋体" w:eastAsia="宋体" w:hAnsi="宋体"/>
          <w:sz w:val="24"/>
          <w:szCs w:val="24"/>
        </w:rPr>
        <w:t>12</w:t>
      </w:r>
      <w:r w:rsidRPr="0078084C">
        <w:rPr>
          <w:rFonts w:ascii="宋体" w:eastAsia="宋体" w:hAnsi="宋体" w:hint="eastAsia"/>
          <w:sz w:val="24"/>
          <w:szCs w:val="24"/>
        </w:rPr>
        <w:t>月</w:t>
      </w:r>
      <w:r>
        <w:rPr>
          <w:rFonts w:ascii="宋体" w:eastAsia="宋体" w:hAnsi="宋体"/>
          <w:sz w:val="24"/>
          <w:szCs w:val="24"/>
        </w:rPr>
        <w:t>11</w:t>
      </w:r>
      <w:r w:rsidRPr="0078084C">
        <w:rPr>
          <w:rFonts w:ascii="宋体" w:eastAsia="宋体" w:hAnsi="宋体" w:hint="eastAsia"/>
          <w:sz w:val="24"/>
          <w:szCs w:val="24"/>
        </w:rPr>
        <w:t>日）起，本基金进入清算程序，基金管理人不再接受投资者提出的申购、赎回</w:t>
      </w:r>
      <w:r>
        <w:rPr>
          <w:rFonts w:ascii="宋体" w:eastAsia="宋体" w:hAnsi="宋体" w:hint="eastAsia"/>
          <w:sz w:val="24"/>
          <w:szCs w:val="24"/>
        </w:rPr>
        <w:t>业务</w:t>
      </w:r>
      <w:r w:rsidRPr="0078084C">
        <w:rPr>
          <w:rFonts w:ascii="宋体" w:eastAsia="宋体" w:hAnsi="宋体" w:hint="eastAsia"/>
          <w:sz w:val="24"/>
          <w:szCs w:val="24"/>
        </w:rPr>
        <w:t>申请。本基金进入清算程序后，停止收取基金管理费和基金托管费。</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基金管理人承诺以诚实信用、勤勉尽责的原则管理和运用基金资产，并在履行必要手续后向投资者及时公告包括基金最后运作日、基金财产清算等后续安排，敬请投资者关注。</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基金管理人将组织基金财产清算小组并在中国证监会的监督下进行基金清算。基金财产清算小组成员由基金管理人、基金托管人、具有从事证券相关业务资格的注册会计师、律师以及中国证监会指定的人员组成。基金财产清算小组可以聘用必要的工作人员。</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基金财产清算完毕，清算报告报中国证监会备案并予以公告后，基金合同终止。</w:t>
      </w:r>
    </w:p>
    <w:p w:rsidR="00213B5E" w:rsidRDefault="000F1084" w:rsidP="000F1084">
      <w:pPr>
        <w:spacing w:line="360" w:lineRule="auto"/>
        <w:rPr>
          <w:rFonts w:ascii="宋体" w:eastAsia="宋体" w:hAnsi="宋体"/>
          <w:b/>
          <w:bCs/>
          <w:sz w:val="24"/>
          <w:szCs w:val="24"/>
        </w:rPr>
      </w:pPr>
      <w:r>
        <w:rPr>
          <w:rFonts w:ascii="宋体" w:eastAsia="宋体" w:hAnsi="宋体" w:hint="eastAsia"/>
          <w:b/>
          <w:bCs/>
          <w:sz w:val="24"/>
          <w:szCs w:val="24"/>
        </w:rPr>
        <w:t>四</w:t>
      </w:r>
      <w:r w:rsidR="0078084C">
        <w:rPr>
          <w:rFonts w:ascii="宋体" w:eastAsia="宋体" w:hAnsi="宋体" w:hint="eastAsia"/>
          <w:b/>
          <w:bCs/>
          <w:sz w:val="24"/>
          <w:szCs w:val="24"/>
        </w:rPr>
        <w:t>、备查文件</w:t>
      </w: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1、《关于召开</w:t>
      </w:r>
      <w:r>
        <w:rPr>
          <w:rFonts w:ascii="宋体" w:hAnsi="宋体" w:hint="eastAsia"/>
          <w:sz w:val="24"/>
          <w:szCs w:val="24"/>
        </w:rPr>
        <w:t>广发中证全指工业交易型开放式指数证券投资基金</w:t>
      </w:r>
      <w:r>
        <w:rPr>
          <w:rFonts w:ascii="宋体" w:eastAsia="宋体" w:hAnsi="宋体" w:hint="eastAsia"/>
          <w:sz w:val="24"/>
          <w:szCs w:val="24"/>
        </w:rPr>
        <w:t>基金份额持有人大会的公告》</w:t>
      </w:r>
    </w:p>
    <w:p w:rsidR="00213B5E" w:rsidRDefault="0078084C">
      <w:pPr>
        <w:spacing w:line="360" w:lineRule="auto"/>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、广东广信君达律师事务所《关于广发基金管理有限公司</w:t>
      </w:r>
      <w:r>
        <w:rPr>
          <w:rFonts w:ascii="宋体" w:hAnsi="宋体" w:hint="eastAsia"/>
          <w:sz w:val="24"/>
          <w:szCs w:val="24"/>
        </w:rPr>
        <w:t>广发中证全指工业交易型开放式指数证券投资基金</w:t>
      </w:r>
      <w:r>
        <w:rPr>
          <w:rFonts w:ascii="宋体" w:eastAsia="宋体" w:hAnsi="宋体" w:hint="eastAsia"/>
          <w:sz w:val="24"/>
          <w:szCs w:val="24"/>
        </w:rPr>
        <w:t>基金份额持有人大会的法律意见书》</w:t>
      </w:r>
    </w:p>
    <w:p w:rsidR="00213B5E" w:rsidRDefault="0078084C">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、广东省广州市南方公证处《公证书》</w:t>
      </w:r>
    </w:p>
    <w:p w:rsidR="00213B5E" w:rsidRDefault="00213B5E">
      <w:pPr>
        <w:spacing w:line="360" w:lineRule="auto"/>
        <w:rPr>
          <w:rFonts w:ascii="宋体" w:eastAsia="宋体" w:hAnsi="宋体"/>
          <w:sz w:val="24"/>
          <w:szCs w:val="24"/>
        </w:rPr>
      </w:pPr>
    </w:p>
    <w:p w:rsidR="00213B5E" w:rsidRDefault="0078084C">
      <w:pPr>
        <w:spacing w:line="360" w:lineRule="auto"/>
        <w:ind w:firstLineChars="200" w:firstLine="480"/>
        <w:rPr>
          <w:rFonts w:ascii="宋体" w:eastAsia="宋体" w:hAnsi="宋体"/>
          <w:sz w:val="24"/>
          <w:szCs w:val="24"/>
        </w:rPr>
      </w:pPr>
      <w:r>
        <w:rPr>
          <w:rFonts w:ascii="宋体" w:eastAsia="宋体" w:hAnsi="宋体" w:hint="eastAsia"/>
          <w:sz w:val="24"/>
          <w:szCs w:val="24"/>
        </w:rPr>
        <w:t>特此公告。</w:t>
      </w:r>
    </w:p>
    <w:p w:rsidR="00213B5E" w:rsidRDefault="00213B5E">
      <w:pPr>
        <w:spacing w:line="360" w:lineRule="auto"/>
        <w:rPr>
          <w:rFonts w:ascii="宋体" w:eastAsia="宋体" w:hAnsi="宋体"/>
          <w:sz w:val="24"/>
          <w:szCs w:val="24"/>
        </w:rPr>
      </w:pPr>
    </w:p>
    <w:p w:rsidR="00213B5E" w:rsidRDefault="00213B5E">
      <w:pPr>
        <w:spacing w:line="360" w:lineRule="auto"/>
        <w:rPr>
          <w:rFonts w:ascii="宋体" w:eastAsia="宋体" w:hAnsi="宋体"/>
          <w:sz w:val="24"/>
          <w:szCs w:val="24"/>
        </w:rPr>
      </w:pPr>
    </w:p>
    <w:p w:rsidR="00213B5E" w:rsidRDefault="0078084C">
      <w:pPr>
        <w:spacing w:line="360" w:lineRule="auto"/>
        <w:jc w:val="right"/>
        <w:rPr>
          <w:rFonts w:ascii="宋体" w:eastAsia="宋体" w:hAnsi="宋体"/>
          <w:sz w:val="24"/>
          <w:szCs w:val="24"/>
        </w:rPr>
      </w:pPr>
      <w:r>
        <w:rPr>
          <w:rFonts w:ascii="宋体" w:eastAsia="宋体" w:hAnsi="宋体" w:hint="eastAsia"/>
          <w:sz w:val="24"/>
          <w:szCs w:val="24"/>
        </w:rPr>
        <w:t>广发基金管理有限公司</w:t>
      </w:r>
    </w:p>
    <w:p w:rsidR="00213B5E" w:rsidRDefault="0078084C">
      <w:pPr>
        <w:spacing w:line="360" w:lineRule="auto"/>
        <w:jc w:val="right"/>
        <w:rPr>
          <w:rFonts w:ascii="宋体" w:eastAsia="宋体" w:hAnsi="宋体"/>
          <w:sz w:val="24"/>
          <w:szCs w:val="24"/>
        </w:rPr>
      </w:pPr>
      <w:r>
        <w:rPr>
          <w:rFonts w:ascii="宋体" w:eastAsia="宋体" w:hAnsi="宋体" w:hint="eastAsia"/>
          <w:sz w:val="24"/>
          <w:szCs w:val="24"/>
        </w:rPr>
        <w:t>20</w:t>
      </w:r>
      <w:r>
        <w:rPr>
          <w:rFonts w:ascii="宋体" w:eastAsia="宋体" w:hAnsi="宋体"/>
          <w:sz w:val="24"/>
          <w:szCs w:val="24"/>
        </w:rPr>
        <w:t>20</w:t>
      </w:r>
      <w:r>
        <w:rPr>
          <w:rFonts w:ascii="宋体" w:eastAsia="宋体" w:hAnsi="宋体" w:hint="eastAsia"/>
          <w:sz w:val="24"/>
          <w:szCs w:val="24"/>
        </w:rPr>
        <w:t>年</w:t>
      </w:r>
      <w:r>
        <w:rPr>
          <w:rFonts w:ascii="宋体" w:eastAsia="宋体" w:hAnsi="宋体"/>
          <w:sz w:val="24"/>
          <w:szCs w:val="24"/>
        </w:rPr>
        <w:t>12</w:t>
      </w:r>
      <w:r>
        <w:rPr>
          <w:rFonts w:ascii="宋体" w:eastAsia="宋体" w:hAnsi="宋体" w:hint="eastAsia"/>
          <w:sz w:val="24"/>
          <w:szCs w:val="24"/>
        </w:rPr>
        <w:t>月</w:t>
      </w:r>
      <w:r>
        <w:rPr>
          <w:rFonts w:ascii="宋体" w:eastAsia="宋体" w:hAnsi="宋体"/>
          <w:sz w:val="24"/>
          <w:szCs w:val="24"/>
        </w:rPr>
        <w:t>10</w:t>
      </w:r>
      <w:r>
        <w:rPr>
          <w:rFonts w:ascii="宋体" w:eastAsia="宋体" w:hAnsi="宋体" w:hint="eastAsia"/>
          <w:sz w:val="24"/>
          <w:szCs w:val="24"/>
        </w:rPr>
        <w:t>日</w:t>
      </w:r>
    </w:p>
    <w:p w:rsidR="00213B5E" w:rsidRDefault="00213B5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p>
    <w:p w:rsidR="00445DAE" w:rsidRDefault="00445DAE">
      <w:pPr>
        <w:spacing w:line="360" w:lineRule="auto"/>
        <w:rPr>
          <w:rFonts w:ascii="宋体" w:eastAsia="宋体" w:hAnsi="宋体"/>
          <w:sz w:val="24"/>
          <w:szCs w:val="24"/>
        </w:rPr>
      </w:pPr>
      <w:r>
        <w:rPr>
          <w:noProof/>
        </w:rPr>
        <w:drawing>
          <wp:inline distT="0" distB="0" distL="0" distR="0">
            <wp:extent cx="5274310" cy="66941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6694170"/>
                    </a:xfrm>
                    <a:prstGeom prst="rect">
                      <a:avLst/>
                    </a:prstGeom>
                  </pic:spPr>
                </pic:pic>
              </a:graphicData>
            </a:graphic>
          </wp:inline>
        </w:drawing>
      </w:r>
    </w:p>
    <w:p w:rsidR="00445DAE" w:rsidRDefault="00445DAE">
      <w:pPr>
        <w:spacing w:line="360" w:lineRule="auto"/>
        <w:rPr>
          <w:rFonts w:ascii="宋体" w:eastAsia="宋体" w:hAnsi="宋体"/>
          <w:sz w:val="24"/>
          <w:szCs w:val="24"/>
        </w:rPr>
      </w:pPr>
      <w:r>
        <w:rPr>
          <w:noProof/>
        </w:rPr>
        <w:drawing>
          <wp:inline distT="0" distB="0" distL="0" distR="0">
            <wp:extent cx="5274310" cy="68649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6864985"/>
                    </a:xfrm>
                    <a:prstGeom prst="rect">
                      <a:avLst/>
                    </a:prstGeom>
                  </pic:spPr>
                </pic:pic>
              </a:graphicData>
            </a:graphic>
          </wp:inline>
        </w:drawing>
      </w:r>
    </w:p>
    <w:p w:rsidR="00445DAE" w:rsidRDefault="00445DAE">
      <w:pPr>
        <w:spacing w:line="360" w:lineRule="auto"/>
        <w:rPr>
          <w:rFonts w:ascii="宋体" w:eastAsia="宋体" w:hAnsi="宋体"/>
          <w:sz w:val="24"/>
          <w:szCs w:val="24"/>
        </w:rPr>
      </w:pPr>
      <w:r>
        <w:rPr>
          <w:noProof/>
        </w:rPr>
        <w:drawing>
          <wp:inline distT="0" distB="0" distL="0" distR="0">
            <wp:extent cx="5274310" cy="70999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7099935"/>
                    </a:xfrm>
                    <a:prstGeom prst="rect">
                      <a:avLst/>
                    </a:prstGeom>
                  </pic:spPr>
                </pic:pic>
              </a:graphicData>
            </a:graphic>
          </wp:inline>
        </w:drawing>
      </w:r>
    </w:p>
    <w:p w:rsidR="00445DAE" w:rsidRDefault="00445DAE">
      <w:pPr>
        <w:spacing w:line="360" w:lineRule="auto"/>
        <w:rPr>
          <w:rFonts w:ascii="宋体" w:eastAsia="宋体" w:hAnsi="宋体"/>
          <w:sz w:val="24"/>
          <w:szCs w:val="24"/>
        </w:rPr>
      </w:pPr>
      <w:r>
        <w:rPr>
          <w:noProof/>
        </w:rPr>
        <w:drawing>
          <wp:inline distT="0" distB="0" distL="0" distR="0">
            <wp:extent cx="5274310" cy="69970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6997065"/>
                    </a:xfrm>
                    <a:prstGeom prst="rect">
                      <a:avLst/>
                    </a:prstGeom>
                  </pic:spPr>
                </pic:pic>
              </a:graphicData>
            </a:graphic>
          </wp:inline>
        </w:drawing>
      </w:r>
    </w:p>
    <w:p w:rsidR="00614CD1" w:rsidRDefault="00614CD1">
      <w:pPr>
        <w:spacing w:line="360" w:lineRule="auto"/>
        <w:rPr>
          <w:rFonts w:ascii="宋体" w:eastAsia="宋体" w:hAnsi="宋体"/>
          <w:sz w:val="24"/>
          <w:szCs w:val="24"/>
        </w:rPr>
      </w:pPr>
      <w:r>
        <w:rPr>
          <w:noProof/>
        </w:rPr>
        <w:drawing>
          <wp:inline distT="0" distB="0" distL="0" distR="0">
            <wp:extent cx="5274310" cy="68827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6882765"/>
                    </a:xfrm>
                    <a:prstGeom prst="rect">
                      <a:avLst/>
                    </a:prstGeom>
                  </pic:spPr>
                </pic:pic>
              </a:graphicData>
            </a:graphic>
          </wp:inline>
        </w:drawing>
      </w:r>
    </w:p>
    <w:p w:rsidR="00614CD1" w:rsidRPr="00445DAE" w:rsidRDefault="00614CD1">
      <w:pPr>
        <w:spacing w:line="360" w:lineRule="auto"/>
        <w:rPr>
          <w:rFonts w:ascii="宋体" w:eastAsia="宋体" w:hAnsi="宋体"/>
          <w:sz w:val="24"/>
          <w:szCs w:val="24"/>
        </w:rPr>
      </w:pPr>
      <w:r>
        <w:rPr>
          <w:noProof/>
        </w:rPr>
        <w:drawing>
          <wp:inline distT="0" distB="0" distL="0" distR="0">
            <wp:extent cx="5274310" cy="71139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7113905"/>
                    </a:xfrm>
                    <a:prstGeom prst="rect">
                      <a:avLst/>
                    </a:prstGeom>
                  </pic:spPr>
                </pic:pic>
              </a:graphicData>
            </a:graphic>
          </wp:inline>
        </w:drawing>
      </w:r>
      <w:bookmarkStart w:id="0" w:name="_GoBack"/>
      <w:bookmarkEnd w:id="0"/>
    </w:p>
    <w:sectPr w:rsidR="00614CD1" w:rsidRPr="00445DAE" w:rsidSect="0028591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A80" w:rsidRDefault="00BE3A80" w:rsidP="00BE3A80">
      <w:r>
        <w:separator/>
      </w:r>
    </w:p>
  </w:endnote>
  <w:endnote w:type="continuationSeparator" w:id="0">
    <w:p w:rsidR="00BE3A80" w:rsidRDefault="00BE3A80" w:rsidP="00BE3A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A80" w:rsidRDefault="00BE3A80" w:rsidP="00BE3A80">
      <w:r>
        <w:separator/>
      </w:r>
    </w:p>
  </w:footnote>
  <w:footnote w:type="continuationSeparator" w:id="0">
    <w:p w:rsidR="00BE3A80" w:rsidRDefault="00BE3A80" w:rsidP="00BE3A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7946"/>
    <w:rsid w:val="00070639"/>
    <w:rsid w:val="00072423"/>
    <w:rsid w:val="00087A2B"/>
    <w:rsid w:val="000F1084"/>
    <w:rsid w:val="001402A9"/>
    <w:rsid w:val="001D0C6B"/>
    <w:rsid w:val="00213B5E"/>
    <w:rsid w:val="0028591D"/>
    <w:rsid w:val="0040599F"/>
    <w:rsid w:val="00437130"/>
    <w:rsid w:val="00445DAE"/>
    <w:rsid w:val="00450885"/>
    <w:rsid w:val="004C5AFC"/>
    <w:rsid w:val="005526E6"/>
    <w:rsid w:val="005B64C9"/>
    <w:rsid w:val="005E3F75"/>
    <w:rsid w:val="005E78C3"/>
    <w:rsid w:val="00614CD1"/>
    <w:rsid w:val="00640595"/>
    <w:rsid w:val="00652C42"/>
    <w:rsid w:val="00657946"/>
    <w:rsid w:val="00660362"/>
    <w:rsid w:val="00661B99"/>
    <w:rsid w:val="00677DB8"/>
    <w:rsid w:val="006A2146"/>
    <w:rsid w:val="006B3296"/>
    <w:rsid w:val="00722447"/>
    <w:rsid w:val="007766D5"/>
    <w:rsid w:val="0078084C"/>
    <w:rsid w:val="00796274"/>
    <w:rsid w:val="007A0424"/>
    <w:rsid w:val="007F5DF2"/>
    <w:rsid w:val="0088265C"/>
    <w:rsid w:val="008B6A4B"/>
    <w:rsid w:val="0092224C"/>
    <w:rsid w:val="009D2829"/>
    <w:rsid w:val="00A43368"/>
    <w:rsid w:val="00AD0CC6"/>
    <w:rsid w:val="00BE3A80"/>
    <w:rsid w:val="00D54B7B"/>
    <w:rsid w:val="00DA29F7"/>
    <w:rsid w:val="00E43014"/>
    <w:rsid w:val="00E6767C"/>
    <w:rsid w:val="00FB14A0"/>
    <w:rsid w:val="00FC7BAF"/>
    <w:rsid w:val="00FF741D"/>
    <w:rsid w:val="0B4A2252"/>
    <w:rsid w:val="0E8B1160"/>
    <w:rsid w:val="14847505"/>
    <w:rsid w:val="1DDE07E3"/>
    <w:rsid w:val="52CF5E58"/>
    <w:rsid w:val="5F584D46"/>
    <w:rsid w:val="7897508E"/>
    <w:rsid w:val="7B971A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91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28591D"/>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2859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28591D"/>
    <w:rPr>
      <w:sz w:val="18"/>
      <w:szCs w:val="18"/>
    </w:rPr>
  </w:style>
  <w:style w:type="character" w:customStyle="1" w:styleId="Char">
    <w:name w:val="页脚 Char"/>
    <w:basedOn w:val="a0"/>
    <w:link w:val="a3"/>
    <w:uiPriority w:val="99"/>
    <w:qFormat/>
    <w:rsid w:val="0028591D"/>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1625</Characters>
  <Application>Microsoft Office Word</Application>
  <DocSecurity>4</DocSecurity>
  <Lines>13</Lines>
  <Paragraphs>3</Paragraphs>
  <ScaleCrop>false</ScaleCrop>
  <Company/>
  <LinksUpToDate>false</LinksUpToDate>
  <CharactersWithSpaces>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晁梦婷</dc:creator>
  <cp:lastModifiedBy>ZHONGM</cp:lastModifiedBy>
  <cp:revision>2</cp:revision>
  <dcterms:created xsi:type="dcterms:W3CDTF">2020-12-09T16:02:00Z</dcterms:created>
  <dcterms:modified xsi:type="dcterms:W3CDTF">2020-12-09T16:02:00Z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