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BE" w:rsidRDefault="0044406A">
      <w:pPr>
        <w:spacing w:line="360" w:lineRule="auto"/>
        <w:jc w:val="center"/>
        <w:rPr>
          <w:rFonts w:eastAsia="黑体" w:hint="eastAsia"/>
          <w:b/>
          <w:bCs/>
          <w:color w:val="000000"/>
          <w:sz w:val="30"/>
          <w:szCs w:val="30"/>
        </w:rPr>
      </w:pPr>
      <w:bookmarkStart w:id="0" w:name="_Toc249760023"/>
      <w:r w:rsidRPr="0044406A">
        <w:rPr>
          <w:rFonts w:eastAsia="黑体" w:hint="eastAsia"/>
          <w:b/>
          <w:bCs/>
          <w:color w:val="000000"/>
          <w:sz w:val="30"/>
          <w:szCs w:val="30"/>
        </w:rPr>
        <w:t>天弘智荟</w:t>
      </w:r>
      <w:r w:rsidRPr="0044406A">
        <w:rPr>
          <w:rFonts w:eastAsia="黑体" w:hint="eastAsia"/>
          <w:b/>
          <w:bCs/>
          <w:color w:val="000000"/>
          <w:sz w:val="30"/>
          <w:szCs w:val="30"/>
        </w:rPr>
        <w:t>6</w:t>
      </w:r>
      <w:r w:rsidRPr="0044406A">
        <w:rPr>
          <w:rFonts w:eastAsia="黑体" w:hint="eastAsia"/>
          <w:b/>
          <w:bCs/>
          <w:color w:val="000000"/>
          <w:sz w:val="30"/>
          <w:szCs w:val="30"/>
        </w:rPr>
        <w:t>个月持有期债券型证券投资基金</w:t>
      </w:r>
      <w:r w:rsidR="00D349BE">
        <w:rPr>
          <w:rFonts w:eastAsia="黑体" w:hint="eastAsia"/>
          <w:b/>
          <w:bCs/>
          <w:color w:val="000000"/>
          <w:sz w:val="30"/>
          <w:szCs w:val="30"/>
        </w:rPr>
        <w:t>开放</w:t>
      </w:r>
      <w:r w:rsidR="00893454">
        <w:rPr>
          <w:rFonts w:eastAsia="黑体" w:hint="eastAsia"/>
          <w:b/>
          <w:bCs/>
          <w:color w:val="000000"/>
          <w:sz w:val="30"/>
          <w:szCs w:val="30"/>
        </w:rPr>
        <w:t>日常</w:t>
      </w:r>
      <w:r w:rsidR="00D349BE">
        <w:rPr>
          <w:rFonts w:eastAsia="黑体" w:hint="eastAsia"/>
          <w:b/>
          <w:bCs/>
          <w:color w:val="000000"/>
          <w:sz w:val="30"/>
          <w:szCs w:val="30"/>
        </w:rPr>
        <w:t>申购、赎回</w:t>
      </w:r>
      <w:r w:rsidR="00124C53">
        <w:rPr>
          <w:rFonts w:eastAsia="黑体" w:hint="eastAsia"/>
          <w:b/>
          <w:bCs/>
          <w:color w:val="000000"/>
          <w:sz w:val="30"/>
          <w:szCs w:val="30"/>
        </w:rPr>
        <w:t>、</w:t>
      </w:r>
      <w:r w:rsidR="00F11618">
        <w:rPr>
          <w:rFonts w:eastAsia="黑体" w:hint="eastAsia"/>
          <w:b/>
          <w:bCs/>
          <w:color w:val="000000"/>
          <w:sz w:val="30"/>
          <w:szCs w:val="30"/>
        </w:rPr>
        <w:t>定期定额投资</w:t>
      </w:r>
      <w:r w:rsidR="00D349BE">
        <w:rPr>
          <w:rFonts w:eastAsia="黑体" w:hint="eastAsia"/>
          <w:b/>
          <w:bCs/>
          <w:color w:val="000000"/>
          <w:sz w:val="30"/>
          <w:szCs w:val="30"/>
        </w:rPr>
        <w:t>及转换业务的公告</w:t>
      </w:r>
    </w:p>
    <w:p w:rsidR="00D349BE" w:rsidRDefault="00D349BE">
      <w:pPr>
        <w:spacing w:line="360" w:lineRule="auto"/>
        <w:jc w:val="center"/>
        <w:rPr>
          <w:rFonts w:ascii="仿宋_GB2312" w:eastAsia="仿宋_GB2312" w:hAnsi="宋体" w:hint="eastAsia"/>
          <w:b/>
          <w:sz w:val="24"/>
        </w:rPr>
      </w:pPr>
      <w:r>
        <w:rPr>
          <w:rFonts w:ascii="仿宋_GB2312" w:eastAsia="仿宋_GB2312" w:hAnsi="宋体" w:hint="eastAsia"/>
          <w:b/>
          <w:sz w:val="24"/>
        </w:rPr>
        <w:t>公告</w:t>
      </w:r>
      <w:r>
        <w:rPr>
          <w:rFonts w:ascii="仿宋_GB2312" w:eastAsia="仿宋_GB2312" w:hAnsi="宋体"/>
          <w:b/>
          <w:sz w:val="24"/>
        </w:rPr>
        <w:t>送出日期：2020年</w:t>
      </w:r>
      <w:r w:rsidR="0044406A">
        <w:rPr>
          <w:rFonts w:ascii="仿宋_GB2312" w:eastAsia="仿宋_GB2312" w:hAnsi="宋体"/>
          <w:b/>
          <w:sz w:val="24"/>
        </w:rPr>
        <w:t>12</w:t>
      </w:r>
      <w:r>
        <w:rPr>
          <w:rFonts w:ascii="仿宋_GB2312" w:eastAsia="仿宋_GB2312" w:hAnsi="宋体"/>
          <w:b/>
          <w:sz w:val="24"/>
        </w:rPr>
        <w:t>月</w:t>
      </w:r>
      <w:r w:rsidR="0044406A">
        <w:rPr>
          <w:rFonts w:ascii="仿宋_GB2312" w:eastAsia="仿宋_GB2312" w:hAnsi="宋体"/>
          <w:b/>
          <w:sz w:val="24"/>
        </w:rPr>
        <w:t>7</w:t>
      </w:r>
      <w:r>
        <w:rPr>
          <w:rFonts w:ascii="仿宋_GB2312" w:eastAsia="仿宋_GB2312" w:hAnsi="宋体"/>
          <w:b/>
          <w:sz w:val="24"/>
        </w:rPr>
        <w:t>日</w:t>
      </w:r>
    </w:p>
    <w:p w:rsidR="00D349BE" w:rsidRDefault="00D349BE">
      <w:pPr>
        <w:spacing w:line="360" w:lineRule="auto"/>
        <w:jc w:val="center"/>
        <w:rPr>
          <w:rFonts w:hint="eastAsia"/>
          <w:color w:val="000000"/>
          <w:sz w:val="24"/>
        </w:rPr>
      </w:pPr>
    </w:p>
    <w:bookmarkEnd w:id="0"/>
    <w:p w:rsidR="00D349BE" w:rsidRPr="003D7190" w:rsidRDefault="00D349BE">
      <w:pPr>
        <w:pStyle w:val="10"/>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1.公告基本信息</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157"/>
        <w:gridCol w:w="3157"/>
      </w:tblGrid>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基金名称</w:t>
            </w:r>
          </w:p>
        </w:tc>
        <w:tc>
          <w:tcPr>
            <w:tcW w:w="6314" w:type="dxa"/>
            <w:gridSpan w:val="2"/>
          </w:tcPr>
          <w:p w:rsidR="00D349BE" w:rsidRDefault="0044406A">
            <w:pPr>
              <w:spacing w:line="360" w:lineRule="auto"/>
              <w:rPr>
                <w:rFonts w:ascii="仿宋_GB2312" w:eastAsia="仿宋_GB2312" w:hint="eastAsia"/>
                <w:color w:val="000000"/>
                <w:sz w:val="24"/>
              </w:rPr>
            </w:pPr>
            <w:r w:rsidRPr="0044406A">
              <w:rPr>
                <w:rFonts w:ascii="仿宋_GB2312" w:eastAsia="仿宋_GB2312" w:hint="eastAsia"/>
                <w:color w:val="000000"/>
                <w:sz w:val="24"/>
              </w:rPr>
              <w:t>天弘智荟6个月持有期债券型证券投资基金</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基金简称</w:t>
            </w:r>
          </w:p>
        </w:tc>
        <w:tc>
          <w:tcPr>
            <w:tcW w:w="6314" w:type="dxa"/>
            <w:gridSpan w:val="2"/>
          </w:tcPr>
          <w:p w:rsidR="00D349BE" w:rsidRDefault="0044406A">
            <w:pPr>
              <w:spacing w:line="360" w:lineRule="auto"/>
              <w:rPr>
                <w:rFonts w:ascii="仿宋_GB2312" w:eastAsia="仿宋_GB2312"/>
                <w:color w:val="000000"/>
                <w:sz w:val="24"/>
              </w:rPr>
            </w:pPr>
            <w:r w:rsidRPr="0044406A">
              <w:rPr>
                <w:rFonts w:ascii="仿宋_GB2312" w:eastAsia="仿宋_GB2312" w:hint="eastAsia"/>
                <w:color w:val="000000"/>
                <w:sz w:val="24"/>
              </w:rPr>
              <w:t>天弘智荟6个月</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基金主代码</w:t>
            </w:r>
          </w:p>
        </w:tc>
        <w:tc>
          <w:tcPr>
            <w:tcW w:w="6314" w:type="dxa"/>
            <w:gridSpan w:val="2"/>
          </w:tcPr>
          <w:p w:rsidR="00D349BE" w:rsidRDefault="0044406A">
            <w:pPr>
              <w:spacing w:line="360" w:lineRule="auto"/>
              <w:rPr>
                <w:rFonts w:ascii="仿宋_GB2312" w:eastAsia="仿宋_GB2312"/>
                <w:color w:val="000000"/>
                <w:sz w:val="24"/>
              </w:rPr>
            </w:pPr>
            <w:r w:rsidRPr="0044406A">
              <w:rPr>
                <w:rFonts w:ascii="仿宋_GB2312" w:eastAsia="仿宋_GB2312"/>
                <w:color w:val="000000"/>
                <w:sz w:val="24"/>
              </w:rPr>
              <w:t>009389</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基金运作方式</w:t>
            </w:r>
          </w:p>
        </w:tc>
        <w:tc>
          <w:tcPr>
            <w:tcW w:w="6314" w:type="dxa"/>
            <w:gridSpan w:val="2"/>
          </w:tcPr>
          <w:p w:rsidR="00D349BE" w:rsidRDefault="00124C53">
            <w:pPr>
              <w:spacing w:line="360" w:lineRule="auto"/>
              <w:rPr>
                <w:rFonts w:ascii="仿宋_GB2312" w:eastAsia="仿宋_GB2312"/>
                <w:color w:val="000000"/>
                <w:sz w:val="24"/>
              </w:rPr>
            </w:pPr>
            <w:r w:rsidRPr="00124C53">
              <w:rPr>
                <w:rFonts w:ascii="仿宋_GB2312" w:eastAsia="仿宋_GB2312" w:hint="eastAsia"/>
                <w:color w:val="000000"/>
                <w:sz w:val="24"/>
              </w:rPr>
              <w:t>契约型开放式</w:t>
            </w:r>
            <w:r w:rsidR="00FB6B63">
              <w:rPr>
                <w:rFonts w:ascii="仿宋_GB2312" w:eastAsia="仿宋_GB2312" w:hint="eastAsia"/>
                <w:color w:val="000000"/>
                <w:sz w:val="24"/>
              </w:rPr>
              <w:t xml:space="preserve"> </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基金合同生效日</w:t>
            </w:r>
          </w:p>
        </w:tc>
        <w:tc>
          <w:tcPr>
            <w:tcW w:w="6314" w:type="dxa"/>
            <w:gridSpan w:val="2"/>
          </w:tcPr>
          <w:p w:rsidR="00D349BE" w:rsidRDefault="0044406A" w:rsidP="00425153">
            <w:pPr>
              <w:spacing w:line="360" w:lineRule="auto"/>
              <w:rPr>
                <w:rFonts w:ascii="仿宋_GB2312" w:eastAsia="仿宋_GB2312"/>
                <w:color w:val="000000"/>
                <w:sz w:val="24"/>
              </w:rPr>
            </w:pPr>
            <w:r w:rsidRPr="0044406A">
              <w:rPr>
                <w:rFonts w:ascii="仿宋_GB2312" w:eastAsia="仿宋_GB2312" w:hint="eastAsia"/>
                <w:color w:val="000000"/>
                <w:sz w:val="24"/>
              </w:rPr>
              <w:t>2020年</w:t>
            </w:r>
            <w:r>
              <w:rPr>
                <w:rFonts w:ascii="仿宋_GB2312" w:eastAsia="仿宋_GB2312" w:hint="eastAsia"/>
                <w:color w:val="000000"/>
                <w:sz w:val="24"/>
              </w:rPr>
              <w:t>11</w:t>
            </w:r>
            <w:r w:rsidRPr="0044406A">
              <w:rPr>
                <w:rFonts w:ascii="仿宋_GB2312" w:eastAsia="仿宋_GB2312" w:hint="eastAsia"/>
                <w:color w:val="000000"/>
                <w:sz w:val="24"/>
              </w:rPr>
              <w:t>月</w:t>
            </w:r>
            <w:r>
              <w:rPr>
                <w:rFonts w:ascii="仿宋_GB2312" w:eastAsia="仿宋_GB2312" w:hint="eastAsia"/>
                <w:color w:val="000000"/>
                <w:sz w:val="24"/>
              </w:rPr>
              <w:t>4</w:t>
            </w:r>
            <w:r w:rsidRPr="0044406A">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基金管理人名称</w:t>
            </w:r>
          </w:p>
        </w:tc>
        <w:tc>
          <w:tcPr>
            <w:tcW w:w="6314" w:type="dxa"/>
            <w:gridSpan w:val="2"/>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天弘基金管理有限公司</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基金托管人名称</w:t>
            </w:r>
          </w:p>
        </w:tc>
        <w:tc>
          <w:tcPr>
            <w:tcW w:w="6314" w:type="dxa"/>
            <w:gridSpan w:val="2"/>
          </w:tcPr>
          <w:p w:rsidR="00D349BE" w:rsidRDefault="0044406A" w:rsidP="00FB6B63">
            <w:pPr>
              <w:spacing w:line="360" w:lineRule="auto"/>
              <w:rPr>
                <w:rFonts w:ascii="仿宋_GB2312" w:eastAsia="仿宋_GB2312"/>
                <w:color w:val="000000"/>
                <w:sz w:val="24"/>
              </w:rPr>
            </w:pPr>
            <w:r w:rsidRPr="0044406A">
              <w:rPr>
                <w:rFonts w:ascii="仿宋_GB2312" w:eastAsia="仿宋_GB2312" w:hint="eastAsia"/>
                <w:color w:val="000000"/>
                <w:sz w:val="24"/>
              </w:rPr>
              <w:t>中国银行股份有限公司</w:t>
            </w:r>
          </w:p>
        </w:tc>
      </w:tr>
      <w:tr w:rsidR="00D349BE" w:rsidTr="003D7190">
        <w:trPr>
          <w:jc w:val="center"/>
        </w:trPr>
        <w:tc>
          <w:tcPr>
            <w:tcW w:w="3042" w:type="dxa"/>
            <w:vAlign w:val="center"/>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公告依据</w:t>
            </w:r>
          </w:p>
        </w:tc>
        <w:tc>
          <w:tcPr>
            <w:tcW w:w="6314" w:type="dxa"/>
            <w:gridSpan w:val="2"/>
          </w:tcPr>
          <w:p w:rsidR="00D349BE" w:rsidRDefault="00D349BE">
            <w:pPr>
              <w:spacing w:line="360" w:lineRule="auto"/>
              <w:rPr>
                <w:rFonts w:ascii="仿宋_GB2312" w:eastAsia="仿宋_GB2312"/>
                <w:color w:val="000000"/>
                <w:sz w:val="24"/>
              </w:rPr>
            </w:pPr>
            <w:r w:rsidRPr="003D7190">
              <w:rPr>
                <w:rFonts w:ascii="仿宋_GB2312" w:eastAsia="仿宋_GB2312" w:hint="eastAsia"/>
                <w:color w:val="000000"/>
                <w:sz w:val="24"/>
              </w:rPr>
              <w:t>《中华人民共和国证券投资基金法》、《公开募集证券投资基金运作管理办法》、《公开募集证券投资基金信息披露管理办法》等法律法规</w:t>
            </w:r>
            <w:r>
              <w:rPr>
                <w:rFonts w:ascii="仿宋_GB2312" w:eastAsia="仿宋_GB2312"/>
                <w:color w:val="000000"/>
                <w:sz w:val="24"/>
              </w:rPr>
              <w:t>以及</w:t>
            </w:r>
            <w:r>
              <w:rPr>
                <w:rFonts w:ascii="仿宋_GB2312" w:eastAsia="仿宋_GB2312" w:hint="eastAsia"/>
                <w:color w:val="000000"/>
                <w:sz w:val="24"/>
              </w:rPr>
              <w:t>《</w:t>
            </w:r>
            <w:r w:rsidR="0044406A" w:rsidRPr="0044406A">
              <w:rPr>
                <w:rFonts w:ascii="仿宋_GB2312" w:eastAsia="仿宋_GB2312" w:hint="eastAsia"/>
                <w:color w:val="000000"/>
                <w:sz w:val="24"/>
              </w:rPr>
              <w:t>天弘智荟6个月持有期债券型证券投资基金</w:t>
            </w:r>
            <w:r>
              <w:rPr>
                <w:rFonts w:ascii="仿宋_GB2312" w:eastAsia="仿宋_GB2312" w:hint="eastAsia"/>
                <w:color w:val="000000"/>
                <w:sz w:val="24"/>
              </w:rPr>
              <w:t>基金合同》、《</w:t>
            </w:r>
            <w:r w:rsidR="0044406A" w:rsidRPr="0044406A">
              <w:rPr>
                <w:rFonts w:ascii="仿宋_GB2312" w:eastAsia="仿宋_GB2312" w:hint="eastAsia"/>
                <w:color w:val="000000"/>
                <w:sz w:val="24"/>
              </w:rPr>
              <w:t>天弘智荟6个月持有期债券型证券投资基金</w:t>
            </w:r>
            <w:r>
              <w:rPr>
                <w:rFonts w:ascii="仿宋_GB2312" w:eastAsia="仿宋_GB2312" w:hint="eastAsia"/>
                <w:color w:val="000000"/>
                <w:sz w:val="24"/>
              </w:rPr>
              <w:t>招募说明书》等相关文件</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申购起始日</w:t>
            </w:r>
          </w:p>
        </w:tc>
        <w:tc>
          <w:tcPr>
            <w:tcW w:w="6314" w:type="dxa"/>
            <w:gridSpan w:val="2"/>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20</w:t>
            </w:r>
            <w:r>
              <w:rPr>
                <w:rFonts w:ascii="仿宋_GB2312" w:eastAsia="仿宋_GB2312"/>
                <w:color w:val="000000"/>
                <w:sz w:val="24"/>
              </w:rPr>
              <w:t>20</w:t>
            </w:r>
            <w:r>
              <w:rPr>
                <w:rFonts w:ascii="仿宋_GB2312" w:eastAsia="仿宋_GB2312" w:hint="eastAsia"/>
                <w:color w:val="000000"/>
                <w:sz w:val="24"/>
              </w:rPr>
              <w:t>年</w:t>
            </w:r>
            <w:r w:rsidR="00124C53">
              <w:rPr>
                <w:rFonts w:ascii="仿宋_GB2312" w:eastAsia="仿宋_GB2312"/>
                <w:color w:val="000000"/>
                <w:sz w:val="24"/>
              </w:rPr>
              <w:t>1</w:t>
            </w:r>
            <w:r w:rsidR="0044406A">
              <w:rPr>
                <w:rFonts w:ascii="仿宋_GB2312" w:eastAsia="仿宋_GB2312"/>
                <w:color w:val="000000"/>
                <w:sz w:val="24"/>
              </w:rPr>
              <w:t>2</w:t>
            </w:r>
            <w:r>
              <w:rPr>
                <w:rFonts w:ascii="仿宋_GB2312" w:eastAsia="仿宋_GB2312" w:hint="eastAsia"/>
                <w:color w:val="000000"/>
                <w:sz w:val="24"/>
              </w:rPr>
              <w:t>月</w:t>
            </w:r>
            <w:r w:rsidR="0044406A">
              <w:rPr>
                <w:rFonts w:ascii="仿宋_GB2312" w:eastAsia="仿宋_GB2312"/>
                <w:color w:val="000000"/>
                <w:sz w:val="24"/>
              </w:rPr>
              <w:t>7</w:t>
            </w:r>
            <w:r>
              <w:rPr>
                <w:rFonts w:ascii="仿宋_GB2312" w:eastAsia="仿宋_GB2312" w:hint="eastAsia"/>
                <w:color w:val="000000"/>
                <w:sz w:val="24"/>
              </w:rPr>
              <w:t>日</w:t>
            </w:r>
          </w:p>
        </w:tc>
      </w:tr>
      <w:tr w:rsidR="00D349BE" w:rsidTr="003D7190">
        <w:trPr>
          <w:jc w:val="center"/>
        </w:trPr>
        <w:tc>
          <w:tcPr>
            <w:tcW w:w="3042" w:type="dxa"/>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赎回起始日</w:t>
            </w:r>
          </w:p>
        </w:tc>
        <w:tc>
          <w:tcPr>
            <w:tcW w:w="6314" w:type="dxa"/>
            <w:gridSpan w:val="2"/>
          </w:tcPr>
          <w:p w:rsidR="00D349BE" w:rsidRDefault="00D349BE">
            <w:pPr>
              <w:spacing w:line="360" w:lineRule="auto"/>
              <w:rPr>
                <w:rFonts w:ascii="仿宋_GB2312" w:eastAsia="仿宋_GB2312"/>
                <w:color w:val="000000"/>
                <w:sz w:val="24"/>
              </w:rPr>
            </w:pPr>
            <w:r>
              <w:rPr>
                <w:rFonts w:ascii="仿宋_GB2312" w:eastAsia="仿宋_GB2312" w:hint="eastAsia"/>
                <w:color w:val="000000"/>
                <w:sz w:val="24"/>
              </w:rPr>
              <w:t>20</w:t>
            </w:r>
            <w:r>
              <w:rPr>
                <w:rFonts w:ascii="仿宋_GB2312" w:eastAsia="仿宋_GB2312"/>
                <w:color w:val="000000"/>
                <w:sz w:val="24"/>
              </w:rPr>
              <w:t>2</w:t>
            </w:r>
            <w:r w:rsidR="00C55BAA">
              <w:rPr>
                <w:rFonts w:ascii="仿宋_GB2312" w:eastAsia="仿宋_GB2312"/>
                <w:color w:val="000000"/>
                <w:sz w:val="24"/>
              </w:rPr>
              <w:t>1</w:t>
            </w:r>
            <w:r>
              <w:rPr>
                <w:rFonts w:ascii="仿宋_GB2312" w:eastAsia="仿宋_GB2312" w:hint="eastAsia"/>
                <w:color w:val="000000"/>
                <w:sz w:val="24"/>
              </w:rPr>
              <w:t>年</w:t>
            </w:r>
            <w:r w:rsidR="00311DCB">
              <w:rPr>
                <w:rFonts w:ascii="仿宋_GB2312" w:eastAsia="仿宋_GB2312"/>
                <w:color w:val="000000"/>
                <w:sz w:val="24"/>
              </w:rPr>
              <w:t>5</w:t>
            </w:r>
            <w:r>
              <w:rPr>
                <w:rFonts w:ascii="仿宋_GB2312" w:eastAsia="仿宋_GB2312" w:hint="eastAsia"/>
                <w:color w:val="000000"/>
                <w:sz w:val="24"/>
              </w:rPr>
              <w:t>月</w:t>
            </w:r>
            <w:r w:rsidR="00FC7FD7">
              <w:rPr>
                <w:rFonts w:ascii="仿宋_GB2312" w:eastAsia="仿宋_GB2312"/>
                <w:color w:val="000000"/>
                <w:sz w:val="24"/>
              </w:rPr>
              <w:t>6</w:t>
            </w:r>
            <w:r>
              <w:rPr>
                <w:rFonts w:ascii="仿宋_GB2312" w:eastAsia="仿宋_GB2312" w:hint="eastAsia"/>
                <w:color w:val="000000"/>
                <w:sz w:val="24"/>
              </w:rPr>
              <w:t>日</w:t>
            </w:r>
          </w:p>
        </w:tc>
      </w:tr>
      <w:tr w:rsidR="00F11618" w:rsidTr="00A43CE3">
        <w:trPr>
          <w:jc w:val="center"/>
        </w:trPr>
        <w:tc>
          <w:tcPr>
            <w:tcW w:w="3042" w:type="dxa"/>
            <w:tcBorders>
              <w:bottom w:val="single" w:sz="4" w:space="0" w:color="auto"/>
            </w:tcBorders>
          </w:tcPr>
          <w:p w:rsidR="00F11618" w:rsidRDefault="00F11618">
            <w:pPr>
              <w:spacing w:line="360" w:lineRule="auto"/>
              <w:rPr>
                <w:rFonts w:ascii="仿宋_GB2312" w:eastAsia="仿宋_GB2312" w:hint="eastAsia"/>
                <w:color w:val="000000"/>
                <w:sz w:val="24"/>
              </w:rPr>
            </w:pPr>
            <w:r>
              <w:rPr>
                <w:rFonts w:ascii="仿宋_GB2312" w:eastAsia="仿宋_GB2312" w:hint="eastAsia"/>
                <w:color w:val="000000"/>
                <w:sz w:val="24"/>
              </w:rPr>
              <w:t>定期定额投资起始日</w:t>
            </w:r>
          </w:p>
        </w:tc>
        <w:tc>
          <w:tcPr>
            <w:tcW w:w="6314" w:type="dxa"/>
            <w:gridSpan w:val="2"/>
            <w:tcBorders>
              <w:bottom w:val="single" w:sz="4" w:space="0" w:color="auto"/>
            </w:tcBorders>
          </w:tcPr>
          <w:p w:rsidR="00F11618" w:rsidRDefault="00F11618">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20</w:t>
            </w:r>
            <w:r>
              <w:rPr>
                <w:rFonts w:ascii="仿宋_GB2312" w:eastAsia="仿宋_GB2312" w:hint="eastAsia"/>
                <w:color w:val="000000"/>
                <w:sz w:val="24"/>
              </w:rPr>
              <w:t>年</w:t>
            </w:r>
            <w:r>
              <w:rPr>
                <w:rFonts w:ascii="仿宋_GB2312" w:eastAsia="仿宋_GB2312"/>
                <w:color w:val="000000"/>
                <w:sz w:val="24"/>
              </w:rPr>
              <w:t>1</w:t>
            </w:r>
            <w:r w:rsidR="0044406A">
              <w:rPr>
                <w:rFonts w:ascii="仿宋_GB2312" w:eastAsia="仿宋_GB2312"/>
                <w:color w:val="000000"/>
                <w:sz w:val="24"/>
              </w:rPr>
              <w:t>2</w:t>
            </w:r>
            <w:r>
              <w:rPr>
                <w:rFonts w:ascii="仿宋_GB2312" w:eastAsia="仿宋_GB2312" w:hint="eastAsia"/>
                <w:color w:val="000000"/>
                <w:sz w:val="24"/>
              </w:rPr>
              <w:t>月</w:t>
            </w:r>
            <w:r w:rsidR="0044406A">
              <w:rPr>
                <w:rFonts w:ascii="仿宋_GB2312" w:eastAsia="仿宋_GB2312"/>
                <w:color w:val="000000"/>
                <w:sz w:val="24"/>
              </w:rPr>
              <w:t>7</w:t>
            </w:r>
            <w:r>
              <w:rPr>
                <w:rFonts w:ascii="仿宋_GB2312" w:eastAsia="仿宋_GB2312" w:hint="eastAsia"/>
                <w:color w:val="000000"/>
                <w:sz w:val="24"/>
              </w:rPr>
              <w:t>日</w:t>
            </w:r>
          </w:p>
        </w:tc>
      </w:tr>
      <w:tr w:rsidR="00D349BE" w:rsidTr="00A43CE3">
        <w:trPr>
          <w:jc w:val="center"/>
        </w:trPr>
        <w:tc>
          <w:tcPr>
            <w:tcW w:w="3042" w:type="dxa"/>
            <w:tcBorders>
              <w:top w:val="single" w:sz="4" w:space="0" w:color="auto"/>
              <w:left w:val="single" w:sz="4" w:space="0" w:color="auto"/>
              <w:bottom w:val="single" w:sz="4" w:space="0" w:color="auto"/>
              <w:right w:val="single" w:sz="4" w:space="0" w:color="auto"/>
            </w:tcBorders>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转换转入起始日</w:t>
            </w:r>
          </w:p>
        </w:tc>
        <w:tc>
          <w:tcPr>
            <w:tcW w:w="6314" w:type="dxa"/>
            <w:gridSpan w:val="2"/>
            <w:tcBorders>
              <w:top w:val="single" w:sz="4" w:space="0" w:color="auto"/>
              <w:left w:val="single" w:sz="4" w:space="0" w:color="auto"/>
              <w:bottom w:val="single" w:sz="4" w:space="0" w:color="auto"/>
              <w:right w:val="single" w:sz="4" w:space="0" w:color="auto"/>
            </w:tcBorders>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20</w:t>
            </w:r>
            <w:r>
              <w:rPr>
                <w:rFonts w:ascii="仿宋_GB2312" w:eastAsia="仿宋_GB2312" w:hint="eastAsia"/>
                <w:color w:val="000000"/>
                <w:sz w:val="24"/>
              </w:rPr>
              <w:t>年</w:t>
            </w:r>
            <w:r w:rsidR="00124C53">
              <w:rPr>
                <w:rFonts w:ascii="仿宋_GB2312" w:eastAsia="仿宋_GB2312"/>
                <w:color w:val="000000"/>
                <w:sz w:val="24"/>
              </w:rPr>
              <w:t>1</w:t>
            </w:r>
            <w:r w:rsidR="0044406A">
              <w:rPr>
                <w:rFonts w:ascii="仿宋_GB2312" w:eastAsia="仿宋_GB2312"/>
                <w:color w:val="000000"/>
                <w:sz w:val="24"/>
              </w:rPr>
              <w:t>2</w:t>
            </w:r>
            <w:r>
              <w:rPr>
                <w:rFonts w:ascii="仿宋_GB2312" w:eastAsia="仿宋_GB2312" w:hint="eastAsia"/>
                <w:color w:val="000000"/>
                <w:sz w:val="24"/>
              </w:rPr>
              <w:t>月</w:t>
            </w:r>
            <w:r w:rsidR="0044406A">
              <w:rPr>
                <w:rFonts w:ascii="仿宋_GB2312" w:eastAsia="仿宋_GB2312"/>
                <w:color w:val="000000"/>
                <w:sz w:val="24"/>
              </w:rPr>
              <w:t>7</w:t>
            </w:r>
            <w:r>
              <w:rPr>
                <w:rFonts w:ascii="仿宋_GB2312" w:eastAsia="仿宋_GB2312" w:hint="eastAsia"/>
                <w:color w:val="000000"/>
                <w:sz w:val="24"/>
              </w:rPr>
              <w:t>日</w:t>
            </w:r>
          </w:p>
        </w:tc>
      </w:tr>
      <w:tr w:rsidR="00D349BE" w:rsidTr="00A43CE3">
        <w:trPr>
          <w:jc w:val="center"/>
        </w:trPr>
        <w:tc>
          <w:tcPr>
            <w:tcW w:w="3042" w:type="dxa"/>
            <w:tcBorders>
              <w:top w:val="single" w:sz="4" w:space="0" w:color="auto"/>
              <w:left w:val="single" w:sz="4" w:space="0" w:color="auto"/>
              <w:bottom w:val="single" w:sz="4" w:space="0" w:color="auto"/>
              <w:right w:val="single" w:sz="4" w:space="0" w:color="auto"/>
            </w:tcBorders>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转换转出起始日</w:t>
            </w:r>
          </w:p>
        </w:tc>
        <w:tc>
          <w:tcPr>
            <w:tcW w:w="6314" w:type="dxa"/>
            <w:gridSpan w:val="2"/>
            <w:tcBorders>
              <w:top w:val="single" w:sz="4" w:space="0" w:color="auto"/>
              <w:left w:val="single" w:sz="4" w:space="0" w:color="auto"/>
              <w:bottom w:val="single" w:sz="4" w:space="0" w:color="auto"/>
              <w:right w:val="single" w:sz="4" w:space="0" w:color="auto"/>
            </w:tcBorders>
          </w:tcPr>
          <w:p w:rsidR="00D349BE" w:rsidRDefault="00D349BE">
            <w:pPr>
              <w:spacing w:line="360" w:lineRule="auto"/>
              <w:rPr>
                <w:rFonts w:ascii="仿宋_GB2312" w:eastAsia="仿宋_GB2312" w:hint="eastAsia"/>
                <w:color w:val="000000"/>
                <w:sz w:val="24"/>
              </w:rPr>
            </w:pPr>
            <w:r>
              <w:rPr>
                <w:rFonts w:ascii="仿宋_GB2312" w:eastAsia="仿宋_GB2312" w:hint="eastAsia"/>
                <w:color w:val="000000"/>
                <w:sz w:val="24"/>
              </w:rPr>
              <w:t>20</w:t>
            </w:r>
            <w:r>
              <w:rPr>
                <w:rFonts w:ascii="仿宋_GB2312" w:eastAsia="仿宋_GB2312"/>
                <w:color w:val="000000"/>
                <w:sz w:val="24"/>
              </w:rPr>
              <w:t>2</w:t>
            </w:r>
            <w:r w:rsidR="00C55BAA">
              <w:rPr>
                <w:rFonts w:ascii="仿宋_GB2312" w:eastAsia="仿宋_GB2312"/>
                <w:color w:val="000000"/>
                <w:sz w:val="24"/>
              </w:rPr>
              <w:t>1</w:t>
            </w:r>
            <w:r>
              <w:rPr>
                <w:rFonts w:ascii="仿宋_GB2312" w:eastAsia="仿宋_GB2312" w:hint="eastAsia"/>
                <w:color w:val="000000"/>
                <w:sz w:val="24"/>
              </w:rPr>
              <w:t>年</w:t>
            </w:r>
            <w:r w:rsidR="00311DCB">
              <w:rPr>
                <w:rFonts w:ascii="仿宋_GB2312" w:eastAsia="仿宋_GB2312"/>
                <w:color w:val="000000"/>
                <w:sz w:val="24"/>
              </w:rPr>
              <w:t>5</w:t>
            </w:r>
            <w:r>
              <w:rPr>
                <w:rFonts w:ascii="仿宋_GB2312" w:eastAsia="仿宋_GB2312" w:hint="eastAsia"/>
                <w:color w:val="000000"/>
                <w:sz w:val="24"/>
              </w:rPr>
              <w:t>月</w:t>
            </w:r>
            <w:r w:rsidR="00FC7FD7">
              <w:rPr>
                <w:rFonts w:ascii="仿宋_GB2312" w:eastAsia="仿宋_GB2312"/>
                <w:color w:val="000000"/>
                <w:sz w:val="24"/>
              </w:rPr>
              <w:t>6</w:t>
            </w:r>
            <w:r>
              <w:rPr>
                <w:rFonts w:ascii="仿宋_GB2312" w:eastAsia="仿宋_GB2312" w:hint="eastAsia"/>
                <w:color w:val="000000"/>
                <w:sz w:val="24"/>
              </w:rPr>
              <w:t>日</w:t>
            </w:r>
          </w:p>
        </w:tc>
      </w:tr>
      <w:tr w:rsidR="00F44CBC" w:rsidTr="00CC5F20">
        <w:trPr>
          <w:jc w:val="center"/>
        </w:trPr>
        <w:tc>
          <w:tcPr>
            <w:tcW w:w="3042" w:type="dxa"/>
            <w:tcBorders>
              <w:top w:val="single" w:sz="4" w:space="0" w:color="auto"/>
              <w:left w:val="single" w:sz="4" w:space="0" w:color="auto"/>
              <w:bottom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Pr>
                <w:rFonts w:ascii="仿宋_GB2312" w:eastAsia="仿宋_GB2312" w:hint="eastAsia"/>
                <w:color w:val="000000"/>
                <w:sz w:val="24"/>
              </w:rPr>
              <w:t>下属分级基金的基金简称</w:t>
            </w:r>
          </w:p>
        </w:tc>
        <w:tc>
          <w:tcPr>
            <w:tcW w:w="3157" w:type="dxa"/>
            <w:tcBorders>
              <w:top w:val="single" w:sz="4" w:space="0" w:color="auto"/>
              <w:left w:val="single" w:sz="4" w:space="0" w:color="auto"/>
              <w:right w:val="single" w:sz="4" w:space="0" w:color="auto"/>
            </w:tcBorders>
          </w:tcPr>
          <w:p w:rsidR="00F44CBC" w:rsidRDefault="00F44CBC" w:rsidP="00425153">
            <w:pPr>
              <w:spacing w:line="360" w:lineRule="auto"/>
              <w:rPr>
                <w:rFonts w:ascii="仿宋_GB2312" w:eastAsia="仿宋_GB2312" w:hint="eastAsia"/>
                <w:color w:val="000000"/>
                <w:sz w:val="24"/>
              </w:rPr>
            </w:pPr>
            <w:r w:rsidRPr="00F44CBC">
              <w:rPr>
                <w:rFonts w:ascii="仿宋_GB2312" w:eastAsia="仿宋_GB2312" w:hint="eastAsia"/>
                <w:color w:val="000000"/>
                <w:sz w:val="24"/>
              </w:rPr>
              <w:t>天弘智荟</w:t>
            </w:r>
            <w:r>
              <w:rPr>
                <w:rFonts w:ascii="仿宋_GB2312" w:eastAsia="仿宋_GB2312" w:hint="eastAsia"/>
                <w:color w:val="000000"/>
                <w:sz w:val="24"/>
              </w:rPr>
              <w:t>6</w:t>
            </w:r>
            <w:r w:rsidRPr="00F44CBC">
              <w:rPr>
                <w:rFonts w:ascii="仿宋_GB2312" w:eastAsia="仿宋_GB2312" w:hint="eastAsia"/>
                <w:color w:val="000000"/>
                <w:sz w:val="24"/>
              </w:rPr>
              <w:t>个月A</w:t>
            </w:r>
          </w:p>
        </w:tc>
        <w:tc>
          <w:tcPr>
            <w:tcW w:w="3157" w:type="dxa"/>
            <w:tcBorders>
              <w:top w:val="single" w:sz="4" w:space="0" w:color="auto"/>
              <w:left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sidRPr="00F44CBC">
              <w:rPr>
                <w:rFonts w:ascii="仿宋_GB2312" w:eastAsia="仿宋_GB2312" w:hint="eastAsia"/>
                <w:color w:val="000000"/>
                <w:sz w:val="24"/>
              </w:rPr>
              <w:t>天弘智荟</w:t>
            </w:r>
            <w:r>
              <w:rPr>
                <w:rFonts w:ascii="仿宋_GB2312" w:eastAsia="仿宋_GB2312" w:hint="eastAsia"/>
                <w:color w:val="000000"/>
                <w:sz w:val="24"/>
              </w:rPr>
              <w:t>6</w:t>
            </w:r>
            <w:r w:rsidRPr="00F44CBC">
              <w:rPr>
                <w:rFonts w:ascii="仿宋_GB2312" w:eastAsia="仿宋_GB2312" w:hint="eastAsia"/>
                <w:color w:val="000000"/>
                <w:sz w:val="24"/>
              </w:rPr>
              <w:t>个月C</w:t>
            </w:r>
          </w:p>
        </w:tc>
      </w:tr>
      <w:tr w:rsidR="00F44CBC" w:rsidTr="00CC5F20">
        <w:trPr>
          <w:jc w:val="center"/>
        </w:trPr>
        <w:tc>
          <w:tcPr>
            <w:tcW w:w="3042" w:type="dxa"/>
            <w:tcBorders>
              <w:top w:val="single" w:sz="4" w:space="0" w:color="auto"/>
              <w:left w:val="single" w:sz="4" w:space="0" w:color="auto"/>
              <w:bottom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Pr>
                <w:rFonts w:ascii="仿宋_GB2312" w:eastAsia="仿宋_GB2312" w:hint="eastAsia"/>
                <w:color w:val="000000"/>
                <w:sz w:val="24"/>
              </w:rPr>
              <w:t>下属分级基金的交易代码</w:t>
            </w:r>
          </w:p>
        </w:tc>
        <w:tc>
          <w:tcPr>
            <w:tcW w:w="3157" w:type="dxa"/>
            <w:tcBorders>
              <w:left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sidRPr="00F44CBC">
              <w:rPr>
                <w:rFonts w:ascii="仿宋_GB2312" w:eastAsia="仿宋_GB2312"/>
                <w:color w:val="000000"/>
                <w:sz w:val="24"/>
              </w:rPr>
              <w:t>009389</w:t>
            </w:r>
          </w:p>
        </w:tc>
        <w:tc>
          <w:tcPr>
            <w:tcW w:w="3157" w:type="dxa"/>
            <w:tcBorders>
              <w:left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sidRPr="00F44CBC">
              <w:rPr>
                <w:rFonts w:ascii="仿宋_GB2312" w:eastAsia="仿宋_GB2312"/>
                <w:color w:val="000000"/>
                <w:sz w:val="24"/>
              </w:rPr>
              <w:t>009390</w:t>
            </w:r>
          </w:p>
        </w:tc>
      </w:tr>
      <w:tr w:rsidR="00F44CBC" w:rsidTr="00CC5F20">
        <w:trPr>
          <w:jc w:val="center"/>
        </w:trPr>
        <w:tc>
          <w:tcPr>
            <w:tcW w:w="3042" w:type="dxa"/>
            <w:tcBorders>
              <w:top w:val="single" w:sz="4" w:space="0" w:color="auto"/>
              <w:left w:val="single" w:sz="4" w:space="0" w:color="auto"/>
              <w:bottom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Pr>
                <w:rFonts w:ascii="仿宋_GB2312" w:eastAsia="仿宋_GB2312" w:hint="eastAsia"/>
                <w:color w:val="000000"/>
                <w:sz w:val="24"/>
              </w:rPr>
              <w:t>该分级基金是否开放申购、赎回、转换、定期定额投资业务</w:t>
            </w:r>
          </w:p>
        </w:tc>
        <w:tc>
          <w:tcPr>
            <w:tcW w:w="3157" w:type="dxa"/>
            <w:tcBorders>
              <w:left w:val="single" w:sz="4" w:space="0" w:color="auto"/>
              <w:bottom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Pr>
                <w:rFonts w:ascii="仿宋_GB2312" w:eastAsia="仿宋_GB2312" w:hint="eastAsia"/>
                <w:color w:val="000000"/>
                <w:sz w:val="24"/>
              </w:rPr>
              <w:t>是</w:t>
            </w:r>
          </w:p>
        </w:tc>
        <w:tc>
          <w:tcPr>
            <w:tcW w:w="3157" w:type="dxa"/>
            <w:tcBorders>
              <w:left w:val="single" w:sz="4" w:space="0" w:color="auto"/>
              <w:bottom w:val="single" w:sz="4" w:space="0" w:color="auto"/>
              <w:right w:val="single" w:sz="4" w:space="0" w:color="auto"/>
            </w:tcBorders>
          </w:tcPr>
          <w:p w:rsidR="00F44CBC" w:rsidRDefault="00F44CBC">
            <w:pPr>
              <w:spacing w:line="360" w:lineRule="auto"/>
              <w:rPr>
                <w:rFonts w:ascii="仿宋_GB2312" w:eastAsia="仿宋_GB2312" w:hint="eastAsia"/>
                <w:color w:val="000000"/>
                <w:sz w:val="24"/>
              </w:rPr>
            </w:pPr>
            <w:r>
              <w:rPr>
                <w:rFonts w:ascii="仿宋_GB2312" w:eastAsia="仿宋_GB2312" w:hint="eastAsia"/>
                <w:color w:val="000000"/>
                <w:sz w:val="24"/>
              </w:rPr>
              <w:t>是</w:t>
            </w:r>
          </w:p>
        </w:tc>
      </w:tr>
    </w:tbl>
    <w:p w:rsidR="00C55BAA" w:rsidRPr="00A43CE3" w:rsidRDefault="000249D9" w:rsidP="00A43CE3">
      <w:pPr>
        <w:pStyle w:val="10"/>
        <w:ind w:firstLineChars="200" w:firstLine="480"/>
        <w:rPr>
          <w:rFonts w:hAnsi="Times New Roman"/>
          <w:bCs w:val="0"/>
          <w:caps w:val="0"/>
          <w:color w:val="000000"/>
          <w:kern w:val="2"/>
          <w:lang w:eastAsia="zh-CN" w:bidi="ar-SA"/>
        </w:rPr>
      </w:pPr>
      <w:r w:rsidRPr="00A43CE3">
        <w:rPr>
          <w:rFonts w:hAnsi="Times New Roman" w:hint="eastAsia"/>
          <w:bCs w:val="0"/>
          <w:caps w:val="0"/>
          <w:color w:val="000000"/>
          <w:kern w:val="2"/>
          <w:lang w:eastAsia="zh-CN" w:bidi="ar-SA"/>
        </w:rPr>
        <w:lastRenderedPageBreak/>
        <w:t>注：</w:t>
      </w:r>
      <w:r w:rsidRPr="000249D9">
        <w:rPr>
          <w:rFonts w:hAnsi="Times New Roman" w:hint="eastAsia"/>
          <w:bCs w:val="0"/>
          <w:caps w:val="0"/>
          <w:color w:val="000000"/>
          <w:kern w:val="2"/>
          <w:lang w:eastAsia="zh-CN" w:bidi="ar-SA"/>
        </w:rPr>
        <w:t>本基金对每份基金份额设置</w:t>
      </w:r>
      <w:r w:rsidR="00311DCB">
        <w:rPr>
          <w:rFonts w:hAnsi="Times New Roman" w:hint="eastAsia"/>
          <w:bCs w:val="0"/>
          <w:caps w:val="0"/>
          <w:color w:val="000000"/>
          <w:kern w:val="2"/>
          <w:lang w:eastAsia="zh-CN" w:bidi="ar-SA"/>
        </w:rPr>
        <w:t>6个月</w:t>
      </w:r>
      <w:r w:rsidRPr="000249D9">
        <w:rPr>
          <w:rFonts w:hAnsi="Times New Roman" w:hint="eastAsia"/>
          <w:bCs w:val="0"/>
          <w:caps w:val="0"/>
          <w:color w:val="000000"/>
          <w:kern w:val="2"/>
          <w:lang w:eastAsia="zh-CN" w:bidi="ar-SA"/>
        </w:rPr>
        <w:t>的最短持有期。</w:t>
      </w:r>
      <w:r w:rsidRPr="00A43CE3">
        <w:rPr>
          <w:rFonts w:hAnsi="Times New Roman" w:hint="eastAsia"/>
          <w:bCs w:val="0"/>
          <w:caps w:val="0"/>
          <w:color w:val="000000"/>
          <w:kern w:val="2"/>
          <w:lang w:eastAsia="zh-CN" w:bidi="ar-SA"/>
        </w:rPr>
        <w:t>认购份额可于2021年</w:t>
      </w:r>
      <w:r w:rsidR="00311DCB">
        <w:rPr>
          <w:rFonts w:hAnsi="Times New Roman"/>
          <w:bCs w:val="0"/>
          <w:caps w:val="0"/>
          <w:color w:val="000000"/>
          <w:kern w:val="2"/>
          <w:lang w:eastAsia="zh-CN" w:bidi="ar-SA"/>
        </w:rPr>
        <w:t>5</w:t>
      </w:r>
      <w:r w:rsidRPr="00A43CE3">
        <w:rPr>
          <w:rFonts w:hAnsi="Times New Roman" w:hint="eastAsia"/>
          <w:bCs w:val="0"/>
          <w:caps w:val="0"/>
          <w:color w:val="000000"/>
          <w:kern w:val="2"/>
          <w:lang w:eastAsia="zh-CN" w:bidi="ar-SA"/>
        </w:rPr>
        <w:t>月</w:t>
      </w:r>
      <w:r w:rsidR="00FC7FD7">
        <w:rPr>
          <w:rFonts w:hAnsi="Times New Roman"/>
          <w:bCs w:val="0"/>
          <w:caps w:val="0"/>
          <w:color w:val="000000"/>
          <w:kern w:val="2"/>
          <w:lang w:eastAsia="zh-CN" w:bidi="ar-SA"/>
        </w:rPr>
        <w:t>6</w:t>
      </w:r>
      <w:r w:rsidRPr="00A43CE3">
        <w:rPr>
          <w:rFonts w:hAnsi="Times New Roman" w:hint="eastAsia"/>
          <w:bCs w:val="0"/>
          <w:caps w:val="0"/>
          <w:color w:val="000000"/>
          <w:kern w:val="2"/>
          <w:lang w:eastAsia="zh-CN" w:bidi="ar-SA"/>
        </w:rPr>
        <w:t>日起申请赎回，申购份额在持有满</w:t>
      </w:r>
      <w:r w:rsidR="0094558D">
        <w:rPr>
          <w:rFonts w:hAnsi="Times New Roman"/>
          <w:bCs w:val="0"/>
          <w:caps w:val="0"/>
          <w:color w:val="000000"/>
          <w:kern w:val="2"/>
          <w:lang w:eastAsia="zh-CN" w:bidi="ar-SA"/>
        </w:rPr>
        <w:t>6</w:t>
      </w:r>
      <w:r w:rsidR="0094558D">
        <w:rPr>
          <w:rFonts w:hAnsi="Times New Roman" w:hint="eastAsia"/>
          <w:bCs w:val="0"/>
          <w:caps w:val="0"/>
          <w:color w:val="000000"/>
          <w:kern w:val="2"/>
          <w:lang w:eastAsia="zh-CN" w:bidi="ar-SA"/>
        </w:rPr>
        <w:t>个月</w:t>
      </w:r>
      <w:r w:rsidRPr="00A43CE3">
        <w:rPr>
          <w:rFonts w:hAnsi="Times New Roman" w:hint="eastAsia"/>
          <w:bCs w:val="0"/>
          <w:caps w:val="0"/>
          <w:color w:val="000000"/>
          <w:kern w:val="2"/>
          <w:lang w:eastAsia="zh-CN" w:bidi="ar-SA"/>
        </w:rPr>
        <w:t>后可申请赎回。</w:t>
      </w:r>
    </w:p>
    <w:p w:rsidR="00D349BE" w:rsidRPr="00893454" w:rsidRDefault="00D349BE" w:rsidP="00893454">
      <w:pPr>
        <w:pStyle w:val="10"/>
        <w:ind w:firstLineChars="200" w:firstLine="482"/>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2.</w:t>
      </w:r>
      <w:r w:rsidR="009A4BDE">
        <w:rPr>
          <w:rFonts w:hAnsi="Times New Roman" w:hint="eastAsia"/>
          <w:b/>
          <w:bCs w:val="0"/>
          <w:caps w:val="0"/>
          <w:color w:val="000000"/>
          <w:kern w:val="2"/>
          <w:lang w:eastAsia="zh-CN" w:bidi="ar-SA"/>
        </w:rPr>
        <w:t>日常</w:t>
      </w:r>
      <w:r w:rsidRPr="003D7190">
        <w:rPr>
          <w:rFonts w:hAnsi="Times New Roman" w:hint="eastAsia"/>
          <w:b/>
          <w:bCs w:val="0"/>
          <w:caps w:val="0"/>
          <w:color w:val="000000"/>
          <w:kern w:val="2"/>
          <w:lang w:eastAsia="zh-CN" w:bidi="ar-SA"/>
        </w:rPr>
        <w:t>申购、赎回业务的办理时间</w:t>
      </w:r>
    </w:p>
    <w:p w:rsidR="00311DCB" w:rsidRPr="00311DCB" w:rsidRDefault="00311DCB" w:rsidP="00311DCB">
      <w:pPr>
        <w:pStyle w:val="10"/>
        <w:ind w:firstLineChars="200" w:firstLine="480"/>
        <w:rPr>
          <w:rFonts w:hint="eastAsia"/>
          <w:color w:val="000000"/>
          <w:lang w:eastAsia="zh-CN"/>
        </w:rPr>
      </w:pPr>
      <w:r w:rsidRPr="00311DCB">
        <w:rPr>
          <w:rFonts w:hint="eastAsia"/>
          <w:color w:val="000000"/>
          <w:lang w:eastAsia="zh-CN"/>
        </w:rPr>
        <w:t>基金管理人在开放日办理基金份额的申购和赎回。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11618" w:rsidRDefault="00311DCB" w:rsidP="00A43CE3">
      <w:pPr>
        <w:pStyle w:val="10"/>
        <w:spacing w:line="500" w:lineRule="exact"/>
        <w:ind w:firstLineChars="200" w:firstLine="480"/>
        <w:rPr>
          <w:rFonts w:hint="eastAsia"/>
          <w:color w:val="000000"/>
          <w:lang w:eastAsia="zh-CN"/>
        </w:rPr>
      </w:pPr>
      <w:r w:rsidRPr="00311DCB">
        <w:rPr>
          <w:rFonts w:hint="eastAsia"/>
          <w:color w:val="000000"/>
          <w:lang w:eastAsia="zh-CN"/>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D349BE" w:rsidRPr="003D7190" w:rsidRDefault="00D349BE" w:rsidP="00893454">
      <w:pPr>
        <w:pStyle w:val="10"/>
        <w:spacing w:line="500" w:lineRule="exact"/>
        <w:ind w:firstLineChars="200" w:firstLine="482"/>
        <w:rPr>
          <w:rFonts w:hAnsi="Times New Roman" w:hint="eastAsia"/>
          <w:b/>
          <w:bCs w:val="0"/>
          <w:caps w:val="0"/>
          <w:color w:val="000000"/>
          <w:kern w:val="2"/>
          <w:lang w:eastAsia="zh-CN" w:bidi="ar-SA"/>
        </w:rPr>
      </w:pPr>
      <w:r w:rsidRPr="003D7190">
        <w:rPr>
          <w:rFonts w:hAnsi="Times New Roman" w:hint="eastAsia"/>
          <w:b/>
          <w:bCs w:val="0"/>
          <w:caps w:val="0"/>
          <w:color w:val="000000"/>
          <w:kern w:val="2"/>
          <w:lang w:eastAsia="zh-CN" w:bidi="ar-SA"/>
        </w:rPr>
        <w:t>3.日常申购业务</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3.1申购金额限制</w:t>
      </w:r>
    </w:p>
    <w:p w:rsidR="00F25838" w:rsidRDefault="00D349BE" w:rsidP="00B73F37">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（1）</w:t>
      </w:r>
      <w:r w:rsidR="00C33612" w:rsidRPr="00C33612">
        <w:rPr>
          <w:rFonts w:ascii="仿宋_GB2312" w:eastAsia="仿宋_GB2312" w:hint="eastAsia"/>
          <w:color w:val="000000"/>
          <w:sz w:val="24"/>
        </w:rPr>
        <w:t>本基金在本公司</w:t>
      </w:r>
      <w:r w:rsidR="00AB402A" w:rsidRPr="00AB402A">
        <w:rPr>
          <w:rFonts w:ascii="仿宋_GB2312" w:eastAsia="仿宋_GB2312" w:hint="eastAsia"/>
          <w:color w:val="000000"/>
          <w:sz w:val="24"/>
        </w:rPr>
        <w:t>直销网点（不含网上交易）</w:t>
      </w:r>
      <w:r w:rsidR="00C33612" w:rsidRPr="00C33612">
        <w:rPr>
          <w:rFonts w:ascii="仿宋_GB2312" w:eastAsia="仿宋_GB2312" w:hint="eastAsia"/>
          <w:color w:val="000000"/>
          <w:sz w:val="24"/>
        </w:rPr>
        <w:t>的首次</w:t>
      </w:r>
      <w:r w:rsidR="00AB402A" w:rsidRPr="00C33612">
        <w:rPr>
          <w:rFonts w:ascii="仿宋_GB2312" w:eastAsia="仿宋_GB2312" w:hint="eastAsia"/>
          <w:color w:val="000000"/>
          <w:sz w:val="24"/>
        </w:rPr>
        <w:t>申购</w:t>
      </w:r>
      <w:r w:rsidR="00C33612" w:rsidRPr="00C33612">
        <w:rPr>
          <w:rFonts w:ascii="仿宋_GB2312" w:eastAsia="仿宋_GB2312" w:hint="eastAsia"/>
          <w:color w:val="000000"/>
          <w:sz w:val="24"/>
        </w:rPr>
        <w:t>单笔最低金额为人民币10000.00元（含申购费，下同），追加申购的单笔最低金额为人民币1000.00元；</w:t>
      </w:r>
      <w:r w:rsidR="00AB402A" w:rsidRPr="00AB402A">
        <w:rPr>
          <w:rFonts w:ascii="仿宋_GB2312" w:eastAsia="仿宋_GB2312" w:hint="eastAsia"/>
          <w:color w:val="000000"/>
          <w:sz w:val="24"/>
        </w:rPr>
        <w:t>在其他销售机构及基金管理人网上交易</w:t>
      </w:r>
      <w:r w:rsidR="00C33612" w:rsidRPr="00C33612">
        <w:rPr>
          <w:rFonts w:ascii="仿宋_GB2312" w:eastAsia="仿宋_GB2312" w:hint="eastAsia"/>
          <w:color w:val="000000"/>
          <w:sz w:val="24"/>
        </w:rPr>
        <w:t>的首次</w:t>
      </w:r>
      <w:r w:rsidR="00AB402A" w:rsidRPr="00C33612">
        <w:rPr>
          <w:rFonts w:ascii="仿宋_GB2312" w:eastAsia="仿宋_GB2312" w:hint="eastAsia"/>
          <w:color w:val="000000"/>
          <w:sz w:val="24"/>
        </w:rPr>
        <w:t>申购</w:t>
      </w:r>
      <w:r w:rsidR="00C33612" w:rsidRPr="00C33612">
        <w:rPr>
          <w:rFonts w:ascii="仿宋_GB2312" w:eastAsia="仿宋_GB2312" w:hint="eastAsia"/>
          <w:color w:val="000000"/>
          <w:sz w:val="24"/>
        </w:rPr>
        <w:t>单笔最低金额为人民币10.00元，追加申购的单笔最低金额为人民币10.00元；各销售机构对最低申购限额及级差有其他规定的，以各销售机构的业务规定为准。</w:t>
      </w:r>
    </w:p>
    <w:p w:rsidR="004D4816"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（2）</w:t>
      </w:r>
      <w:r w:rsidR="00C33612" w:rsidRPr="00C33612">
        <w:rPr>
          <w:rFonts w:ascii="仿宋_GB2312" w:eastAsia="仿宋_GB2312" w:hint="eastAsia"/>
          <w:color w:val="000000"/>
          <w:sz w:val="24"/>
        </w:rPr>
        <w:t>本基金目前对单个投资人累计持有份额不设上限限制，基金管理人可以规定单个投资者累计持有的基金份额上限，具体规定见更新的招募说明书或相关公告。</w:t>
      </w:r>
    </w:p>
    <w:p w:rsidR="004D4816"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（3）</w:t>
      </w:r>
      <w:r w:rsidR="00C33612" w:rsidRPr="00C33612">
        <w:rPr>
          <w:rFonts w:ascii="仿宋_GB2312" w:eastAsia="仿宋_GB2312"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（4）</w:t>
      </w:r>
      <w:r w:rsidR="00C33612" w:rsidRPr="00C33612">
        <w:rPr>
          <w:rFonts w:ascii="仿宋_GB2312" w:eastAsia="仿宋_GB2312" w:hint="eastAsia"/>
          <w:color w:val="000000"/>
          <w:sz w:val="24"/>
        </w:rPr>
        <w:t>基金管理人可在法律法规允许的情况下，调整上述规定申购金额</w:t>
      </w:r>
      <w:r w:rsidR="00000070">
        <w:rPr>
          <w:rFonts w:ascii="仿宋_GB2312" w:eastAsia="仿宋_GB2312" w:hint="eastAsia"/>
          <w:color w:val="000000"/>
          <w:sz w:val="24"/>
        </w:rPr>
        <w:t>的</w:t>
      </w:r>
      <w:r w:rsidR="00C33612" w:rsidRPr="00C33612">
        <w:rPr>
          <w:rFonts w:ascii="仿宋_GB2312" w:eastAsia="仿宋_GB2312" w:hint="eastAsia"/>
          <w:color w:val="000000"/>
          <w:sz w:val="24"/>
        </w:rPr>
        <w:t>限制。基金管理人必须在调整实施前依照《信息披露办法》的有关规定在指定媒介上公告。</w:t>
      </w:r>
    </w:p>
    <w:p w:rsidR="00D349BE" w:rsidRDefault="00D349BE">
      <w:pPr>
        <w:pStyle w:val="10"/>
        <w:spacing w:line="500" w:lineRule="exact"/>
        <w:ind w:firstLineChars="200" w:firstLine="480"/>
        <w:rPr>
          <w:rFonts w:hAnsi="Times New Roman"/>
          <w:bCs w:val="0"/>
          <w:caps w:val="0"/>
          <w:color w:val="000000"/>
          <w:kern w:val="2"/>
          <w:lang w:eastAsia="zh-CN" w:bidi="ar-SA"/>
        </w:rPr>
      </w:pPr>
      <w:r>
        <w:rPr>
          <w:rFonts w:hAnsi="Times New Roman" w:hint="eastAsia"/>
          <w:bCs w:val="0"/>
          <w:caps w:val="0"/>
          <w:color w:val="000000"/>
          <w:kern w:val="2"/>
          <w:lang w:eastAsia="zh-CN" w:bidi="ar-SA"/>
        </w:rPr>
        <w:lastRenderedPageBreak/>
        <w:t>3.2申购费率</w:t>
      </w:r>
    </w:p>
    <w:p w:rsidR="00C33612" w:rsidRPr="00425153" w:rsidRDefault="00C33612" w:rsidP="00C33612">
      <w:pPr>
        <w:spacing w:line="360" w:lineRule="auto"/>
        <w:ind w:firstLineChars="200" w:firstLine="480"/>
        <w:rPr>
          <w:rFonts w:ascii="仿宋_GB2312" w:eastAsia="仿宋_GB2312"/>
          <w:color w:val="000000"/>
          <w:sz w:val="24"/>
        </w:rPr>
      </w:pPr>
      <w:r w:rsidRPr="00425153">
        <w:rPr>
          <w:rFonts w:ascii="仿宋_GB2312" w:eastAsia="仿宋_GB2312" w:hint="eastAsia"/>
          <w:color w:val="000000"/>
          <w:sz w:val="24"/>
        </w:rPr>
        <w:t>本基金A类基金份额在申购时收取申购费用。本基金C类基金份额不收取申 购费。</w:t>
      </w:r>
    </w:p>
    <w:p w:rsidR="00C33612" w:rsidRPr="00425153" w:rsidRDefault="00C33612" w:rsidP="00C33612">
      <w:pPr>
        <w:spacing w:line="360" w:lineRule="auto"/>
        <w:ind w:firstLineChars="200" w:firstLine="480"/>
        <w:rPr>
          <w:rFonts w:ascii="仿宋_GB2312" w:eastAsia="仿宋_GB2312"/>
          <w:color w:val="000000"/>
          <w:sz w:val="24"/>
        </w:rPr>
      </w:pPr>
      <w:r w:rsidRPr="00425153">
        <w:rPr>
          <w:rFonts w:ascii="仿宋_GB2312" w:eastAsia="仿宋_GB2312" w:hint="eastAsia"/>
          <w:color w:val="000000"/>
          <w:sz w:val="24"/>
        </w:rPr>
        <w:t>本基金申购费用由投资人承担，不列入基金财产，主要用于本基金的市场推广、销售、登记等各项费用。</w:t>
      </w:r>
      <w:r w:rsidRPr="00425153">
        <w:rPr>
          <w:rFonts w:ascii="仿宋_GB2312" w:eastAsia="仿宋_GB2312"/>
          <w:color w:val="000000"/>
          <w:sz w:val="24"/>
        </w:rPr>
        <w:t xml:space="preserve"> </w:t>
      </w:r>
    </w:p>
    <w:p w:rsidR="00C33612" w:rsidRPr="00425153" w:rsidRDefault="00C33612" w:rsidP="00C33612">
      <w:pPr>
        <w:spacing w:line="360" w:lineRule="auto"/>
        <w:ind w:firstLineChars="200" w:firstLine="480"/>
        <w:rPr>
          <w:rFonts w:ascii="仿宋_GB2312" w:eastAsia="仿宋_GB2312"/>
          <w:color w:val="000000"/>
          <w:sz w:val="24"/>
        </w:rPr>
      </w:pPr>
      <w:r w:rsidRPr="00425153">
        <w:rPr>
          <w:rFonts w:ascii="仿宋_GB2312" w:eastAsia="仿宋_GB2312" w:hint="eastAsia"/>
          <w:color w:val="000000"/>
          <w:sz w:val="24"/>
        </w:rPr>
        <w:t>本基金A类基金份额的申购费率如下：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544"/>
        <w:gridCol w:w="3452"/>
      </w:tblGrid>
      <w:tr w:rsidR="00CC5F20" w:rsidRPr="00425153" w:rsidTr="00CC5F20">
        <w:tc>
          <w:tcPr>
            <w:tcW w:w="1526" w:type="dxa"/>
            <w:vMerge w:val="restart"/>
            <w:shd w:val="clear" w:color="auto" w:fill="auto"/>
            <w:vAlign w:val="center"/>
          </w:tcPr>
          <w:p w:rsidR="00C33612" w:rsidRPr="00425153" w:rsidRDefault="00C33612" w:rsidP="00CC5F20">
            <w:pPr>
              <w:autoSpaceDE w:val="0"/>
              <w:autoSpaceDN w:val="0"/>
              <w:adjustRightInd w:val="0"/>
              <w:spacing w:line="360" w:lineRule="auto"/>
              <w:jc w:val="center"/>
              <w:rPr>
                <w:rFonts w:ascii="仿宋_GB2312" w:eastAsia="仿宋_GB2312"/>
                <w:color w:val="000000"/>
                <w:sz w:val="24"/>
              </w:rPr>
            </w:pPr>
            <w:r w:rsidRPr="00425153">
              <w:rPr>
                <w:rFonts w:ascii="仿宋_GB2312" w:eastAsia="仿宋_GB2312" w:hint="eastAsia"/>
                <w:color w:val="000000"/>
                <w:sz w:val="24"/>
              </w:rPr>
              <w:t>申购费率</w:t>
            </w:r>
          </w:p>
        </w:tc>
        <w:tc>
          <w:tcPr>
            <w:tcW w:w="3544"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hint="eastAsia"/>
                <w:kern w:val="2"/>
              </w:rPr>
              <w:t>客户申购金额（</w:t>
            </w:r>
            <w:r w:rsidRPr="00425153">
              <w:rPr>
                <w:rFonts w:ascii="仿宋_GB2312" w:eastAsia="仿宋_GB2312" w:cs="Times New Roman"/>
                <w:kern w:val="2"/>
              </w:rPr>
              <w:t>M</w:t>
            </w:r>
            <w:r w:rsidRPr="00425153">
              <w:rPr>
                <w:rFonts w:ascii="仿宋_GB2312" w:eastAsia="仿宋_GB2312" w:cs="Times New Roman" w:hint="eastAsia"/>
                <w:kern w:val="2"/>
              </w:rPr>
              <w:t>）</w:t>
            </w:r>
          </w:p>
        </w:tc>
        <w:tc>
          <w:tcPr>
            <w:tcW w:w="3452"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hint="eastAsia"/>
                <w:kern w:val="2"/>
              </w:rPr>
              <w:t>申购费率</w:t>
            </w:r>
          </w:p>
        </w:tc>
      </w:tr>
      <w:tr w:rsidR="00CC5F20" w:rsidRPr="00425153" w:rsidTr="00CC5F20">
        <w:tc>
          <w:tcPr>
            <w:tcW w:w="1526" w:type="dxa"/>
            <w:vMerge/>
            <w:shd w:val="clear" w:color="auto" w:fill="auto"/>
            <w:vAlign w:val="center"/>
          </w:tcPr>
          <w:p w:rsidR="00C33612" w:rsidRPr="00425153" w:rsidRDefault="00C33612" w:rsidP="00CC5F20">
            <w:pPr>
              <w:autoSpaceDE w:val="0"/>
              <w:autoSpaceDN w:val="0"/>
              <w:adjustRightInd w:val="0"/>
              <w:spacing w:line="360" w:lineRule="auto"/>
              <w:jc w:val="center"/>
              <w:rPr>
                <w:rFonts w:ascii="仿宋_GB2312" w:eastAsia="仿宋_GB2312"/>
                <w:color w:val="000000"/>
                <w:sz w:val="24"/>
              </w:rPr>
            </w:pPr>
          </w:p>
        </w:tc>
        <w:tc>
          <w:tcPr>
            <w:tcW w:w="3544"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M</w:t>
            </w:r>
            <w:r w:rsidRPr="00425153">
              <w:rPr>
                <w:rFonts w:ascii="仿宋_GB2312" w:eastAsia="仿宋_GB2312" w:cs="Times New Roman" w:hint="eastAsia"/>
                <w:kern w:val="2"/>
              </w:rPr>
              <w:t>＜</w:t>
            </w:r>
            <w:r w:rsidRPr="00425153">
              <w:rPr>
                <w:rFonts w:ascii="仿宋_GB2312" w:eastAsia="仿宋_GB2312" w:cs="Times New Roman"/>
                <w:kern w:val="2"/>
              </w:rPr>
              <w:t>100</w:t>
            </w:r>
            <w:r w:rsidRPr="00425153">
              <w:rPr>
                <w:rFonts w:ascii="仿宋_GB2312" w:eastAsia="仿宋_GB2312" w:cs="Times New Roman" w:hint="eastAsia"/>
                <w:kern w:val="2"/>
              </w:rPr>
              <w:t>万元</w:t>
            </w:r>
          </w:p>
        </w:tc>
        <w:tc>
          <w:tcPr>
            <w:tcW w:w="3452"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0.70%</w:t>
            </w:r>
          </w:p>
        </w:tc>
      </w:tr>
      <w:tr w:rsidR="00CC5F20" w:rsidRPr="00425153" w:rsidTr="00CC5F20">
        <w:tc>
          <w:tcPr>
            <w:tcW w:w="1526" w:type="dxa"/>
            <w:vMerge/>
            <w:shd w:val="clear" w:color="auto" w:fill="auto"/>
            <w:vAlign w:val="center"/>
          </w:tcPr>
          <w:p w:rsidR="00C33612" w:rsidRPr="00425153" w:rsidRDefault="00C33612" w:rsidP="00CC5F20">
            <w:pPr>
              <w:autoSpaceDE w:val="0"/>
              <w:autoSpaceDN w:val="0"/>
              <w:adjustRightInd w:val="0"/>
              <w:spacing w:line="360" w:lineRule="auto"/>
              <w:jc w:val="center"/>
              <w:rPr>
                <w:rFonts w:ascii="仿宋_GB2312" w:eastAsia="仿宋_GB2312"/>
                <w:color w:val="000000"/>
                <w:sz w:val="24"/>
              </w:rPr>
            </w:pPr>
          </w:p>
        </w:tc>
        <w:tc>
          <w:tcPr>
            <w:tcW w:w="3544"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100</w:t>
            </w:r>
            <w:r w:rsidRPr="00425153">
              <w:rPr>
                <w:rFonts w:ascii="仿宋_GB2312" w:eastAsia="仿宋_GB2312" w:cs="Times New Roman" w:hint="eastAsia"/>
                <w:kern w:val="2"/>
              </w:rPr>
              <w:t>万元</w:t>
            </w:r>
            <w:r w:rsidRPr="00425153">
              <w:rPr>
                <w:rFonts w:ascii="仿宋_GB2312" w:eastAsia="仿宋_GB2312" w:cs="Times New Roman"/>
                <w:kern w:val="2"/>
              </w:rPr>
              <w:t>≤</w:t>
            </w:r>
            <w:r w:rsidRPr="00425153">
              <w:rPr>
                <w:rFonts w:ascii="仿宋_GB2312" w:eastAsia="仿宋_GB2312" w:cs="Times New Roman"/>
                <w:kern w:val="2"/>
              </w:rPr>
              <w:t>M</w:t>
            </w:r>
            <w:r w:rsidRPr="00425153">
              <w:rPr>
                <w:rFonts w:ascii="仿宋_GB2312" w:eastAsia="仿宋_GB2312" w:cs="Times New Roman" w:hint="eastAsia"/>
                <w:kern w:val="2"/>
              </w:rPr>
              <w:t>＜</w:t>
            </w:r>
            <w:r w:rsidRPr="00425153">
              <w:rPr>
                <w:rFonts w:ascii="仿宋_GB2312" w:eastAsia="仿宋_GB2312" w:cs="Times New Roman"/>
                <w:kern w:val="2"/>
              </w:rPr>
              <w:t>300</w:t>
            </w:r>
            <w:r w:rsidRPr="00425153">
              <w:rPr>
                <w:rFonts w:ascii="仿宋_GB2312" w:eastAsia="仿宋_GB2312" w:cs="Times New Roman" w:hint="eastAsia"/>
                <w:kern w:val="2"/>
              </w:rPr>
              <w:t>万元</w:t>
            </w:r>
          </w:p>
        </w:tc>
        <w:tc>
          <w:tcPr>
            <w:tcW w:w="3452"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0.45%</w:t>
            </w:r>
          </w:p>
        </w:tc>
      </w:tr>
      <w:tr w:rsidR="00CC5F20" w:rsidRPr="00425153" w:rsidTr="00CC5F20">
        <w:tc>
          <w:tcPr>
            <w:tcW w:w="1526" w:type="dxa"/>
            <w:vMerge/>
            <w:shd w:val="clear" w:color="auto" w:fill="auto"/>
            <w:vAlign w:val="center"/>
          </w:tcPr>
          <w:p w:rsidR="00C33612" w:rsidRPr="00425153" w:rsidRDefault="00C33612" w:rsidP="00CC5F20">
            <w:pPr>
              <w:autoSpaceDE w:val="0"/>
              <w:autoSpaceDN w:val="0"/>
              <w:adjustRightInd w:val="0"/>
              <w:spacing w:line="360" w:lineRule="auto"/>
              <w:jc w:val="center"/>
              <w:rPr>
                <w:rFonts w:ascii="仿宋_GB2312" w:eastAsia="仿宋_GB2312"/>
                <w:color w:val="000000"/>
                <w:sz w:val="24"/>
              </w:rPr>
            </w:pPr>
          </w:p>
        </w:tc>
        <w:tc>
          <w:tcPr>
            <w:tcW w:w="3544"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300</w:t>
            </w:r>
            <w:r w:rsidRPr="00425153">
              <w:rPr>
                <w:rFonts w:ascii="仿宋_GB2312" w:eastAsia="仿宋_GB2312" w:cs="Times New Roman" w:hint="eastAsia"/>
                <w:kern w:val="2"/>
              </w:rPr>
              <w:t>万元</w:t>
            </w:r>
            <w:r w:rsidRPr="00425153">
              <w:rPr>
                <w:rFonts w:ascii="仿宋_GB2312" w:eastAsia="仿宋_GB2312" w:cs="Times New Roman"/>
                <w:kern w:val="2"/>
              </w:rPr>
              <w:t>≤</w:t>
            </w:r>
            <w:r w:rsidRPr="00425153">
              <w:rPr>
                <w:rFonts w:ascii="仿宋_GB2312" w:eastAsia="仿宋_GB2312" w:cs="Times New Roman"/>
                <w:kern w:val="2"/>
              </w:rPr>
              <w:t>M</w:t>
            </w:r>
            <w:r w:rsidRPr="00425153">
              <w:rPr>
                <w:rFonts w:ascii="仿宋_GB2312" w:eastAsia="仿宋_GB2312" w:cs="Times New Roman" w:hint="eastAsia"/>
                <w:kern w:val="2"/>
              </w:rPr>
              <w:t>＜</w:t>
            </w:r>
            <w:r w:rsidRPr="00425153">
              <w:rPr>
                <w:rFonts w:ascii="仿宋_GB2312" w:eastAsia="仿宋_GB2312" w:cs="Times New Roman"/>
                <w:kern w:val="2"/>
              </w:rPr>
              <w:t>500</w:t>
            </w:r>
            <w:r w:rsidRPr="00425153">
              <w:rPr>
                <w:rFonts w:ascii="仿宋_GB2312" w:eastAsia="仿宋_GB2312" w:cs="Times New Roman" w:hint="eastAsia"/>
                <w:kern w:val="2"/>
              </w:rPr>
              <w:t>万元</w:t>
            </w:r>
          </w:p>
        </w:tc>
        <w:tc>
          <w:tcPr>
            <w:tcW w:w="3452"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0.</w:t>
            </w:r>
            <w:r w:rsidRPr="00425153">
              <w:rPr>
                <w:rFonts w:ascii="仿宋_GB2312" w:eastAsia="仿宋_GB2312" w:cs="Times New Roman" w:hint="eastAsia"/>
                <w:kern w:val="2"/>
              </w:rPr>
              <w:t>3</w:t>
            </w:r>
            <w:r w:rsidRPr="00425153">
              <w:rPr>
                <w:rFonts w:ascii="仿宋_GB2312" w:eastAsia="仿宋_GB2312" w:cs="Times New Roman"/>
                <w:kern w:val="2"/>
              </w:rPr>
              <w:t>0%</w:t>
            </w:r>
          </w:p>
        </w:tc>
      </w:tr>
      <w:tr w:rsidR="00CC5F20" w:rsidRPr="00425153" w:rsidTr="00CC5F20">
        <w:tc>
          <w:tcPr>
            <w:tcW w:w="1526" w:type="dxa"/>
            <w:vMerge/>
            <w:shd w:val="clear" w:color="auto" w:fill="auto"/>
            <w:vAlign w:val="center"/>
          </w:tcPr>
          <w:p w:rsidR="00C33612" w:rsidRPr="00425153" w:rsidRDefault="00C33612" w:rsidP="00CC5F20">
            <w:pPr>
              <w:autoSpaceDE w:val="0"/>
              <w:autoSpaceDN w:val="0"/>
              <w:adjustRightInd w:val="0"/>
              <w:spacing w:line="360" w:lineRule="auto"/>
              <w:jc w:val="center"/>
              <w:rPr>
                <w:rFonts w:ascii="仿宋_GB2312" w:eastAsia="仿宋_GB2312"/>
                <w:color w:val="000000"/>
                <w:sz w:val="24"/>
              </w:rPr>
            </w:pPr>
          </w:p>
        </w:tc>
        <w:tc>
          <w:tcPr>
            <w:tcW w:w="3544"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M</w:t>
            </w:r>
            <w:r w:rsidRPr="00425153">
              <w:rPr>
                <w:rFonts w:ascii="仿宋_GB2312" w:eastAsia="仿宋_GB2312" w:cs="Times New Roman"/>
                <w:kern w:val="2"/>
              </w:rPr>
              <w:t>≥</w:t>
            </w:r>
            <w:r w:rsidRPr="00425153">
              <w:rPr>
                <w:rFonts w:ascii="仿宋_GB2312" w:eastAsia="仿宋_GB2312" w:cs="Times New Roman"/>
                <w:kern w:val="2"/>
              </w:rPr>
              <w:t>500</w:t>
            </w:r>
            <w:r w:rsidRPr="00425153">
              <w:rPr>
                <w:rFonts w:ascii="仿宋_GB2312" w:eastAsia="仿宋_GB2312" w:cs="Times New Roman" w:hint="eastAsia"/>
                <w:kern w:val="2"/>
              </w:rPr>
              <w:t>万元</w:t>
            </w:r>
          </w:p>
        </w:tc>
        <w:tc>
          <w:tcPr>
            <w:tcW w:w="3452" w:type="dxa"/>
            <w:shd w:val="clear" w:color="auto" w:fill="auto"/>
            <w:vAlign w:val="center"/>
          </w:tcPr>
          <w:p w:rsidR="00C33612" w:rsidRPr="00425153" w:rsidRDefault="00C33612" w:rsidP="00CC5F20">
            <w:pPr>
              <w:pStyle w:val="Default"/>
              <w:jc w:val="center"/>
              <w:rPr>
                <w:rFonts w:ascii="仿宋_GB2312" w:eastAsia="仿宋_GB2312" w:cs="Times New Roman"/>
                <w:kern w:val="2"/>
              </w:rPr>
            </w:pPr>
            <w:r w:rsidRPr="00425153">
              <w:rPr>
                <w:rFonts w:ascii="仿宋_GB2312" w:eastAsia="仿宋_GB2312" w:cs="Times New Roman"/>
                <w:kern w:val="2"/>
              </w:rPr>
              <w:t>1000</w:t>
            </w:r>
            <w:r w:rsidRPr="00425153">
              <w:rPr>
                <w:rFonts w:ascii="仿宋_GB2312" w:eastAsia="仿宋_GB2312" w:cs="Times New Roman" w:hint="eastAsia"/>
                <w:kern w:val="2"/>
              </w:rPr>
              <w:t>元</w:t>
            </w:r>
            <w:r w:rsidRPr="00425153">
              <w:rPr>
                <w:rFonts w:ascii="仿宋_GB2312" w:eastAsia="仿宋_GB2312" w:cs="Times New Roman"/>
                <w:kern w:val="2"/>
              </w:rPr>
              <w:t>/</w:t>
            </w:r>
            <w:r w:rsidRPr="00425153">
              <w:rPr>
                <w:rFonts w:ascii="仿宋_GB2312" w:eastAsia="仿宋_GB2312" w:cs="Times New Roman" w:hint="eastAsia"/>
                <w:kern w:val="2"/>
              </w:rPr>
              <w:t>笔</w:t>
            </w:r>
          </w:p>
        </w:tc>
      </w:tr>
    </w:tbl>
    <w:p w:rsidR="00C33612" w:rsidRPr="00425153" w:rsidRDefault="00C33612" w:rsidP="00425153">
      <w:pPr>
        <w:autoSpaceDE w:val="0"/>
        <w:autoSpaceDN w:val="0"/>
        <w:adjustRightInd w:val="0"/>
        <w:spacing w:line="360" w:lineRule="auto"/>
        <w:ind w:firstLineChars="200" w:firstLine="480"/>
        <w:rPr>
          <w:rFonts w:ascii="仿宋_GB2312" w:eastAsia="仿宋_GB2312" w:hint="eastAsia"/>
          <w:color w:val="000000"/>
          <w:sz w:val="24"/>
        </w:rPr>
      </w:pPr>
      <w:r w:rsidRPr="00425153">
        <w:rPr>
          <w:rFonts w:ascii="仿宋_GB2312" w:eastAsia="仿宋_GB2312" w:hint="eastAsia"/>
          <w:color w:val="000000"/>
          <w:sz w:val="24"/>
        </w:rPr>
        <w:t>同一</w:t>
      </w:r>
      <w:r w:rsidRPr="00425153">
        <w:rPr>
          <w:rFonts w:ascii="仿宋_GB2312" w:eastAsia="仿宋_GB2312"/>
          <w:color w:val="000000"/>
          <w:sz w:val="24"/>
        </w:rPr>
        <w:t>交易日</w:t>
      </w:r>
      <w:r w:rsidRPr="00425153">
        <w:rPr>
          <w:rFonts w:ascii="仿宋_GB2312" w:eastAsia="仿宋_GB2312" w:hint="eastAsia"/>
          <w:color w:val="000000"/>
          <w:sz w:val="24"/>
        </w:rPr>
        <w:t>投资人可以多次申购本基金，申购费率按每笔申购申请单独计算。</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3.3其他与申购相关的事项</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w:t>
      </w:r>
      <w:r w:rsidR="00D41CC7">
        <w:rPr>
          <w:rFonts w:ascii="仿宋_GB2312" w:eastAsia="仿宋_GB2312" w:hint="eastAsia"/>
          <w:color w:val="000000"/>
          <w:sz w:val="24"/>
        </w:rPr>
        <w:t>申购价格为“未知价”原则，即开放期内申购</w:t>
      </w:r>
      <w:r w:rsidR="00D41CC7" w:rsidRPr="00D41CC7">
        <w:rPr>
          <w:rFonts w:ascii="仿宋_GB2312" w:eastAsia="仿宋_GB2312" w:hint="eastAsia"/>
          <w:color w:val="000000"/>
          <w:sz w:val="24"/>
        </w:rPr>
        <w:t>以申请当日收市后计算的基金份额净值为基准进行计算；</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（2）“金额申购”原则，即申购以金额申请；</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（3）当日的申购申请可以在基金管理人规定的时间内撤销；</w:t>
      </w:r>
    </w:p>
    <w:p w:rsidR="00D41CC7" w:rsidRDefault="00D41CC7" w:rsidP="00D41CC7">
      <w:pPr>
        <w:spacing w:line="500" w:lineRule="exact"/>
        <w:ind w:firstLineChars="200" w:firstLine="480"/>
        <w:jc w:val="left"/>
        <w:rPr>
          <w:rFonts w:ascii="仿宋_GB2312" w:eastAsia="仿宋_GB2312" w:hint="eastAsia"/>
          <w:color w:val="000000"/>
          <w:sz w:val="24"/>
        </w:rPr>
      </w:pPr>
      <w:r>
        <w:rPr>
          <w:rFonts w:ascii="仿宋_GB2312" w:eastAsia="仿宋_GB2312"/>
          <w:color w:val="000000"/>
          <w:sz w:val="24"/>
        </w:rPr>
        <w:t>（</w:t>
      </w:r>
      <w:r>
        <w:rPr>
          <w:rFonts w:ascii="仿宋_GB2312" w:eastAsia="仿宋_GB2312" w:hint="eastAsia"/>
          <w:color w:val="000000"/>
          <w:sz w:val="24"/>
        </w:rPr>
        <w:t>4</w:t>
      </w:r>
      <w:r>
        <w:rPr>
          <w:rFonts w:ascii="仿宋_GB2312" w:eastAsia="仿宋_GB2312"/>
          <w:color w:val="000000"/>
          <w:sz w:val="24"/>
        </w:rPr>
        <w:t>）</w:t>
      </w:r>
      <w:r>
        <w:rPr>
          <w:rFonts w:ascii="仿宋_GB2312" w:eastAsia="仿宋_GB2312" w:hint="eastAsia"/>
          <w:color w:val="000000"/>
          <w:sz w:val="24"/>
        </w:rPr>
        <w:t>办理申购</w:t>
      </w:r>
      <w:r w:rsidRPr="00D41CC7">
        <w:rPr>
          <w:rFonts w:ascii="仿宋_GB2312" w:eastAsia="仿宋_GB2312" w:hint="eastAsia"/>
          <w:color w:val="000000"/>
          <w:sz w:val="24"/>
        </w:rPr>
        <w:t>业务时，应当遵循基金份额持有人利益优先原则，确保投资者的合法权益不受损害并得到公平对待。</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5</w:t>
      </w:r>
      <w:r>
        <w:rPr>
          <w:rFonts w:ascii="仿宋_GB2312" w:eastAsia="仿宋_GB2312" w:hint="eastAsia"/>
          <w:color w:val="000000"/>
          <w:sz w:val="24"/>
        </w:rPr>
        <w:t>）基金管理人可以在法律法规允许的情况下，对上述原则进行调整，并在新规则实施前依照规定在指定媒体公告。</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6</w:t>
      </w:r>
      <w:r>
        <w:rPr>
          <w:rFonts w:ascii="仿宋_GB2312" w:eastAsia="仿宋_GB2312" w:hint="eastAsia"/>
          <w:color w:val="000000"/>
          <w:sz w:val="24"/>
        </w:rPr>
        <w:t>）</w:t>
      </w:r>
      <w:r w:rsidR="00DE287F">
        <w:rPr>
          <w:rFonts w:ascii="仿宋_GB2312" w:eastAsia="仿宋_GB2312" w:hint="eastAsia"/>
          <w:color w:val="000000"/>
          <w:sz w:val="24"/>
        </w:rPr>
        <w:t>基金管理人应以交易时间结束前受理有效申购</w:t>
      </w:r>
      <w:r w:rsidR="00B73F37" w:rsidRPr="00B73F37">
        <w:rPr>
          <w:rFonts w:ascii="仿宋_GB2312" w:eastAsia="仿宋_GB2312" w:hint="eastAsia"/>
          <w:color w:val="000000"/>
          <w:sz w:val="24"/>
        </w:rPr>
        <w:t>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D41CC7">
        <w:rPr>
          <w:rFonts w:ascii="仿宋_GB2312" w:eastAsia="仿宋_GB2312"/>
          <w:color w:val="000000"/>
          <w:sz w:val="24"/>
        </w:rPr>
        <w:t>7</w:t>
      </w:r>
      <w:r>
        <w:rPr>
          <w:rFonts w:ascii="仿宋_GB2312" w:eastAsia="仿宋_GB2312" w:hint="eastAsia"/>
          <w:color w:val="000000"/>
          <w:sz w:val="24"/>
        </w:rPr>
        <w:t>）基金销售机构对申购申请的受理并不代表申请一定成功，而仅代表销售机构确实接收到申请。申购申请的确认以登记机构的确认结果为准。对于申请的确认情况，投资者应及时查询并妥善行使合法权利。</w:t>
      </w:r>
      <w:r w:rsidR="00B73F37">
        <w:rPr>
          <w:rFonts w:ascii="仿宋_GB2312" w:eastAsia="仿宋_GB2312" w:hint="eastAsia"/>
          <w:color w:val="000000"/>
          <w:sz w:val="24"/>
        </w:rPr>
        <w:t xml:space="preserve"> </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3.4申购</w:t>
      </w:r>
      <w:r>
        <w:rPr>
          <w:rFonts w:hAnsi="Times New Roman"/>
          <w:bCs w:val="0"/>
          <w:caps w:val="0"/>
          <w:color w:val="000000"/>
          <w:kern w:val="2"/>
          <w:lang w:eastAsia="zh-CN" w:bidi="ar-SA"/>
        </w:rPr>
        <w:t>业务适用的销售机构</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同本公告中“</w:t>
      </w:r>
      <w:r w:rsidR="00B43D12">
        <w:rPr>
          <w:rFonts w:ascii="仿宋_GB2312" w:eastAsia="仿宋_GB2312"/>
          <w:color w:val="000000"/>
          <w:sz w:val="24"/>
        </w:rPr>
        <w:t>7</w:t>
      </w:r>
      <w:r>
        <w:rPr>
          <w:rFonts w:ascii="仿宋_GB2312" w:eastAsia="仿宋_GB2312" w:hint="eastAsia"/>
          <w:color w:val="000000"/>
          <w:sz w:val="24"/>
        </w:rPr>
        <w:t>.基金销售机构”。</w:t>
      </w:r>
    </w:p>
    <w:p w:rsidR="00D349BE" w:rsidRPr="003D7190" w:rsidRDefault="00D349BE">
      <w:pPr>
        <w:pStyle w:val="10"/>
        <w:spacing w:line="500" w:lineRule="exact"/>
        <w:ind w:firstLineChars="200" w:firstLine="482"/>
        <w:rPr>
          <w:rFonts w:hAnsi="Times New Roman" w:hint="eastAsia"/>
          <w:b/>
          <w:bCs w:val="0"/>
          <w:caps w:val="0"/>
          <w:color w:val="000000"/>
          <w:kern w:val="2"/>
          <w:lang w:eastAsia="zh-CN" w:bidi="ar-SA"/>
        </w:rPr>
      </w:pPr>
      <w:r w:rsidRPr="003D7190">
        <w:rPr>
          <w:rFonts w:hAnsi="Times New Roman"/>
          <w:b/>
          <w:bCs w:val="0"/>
          <w:caps w:val="0"/>
          <w:color w:val="000000"/>
          <w:kern w:val="2"/>
          <w:lang w:eastAsia="zh-CN" w:bidi="ar-SA"/>
        </w:rPr>
        <w:t>4.日常赎回业务</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bCs w:val="0"/>
          <w:caps w:val="0"/>
          <w:color w:val="000000"/>
          <w:kern w:val="2"/>
          <w:lang w:eastAsia="zh-CN" w:bidi="ar-SA"/>
        </w:rPr>
        <w:t>4.1赎回份额限制</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w:t>
      </w:r>
      <w:r w:rsidR="00122248" w:rsidRPr="00122248">
        <w:rPr>
          <w:rFonts w:ascii="仿宋_GB2312" w:eastAsia="仿宋_GB2312" w:hint="eastAsia"/>
          <w:color w:val="000000"/>
          <w:sz w:val="24"/>
        </w:rPr>
        <w:t>基金份额持有人可以将其全部或部分基金份额赎回，单笔赎回份额不得少于10份，某笔赎回导致基金份额持有人在某一销售机构全部交易账户的份额余额少于10份的，基金管理人有权强制该基金份额持有人全部赎回其在该销售机构全部交易账户持有的基金份额。如因分红再投资、非交易过户、转托管、巨额赎回、基金转换等原因导致的账户余额少于10份之情况，不受此限，但再次赎回时必须一次性全部赎回。</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w:t>
      </w:r>
      <w:r w:rsidR="00BC4EF9" w:rsidRPr="00BC4EF9">
        <w:rPr>
          <w:rFonts w:ascii="仿宋_GB2312" w:eastAsia="仿宋_GB2312" w:hint="eastAsia"/>
          <w:color w:val="000000"/>
          <w:sz w:val="24"/>
        </w:rPr>
        <w:t>基金管理人可在法律法规允许的情况下，调整上述规定赎回份额的数量限制。基金管理人必须在调整实施前依照《信息披露办法》的有关规定在指定媒介上公告。</w:t>
      </w:r>
    </w:p>
    <w:p w:rsidR="00D349BE" w:rsidRDefault="00D349BE">
      <w:pPr>
        <w:pStyle w:val="10"/>
        <w:spacing w:line="500" w:lineRule="exact"/>
        <w:ind w:firstLineChars="200" w:firstLine="480"/>
        <w:rPr>
          <w:rFonts w:hAnsi="Times New Roman"/>
          <w:bCs w:val="0"/>
          <w:caps w:val="0"/>
          <w:color w:val="000000"/>
          <w:kern w:val="2"/>
          <w:lang w:eastAsia="zh-CN" w:bidi="ar-SA"/>
        </w:rPr>
      </w:pPr>
      <w:r>
        <w:rPr>
          <w:rFonts w:hAnsi="Times New Roman"/>
          <w:bCs w:val="0"/>
          <w:caps w:val="0"/>
          <w:color w:val="000000"/>
          <w:kern w:val="2"/>
          <w:lang w:eastAsia="zh-CN" w:bidi="ar-SA"/>
        </w:rPr>
        <w:t>4.2赎回费率</w:t>
      </w:r>
    </w:p>
    <w:p w:rsidR="00122248" w:rsidRPr="00425153" w:rsidRDefault="00122248" w:rsidP="00122248">
      <w:pPr>
        <w:pStyle w:val="31"/>
        <w:spacing w:after="0" w:line="360" w:lineRule="auto"/>
        <w:ind w:leftChars="0" w:left="0" w:firstLineChars="200" w:firstLine="480"/>
        <w:rPr>
          <w:rFonts w:ascii="仿宋_GB2312" w:eastAsia="仿宋_GB2312"/>
          <w:color w:val="000000"/>
          <w:sz w:val="24"/>
          <w:szCs w:val="24"/>
        </w:rPr>
      </w:pPr>
      <w:r w:rsidRPr="00425153">
        <w:rPr>
          <w:rFonts w:ascii="仿宋_GB2312" w:eastAsia="仿宋_GB2312" w:hint="eastAsia"/>
          <w:color w:val="000000"/>
          <w:sz w:val="24"/>
          <w:szCs w:val="24"/>
        </w:rPr>
        <w:t>本基金A类、C类基金份额均收取赎回费，适用相同的赎回费率。</w:t>
      </w:r>
      <w:r w:rsidRPr="00425153">
        <w:rPr>
          <w:rFonts w:ascii="仿宋_GB2312" w:eastAsia="仿宋_GB2312"/>
          <w:color w:val="000000"/>
          <w:sz w:val="24"/>
          <w:szCs w:val="24"/>
        </w:rPr>
        <w:t>赎回费用由赎回基金份额的基金份额持有人承担，在基金份额持有人赎回基金份额时收取。</w:t>
      </w:r>
      <w:r w:rsidRPr="00425153">
        <w:rPr>
          <w:rFonts w:ascii="仿宋_GB2312" w:eastAsia="仿宋_GB2312" w:hint="eastAsia"/>
          <w:color w:val="000000"/>
          <w:sz w:val="24"/>
          <w:szCs w:val="24"/>
        </w:rPr>
        <w:t>对</w:t>
      </w:r>
      <w:r w:rsidRPr="00425153">
        <w:rPr>
          <w:rFonts w:ascii="仿宋_GB2312" w:eastAsia="仿宋_GB2312"/>
          <w:color w:val="000000"/>
          <w:sz w:val="24"/>
          <w:szCs w:val="24"/>
        </w:rPr>
        <w:t>持续持有期少于</w:t>
      </w:r>
      <w:r w:rsidRPr="00425153">
        <w:rPr>
          <w:rFonts w:ascii="仿宋_GB2312" w:eastAsia="仿宋_GB2312" w:hint="eastAsia"/>
          <w:color w:val="000000"/>
          <w:sz w:val="24"/>
          <w:szCs w:val="24"/>
        </w:rPr>
        <w:t>7日</w:t>
      </w:r>
      <w:r w:rsidRPr="00425153">
        <w:rPr>
          <w:rFonts w:ascii="仿宋_GB2312" w:eastAsia="仿宋_GB2312"/>
          <w:color w:val="000000"/>
          <w:sz w:val="24"/>
          <w:szCs w:val="24"/>
        </w:rPr>
        <w:t>的投资者，本基金收取1.5%</w:t>
      </w:r>
      <w:r w:rsidRPr="00425153">
        <w:rPr>
          <w:rFonts w:ascii="仿宋_GB2312" w:eastAsia="仿宋_GB2312" w:hint="eastAsia"/>
          <w:color w:val="000000"/>
          <w:sz w:val="24"/>
          <w:szCs w:val="24"/>
        </w:rPr>
        <w:t>的</w:t>
      </w:r>
      <w:r w:rsidRPr="00425153">
        <w:rPr>
          <w:rFonts w:ascii="仿宋_GB2312" w:eastAsia="仿宋_GB2312"/>
          <w:color w:val="000000"/>
          <w:sz w:val="24"/>
          <w:szCs w:val="24"/>
        </w:rPr>
        <w:t>赎回费并全</w:t>
      </w:r>
      <w:r w:rsidRPr="00425153">
        <w:rPr>
          <w:rFonts w:ascii="仿宋_GB2312" w:eastAsia="仿宋_GB2312" w:hint="eastAsia"/>
          <w:color w:val="000000"/>
          <w:sz w:val="24"/>
          <w:szCs w:val="24"/>
        </w:rPr>
        <w:t>额计</w:t>
      </w:r>
      <w:r w:rsidRPr="00425153">
        <w:rPr>
          <w:rFonts w:ascii="仿宋_GB2312" w:eastAsia="仿宋_GB2312"/>
          <w:color w:val="000000"/>
          <w:sz w:val="24"/>
          <w:szCs w:val="24"/>
        </w:rPr>
        <w:t>入基金财产。</w:t>
      </w:r>
      <w:r w:rsidRPr="00425153">
        <w:rPr>
          <w:rFonts w:ascii="仿宋_GB2312" w:eastAsia="仿宋_GB2312" w:hint="eastAsia"/>
          <w:color w:val="000000"/>
          <w:sz w:val="24"/>
          <w:szCs w:val="24"/>
        </w:rPr>
        <w:t>对持续</w:t>
      </w:r>
      <w:r w:rsidRPr="00425153">
        <w:rPr>
          <w:rFonts w:ascii="仿宋_GB2312" w:eastAsia="仿宋_GB2312"/>
          <w:color w:val="000000"/>
          <w:sz w:val="24"/>
          <w:szCs w:val="24"/>
        </w:rPr>
        <w:t>持</w:t>
      </w:r>
      <w:r w:rsidRPr="00425153">
        <w:rPr>
          <w:rFonts w:ascii="仿宋_GB2312" w:eastAsia="仿宋_GB2312" w:hint="eastAsia"/>
          <w:color w:val="000000"/>
          <w:sz w:val="24"/>
          <w:szCs w:val="24"/>
        </w:rPr>
        <w:t>有期大于7日</w:t>
      </w:r>
      <w:r w:rsidRPr="00425153">
        <w:rPr>
          <w:rFonts w:ascii="仿宋_GB2312" w:eastAsia="仿宋_GB2312"/>
          <w:color w:val="000000"/>
          <w:sz w:val="24"/>
          <w:szCs w:val="24"/>
        </w:rPr>
        <w:t>（含）</w:t>
      </w:r>
      <w:r w:rsidRPr="00425153">
        <w:rPr>
          <w:rFonts w:ascii="仿宋_GB2312" w:eastAsia="仿宋_GB2312" w:hint="eastAsia"/>
          <w:color w:val="000000"/>
          <w:sz w:val="24"/>
          <w:szCs w:val="24"/>
        </w:rPr>
        <w:t>少</w:t>
      </w:r>
      <w:r w:rsidRPr="00425153">
        <w:rPr>
          <w:rFonts w:ascii="仿宋_GB2312" w:eastAsia="仿宋_GB2312"/>
          <w:color w:val="000000"/>
          <w:sz w:val="24"/>
          <w:szCs w:val="24"/>
        </w:rPr>
        <w:t>于</w:t>
      </w:r>
      <w:r w:rsidRPr="00425153">
        <w:rPr>
          <w:rFonts w:ascii="仿宋_GB2312" w:eastAsia="仿宋_GB2312" w:hint="eastAsia"/>
          <w:color w:val="000000"/>
          <w:sz w:val="24"/>
          <w:szCs w:val="24"/>
        </w:rPr>
        <w:t>30日</w:t>
      </w:r>
      <w:r w:rsidRPr="00425153">
        <w:rPr>
          <w:rFonts w:ascii="仿宋_GB2312" w:eastAsia="仿宋_GB2312"/>
          <w:color w:val="000000"/>
          <w:sz w:val="24"/>
          <w:szCs w:val="24"/>
        </w:rPr>
        <w:t>的投资者，</w:t>
      </w:r>
      <w:r w:rsidRPr="00425153">
        <w:rPr>
          <w:rFonts w:ascii="仿宋_GB2312" w:eastAsia="仿宋_GB2312" w:hint="eastAsia"/>
          <w:color w:val="000000"/>
          <w:sz w:val="24"/>
          <w:szCs w:val="24"/>
        </w:rPr>
        <w:t>本</w:t>
      </w:r>
      <w:r w:rsidRPr="00425153">
        <w:rPr>
          <w:rFonts w:ascii="仿宋_GB2312" w:eastAsia="仿宋_GB2312"/>
          <w:color w:val="000000"/>
          <w:sz w:val="24"/>
          <w:szCs w:val="24"/>
        </w:rPr>
        <w:t>基金收取0.1</w:t>
      </w:r>
      <w:r w:rsidRPr="00425153">
        <w:rPr>
          <w:rFonts w:ascii="仿宋_GB2312" w:eastAsia="仿宋_GB2312" w:hint="eastAsia"/>
          <w:color w:val="000000"/>
          <w:sz w:val="24"/>
          <w:szCs w:val="24"/>
        </w:rPr>
        <w:t>%的</w:t>
      </w:r>
      <w:r w:rsidRPr="00425153">
        <w:rPr>
          <w:rFonts w:ascii="仿宋_GB2312" w:eastAsia="仿宋_GB2312"/>
          <w:color w:val="000000"/>
          <w:sz w:val="24"/>
          <w:szCs w:val="24"/>
        </w:rPr>
        <w:t>赎回费</w:t>
      </w:r>
      <w:r w:rsidRPr="00425153">
        <w:rPr>
          <w:rFonts w:ascii="仿宋_GB2312" w:eastAsia="仿宋_GB2312" w:hint="eastAsia"/>
          <w:color w:val="000000"/>
          <w:sz w:val="24"/>
          <w:szCs w:val="24"/>
        </w:rPr>
        <w:t>，</w:t>
      </w:r>
      <w:r w:rsidRPr="00425153">
        <w:rPr>
          <w:rFonts w:ascii="仿宋_GB2312" w:eastAsia="仿宋_GB2312"/>
          <w:color w:val="000000"/>
          <w:sz w:val="24"/>
          <w:szCs w:val="24"/>
        </w:rPr>
        <w:t>并将不低于赎回费总额的25%归</w:t>
      </w:r>
      <w:r w:rsidRPr="00425153">
        <w:rPr>
          <w:rFonts w:ascii="仿宋_GB2312" w:eastAsia="仿宋_GB2312" w:hint="eastAsia"/>
          <w:color w:val="000000"/>
          <w:sz w:val="24"/>
          <w:szCs w:val="24"/>
        </w:rPr>
        <w:t>入</w:t>
      </w:r>
      <w:r w:rsidRPr="00425153">
        <w:rPr>
          <w:rFonts w:ascii="仿宋_GB2312" w:eastAsia="仿宋_GB2312"/>
          <w:color w:val="000000"/>
          <w:sz w:val="24"/>
          <w:szCs w:val="24"/>
        </w:rPr>
        <w:t>基金财产，其余用于支付登记费和其他必要的手续费。</w:t>
      </w:r>
    </w:p>
    <w:p w:rsidR="00122248" w:rsidRPr="00425153" w:rsidRDefault="00122248" w:rsidP="00122248">
      <w:pPr>
        <w:pStyle w:val="31"/>
        <w:spacing w:after="0" w:line="360" w:lineRule="auto"/>
        <w:ind w:leftChars="0" w:left="0" w:firstLineChars="200" w:firstLine="480"/>
        <w:rPr>
          <w:rFonts w:ascii="仿宋_GB2312" w:eastAsia="仿宋_GB2312"/>
          <w:color w:val="000000"/>
          <w:sz w:val="24"/>
          <w:szCs w:val="24"/>
        </w:rPr>
      </w:pPr>
      <w:r w:rsidRPr="00425153">
        <w:rPr>
          <w:rFonts w:ascii="仿宋_GB2312" w:eastAsia="仿宋_GB2312"/>
          <w:color w:val="000000"/>
          <w:sz w:val="24"/>
          <w:szCs w:val="24"/>
        </w:rPr>
        <w:t>本基金A类和</w:t>
      </w:r>
      <w:r w:rsidRPr="00425153">
        <w:rPr>
          <w:rFonts w:ascii="仿宋_GB2312" w:eastAsia="仿宋_GB2312" w:hint="eastAsia"/>
          <w:color w:val="000000"/>
          <w:sz w:val="24"/>
          <w:szCs w:val="24"/>
        </w:rPr>
        <w:t>C类</w:t>
      </w:r>
      <w:r w:rsidRPr="00425153">
        <w:rPr>
          <w:rFonts w:ascii="仿宋_GB2312" w:eastAsia="仿宋_GB2312"/>
          <w:color w:val="000000"/>
          <w:sz w:val="24"/>
          <w:szCs w:val="24"/>
        </w:rPr>
        <w:t>基金份额的赎回费率如下：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2771"/>
        <w:gridCol w:w="2767"/>
      </w:tblGrid>
      <w:tr w:rsidR="00CC5F20" w:rsidRPr="00425153" w:rsidTr="00CC5F20">
        <w:trPr>
          <w:jc w:val="center"/>
        </w:trPr>
        <w:tc>
          <w:tcPr>
            <w:tcW w:w="2758"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p>
        </w:tc>
        <w:tc>
          <w:tcPr>
            <w:tcW w:w="2771"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hint="eastAsia"/>
                <w:color w:val="000000"/>
                <w:sz w:val="24"/>
                <w:szCs w:val="24"/>
              </w:rPr>
              <w:t>持有期限（</w:t>
            </w:r>
            <w:r w:rsidRPr="00425153">
              <w:rPr>
                <w:rFonts w:ascii="仿宋_GB2312" w:eastAsia="仿宋_GB2312"/>
                <w:color w:val="000000"/>
                <w:sz w:val="24"/>
                <w:szCs w:val="24"/>
              </w:rPr>
              <w:t>Y</w:t>
            </w:r>
            <w:r w:rsidRPr="00425153">
              <w:rPr>
                <w:rFonts w:ascii="仿宋_GB2312" w:eastAsia="仿宋_GB2312" w:hint="eastAsia"/>
                <w:color w:val="000000"/>
                <w:sz w:val="24"/>
                <w:szCs w:val="24"/>
              </w:rPr>
              <w:t>）</w:t>
            </w:r>
          </w:p>
        </w:tc>
        <w:tc>
          <w:tcPr>
            <w:tcW w:w="2767"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hint="eastAsia"/>
                <w:color w:val="000000"/>
                <w:sz w:val="24"/>
                <w:szCs w:val="24"/>
              </w:rPr>
              <w:t>赎回费率</w:t>
            </w:r>
          </w:p>
        </w:tc>
      </w:tr>
      <w:tr w:rsidR="00CC5F20" w:rsidRPr="00425153" w:rsidTr="00CC5F20">
        <w:trPr>
          <w:jc w:val="center"/>
        </w:trPr>
        <w:tc>
          <w:tcPr>
            <w:tcW w:w="2758" w:type="dxa"/>
            <w:vMerge w:val="restart"/>
            <w:shd w:val="clear" w:color="auto" w:fill="auto"/>
            <w:vAlign w:val="center"/>
          </w:tcPr>
          <w:p w:rsidR="00122248" w:rsidRPr="00425153" w:rsidRDefault="00122248" w:rsidP="00CC5F20">
            <w:pPr>
              <w:pStyle w:val="31"/>
              <w:spacing w:after="0" w:line="360" w:lineRule="auto"/>
              <w:jc w:val="center"/>
              <w:rPr>
                <w:rFonts w:ascii="仿宋_GB2312" w:eastAsia="仿宋_GB2312"/>
                <w:color w:val="000000"/>
                <w:sz w:val="24"/>
                <w:szCs w:val="24"/>
              </w:rPr>
            </w:pPr>
            <w:r w:rsidRPr="00425153">
              <w:rPr>
                <w:rFonts w:ascii="仿宋_GB2312" w:eastAsia="仿宋_GB2312" w:hint="eastAsia"/>
                <w:color w:val="000000"/>
                <w:sz w:val="24"/>
                <w:szCs w:val="24"/>
              </w:rPr>
              <w:t>赎回费</w:t>
            </w:r>
          </w:p>
        </w:tc>
        <w:tc>
          <w:tcPr>
            <w:tcW w:w="2771"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color w:val="000000"/>
                <w:sz w:val="24"/>
                <w:szCs w:val="24"/>
              </w:rPr>
              <w:t>Y</w:t>
            </w:r>
            <w:r w:rsidRPr="00425153">
              <w:rPr>
                <w:rFonts w:ascii="仿宋_GB2312" w:eastAsia="仿宋_GB2312" w:hint="eastAsia"/>
                <w:color w:val="000000"/>
                <w:sz w:val="24"/>
                <w:szCs w:val="24"/>
              </w:rPr>
              <w:t>＜</w:t>
            </w:r>
            <w:r w:rsidRPr="00425153">
              <w:rPr>
                <w:rFonts w:ascii="仿宋_GB2312" w:eastAsia="仿宋_GB2312"/>
                <w:color w:val="000000"/>
                <w:sz w:val="24"/>
                <w:szCs w:val="24"/>
              </w:rPr>
              <w:t>7</w:t>
            </w:r>
            <w:r w:rsidRPr="00425153">
              <w:rPr>
                <w:rFonts w:ascii="仿宋_GB2312" w:eastAsia="仿宋_GB2312" w:hint="eastAsia"/>
                <w:color w:val="000000"/>
                <w:sz w:val="24"/>
                <w:szCs w:val="24"/>
              </w:rPr>
              <w:t>天</w:t>
            </w:r>
          </w:p>
        </w:tc>
        <w:tc>
          <w:tcPr>
            <w:tcW w:w="2767"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hint="eastAsia"/>
                <w:color w:val="000000"/>
                <w:sz w:val="24"/>
                <w:szCs w:val="24"/>
              </w:rPr>
              <w:t>1.5%</w:t>
            </w:r>
          </w:p>
        </w:tc>
      </w:tr>
      <w:tr w:rsidR="00CC5F20" w:rsidRPr="00425153" w:rsidTr="00CC5F20">
        <w:trPr>
          <w:jc w:val="center"/>
        </w:trPr>
        <w:tc>
          <w:tcPr>
            <w:tcW w:w="2758" w:type="dxa"/>
            <w:vMerge/>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p>
        </w:tc>
        <w:tc>
          <w:tcPr>
            <w:tcW w:w="2771"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color w:val="000000"/>
                <w:sz w:val="24"/>
                <w:szCs w:val="24"/>
              </w:rPr>
              <w:t>7</w:t>
            </w:r>
            <w:r w:rsidRPr="00425153">
              <w:rPr>
                <w:rFonts w:ascii="仿宋_GB2312" w:eastAsia="仿宋_GB2312" w:hint="eastAsia"/>
                <w:color w:val="000000"/>
                <w:sz w:val="24"/>
                <w:szCs w:val="24"/>
              </w:rPr>
              <w:t>天</w:t>
            </w:r>
            <w:r w:rsidRPr="00425153">
              <w:rPr>
                <w:rFonts w:ascii="仿宋_GB2312" w:eastAsia="仿宋_GB2312"/>
                <w:color w:val="000000"/>
                <w:sz w:val="24"/>
                <w:szCs w:val="24"/>
              </w:rPr>
              <w:t>≤</w:t>
            </w:r>
            <w:r w:rsidRPr="00425153">
              <w:rPr>
                <w:rFonts w:ascii="仿宋_GB2312" w:eastAsia="仿宋_GB2312"/>
                <w:color w:val="000000"/>
                <w:sz w:val="24"/>
                <w:szCs w:val="24"/>
              </w:rPr>
              <w:t>Y</w:t>
            </w:r>
            <w:r w:rsidRPr="00425153">
              <w:rPr>
                <w:rFonts w:ascii="仿宋_GB2312" w:eastAsia="仿宋_GB2312" w:hint="eastAsia"/>
                <w:color w:val="000000"/>
                <w:sz w:val="24"/>
                <w:szCs w:val="24"/>
              </w:rPr>
              <w:t>＜</w:t>
            </w:r>
            <w:r w:rsidRPr="00425153">
              <w:rPr>
                <w:rFonts w:ascii="仿宋_GB2312" w:eastAsia="仿宋_GB2312"/>
                <w:color w:val="000000"/>
                <w:sz w:val="24"/>
                <w:szCs w:val="24"/>
              </w:rPr>
              <w:t>30</w:t>
            </w:r>
            <w:r w:rsidRPr="00425153">
              <w:rPr>
                <w:rFonts w:ascii="仿宋_GB2312" w:eastAsia="仿宋_GB2312" w:hint="eastAsia"/>
                <w:color w:val="000000"/>
                <w:sz w:val="24"/>
                <w:szCs w:val="24"/>
              </w:rPr>
              <w:t>天</w:t>
            </w:r>
          </w:p>
        </w:tc>
        <w:tc>
          <w:tcPr>
            <w:tcW w:w="2767"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color w:val="000000"/>
                <w:sz w:val="24"/>
                <w:szCs w:val="24"/>
              </w:rPr>
              <w:t>0.1%</w:t>
            </w:r>
          </w:p>
        </w:tc>
      </w:tr>
      <w:tr w:rsidR="00CC5F20" w:rsidRPr="00425153" w:rsidTr="00CC5F20">
        <w:trPr>
          <w:jc w:val="center"/>
        </w:trPr>
        <w:tc>
          <w:tcPr>
            <w:tcW w:w="2758" w:type="dxa"/>
            <w:vMerge/>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p>
        </w:tc>
        <w:tc>
          <w:tcPr>
            <w:tcW w:w="2771"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color w:val="000000"/>
                <w:sz w:val="24"/>
                <w:szCs w:val="24"/>
              </w:rPr>
              <w:t>Y</w:t>
            </w:r>
            <w:r w:rsidRPr="00425153">
              <w:rPr>
                <w:rFonts w:ascii="仿宋_GB2312" w:eastAsia="仿宋_GB2312"/>
                <w:color w:val="000000"/>
                <w:sz w:val="24"/>
                <w:szCs w:val="24"/>
              </w:rPr>
              <w:t>≥</w:t>
            </w:r>
            <w:r w:rsidRPr="00425153">
              <w:rPr>
                <w:rFonts w:ascii="仿宋_GB2312" w:eastAsia="仿宋_GB2312"/>
                <w:color w:val="000000"/>
                <w:sz w:val="24"/>
                <w:szCs w:val="24"/>
              </w:rPr>
              <w:t>30</w:t>
            </w:r>
            <w:r w:rsidRPr="00425153">
              <w:rPr>
                <w:rFonts w:ascii="仿宋_GB2312" w:eastAsia="仿宋_GB2312" w:hint="eastAsia"/>
                <w:color w:val="000000"/>
                <w:sz w:val="24"/>
                <w:szCs w:val="24"/>
              </w:rPr>
              <w:t>天</w:t>
            </w:r>
          </w:p>
        </w:tc>
        <w:tc>
          <w:tcPr>
            <w:tcW w:w="2767" w:type="dxa"/>
            <w:shd w:val="clear" w:color="auto" w:fill="auto"/>
            <w:vAlign w:val="center"/>
          </w:tcPr>
          <w:p w:rsidR="00122248" w:rsidRPr="00425153" w:rsidRDefault="00122248" w:rsidP="00CC5F20">
            <w:pPr>
              <w:pStyle w:val="31"/>
              <w:spacing w:after="0" w:line="360" w:lineRule="auto"/>
              <w:ind w:leftChars="0" w:left="0"/>
              <w:jc w:val="center"/>
              <w:rPr>
                <w:rFonts w:ascii="仿宋_GB2312" w:eastAsia="仿宋_GB2312"/>
                <w:color w:val="000000"/>
                <w:sz w:val="24"/>
                <w:szCs w:val="24"/>
              </w:rPr>
            </w:pPr>
            <w:r w:rsidRPr="00425153">
              <w:rPr>
                <w:rFonts w:ascii="仿宋_GB2312" w:eastAsia="仿宋_GB2312"/>
                <w:color w:val="000000"/>
                <w:sz w:val="24"/>
                <w:szCs w:val="24"/>
              </w:rPr>
              <w:t>0%</w:t>
            </w:r>
          </w:p>
        </w:tc>
      </w:tr>
    </w:tbl>
    <w:p w:rsidR="00D349BE" w:rsidRDefault="00D349BE" w:rsidP="00893454">
      <w:pPr>
        <w:pStyle w:val="10"/>
        <w:spacing w:line="500" w:lineRule="exact"/>
        <w:ind w:firstLineChars="200" w:firstLine="480"/>
        <w:rPr>
          <w:rFonts w:hAnsi="Times New Roman" w:hint="eastAsia"/>
          <w:bCs w:val="0"/>
          <w:caps w:val="0"/>
          <w:color w:val="000000"/>
          <w:kern w:val="2"/>
          <w:lang w:eastAsia="zh-CN" w:bidi="ar-SA"/>
        </w:rPr>
      </w:pPr>
      <w:r>
        <w:rPr>
          <w:rFonts w:hAnsi="Times New Roman"/>
          <w:bCs w:val="0"/>
          <w:caps w:val="0"/>
          <w:color w:val="000000"/>
          <w:kern w:val="2"/>
          <w:lang w:eastAsia="zh-CN" w:bidi="ar-SA"/>
        </w:rPr>
        <w:t>4.3其他与赎回相关的事项</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（1）赎回价格为“未知价”原则，即赎回价格以申请当日收市后计算的基金份额净值为基准进行计算；</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（2）“份额赎回”原则，即赎回以份额申请；</w:t>
      </w:r>
    </w:p>
    <w:p w:rsidR="00D349BE" w:rsidRDefault="00D349BE">
      <w:pPr>
        <w:spacing w:line="500" w:lineRule="exact"/>
        <w:ind w:firstLineChars="200" w:firstLine="480"/>
        <w:jc w:val="left"/>
        <w:rPr>
          <w:rFonts w:ascii="仿宋_GB2312" w:eastAsia="仿宋_GB2312" w:hint="eastAsia"/>
          <w:color w:val="000000"/>
          <w:sz w:val="24"/>
        </w:rPr>
      </w:pPr>
      <w:r>
        <w:rPr>
          <w:rFonts w:ascii="仿宋_GB2312" w:eastAsia="仿宋_GB2312" w:hint="eastAsia"/>
          <w:color w:val="000000"/>
          <w:sz w:val="24"/>
        </w:rPr>
        <w:t>（3）当日的赎回申请可以在基金管理人规定的时间内撤销；</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（4）赎回遵循“先进先出”原则，即按照投资人认购、申购的先后次序进行顺序赎回；</w:t>
      </w:r>
    </w:p>
    <w:p w:rsidR="00BC4EF9" w:rsidRDefault="00BC4EF9">
      <w:pPr>
        <w:spacing w:line="500" w:lineRule="exact"/>
        <w:ind w:firstLineChars="200" w:firstLine="480"/>
        <w:jc w:val="left"/>
        <w:rPr>
          <w:rFonts w:ascii="仿宋_GB2312" w:eastAsia="仿宋_GB2312" w:hint="eastAsia"/>
          <w:color w:val="000000"/>
          <w:sz w:val="24"/>
        </w:rPr>
      </w:pPr>
      <w:r w:rsidRPr="00BC4EF9">
        <w:rPr>
          <w:rFonts w:ascii="仿宋_GB2312" w:eastAsia="仿宋_GB2312" w:hint="eastAsia"/>
          <w:color w:val="000000"/>
          <w:sz w:val="24"/>
        </w:rPr>
        <w:t>（</w:t>
      </w:r>
      <w:r>
        <w:rPr>
          <w:rFonts w:ascii="仿宋_GB2312" w:eastAsia="仿宋_GB2312"/>
          <w:color w:val="000000"/>
          <w:sz w:val="24"/>
        </w:rPr>
        <w:t>5</w:t>
      </w:r>
      <w:r>
        <w:rPr>
          <w:rFonts w:ascii="仿宋_GB2312" w:eastAsia="仿宋_GB2312" w:hint="eastAsia"/>
          <w:color w:val="000000"/>
          <w:sz w:val="24"/>
        </w:rPr>
        <w:t>）办理赎回</w:t>
      </w:r>
      <w:r w:rsidRPr="00BC4EF9">
        <w:rPr>
          <w:rFonts w:ascii="仿宋_GB2312" w:eastAsia="仿宋_GB2312" w:hint="eastAsia"/>
          <w:color w:val="000000"/>
          <w:sz w:val="24"/>
        </w:rPr>
        <w:t>业务时，应当遵循基金份额持有人利益优先原则，确保投资者的合法权益不受损害并得到公平对待。</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6</w:t>
      </w:r>
      <w:r>
        <w:rPr>
          <w:rFonts w:ascii="仿宋_GB2312" w:eastAsia="仿宋_GB2312" w:hint="eastAsia"/>
          <w:color w:val="000000"/>
          <w:sz w:val="24"/>
        </w:rPr>
        <w:t>）基金管理人可以在法律法规允许的情况下，对上述原则进行调整，并在新规则实施前依照规定在指定媒体公告。</w:t>
      </w:r>
    </w:p>
    <w:p w:rsidR="00D349BE" w:rsidRDefault="00D349BE">
      <w:pPr>
        <w:spacing w:line="500" w:lineRule="exact"/>
        <w:ind w:firstLineChars="200" w:firstLine="48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7</w:t>
      </w:r>
      <w:r>
        <w:rPr>
          <w:rFonts w:ascii="仿宋_GB2312" w:eastAsia="仿宋_GB2312" w:hint="eastAsia"/>
          <w:color w:val="000000"/>
          <w:sz w:val="24"/>
        </w:rPr>
        <w:t>）</w:t>
      </w:r>
      <w:r w:rsidR="00DE287F" w:rsidRPr="00DE287F">
        <w:rPr>
          <w:rFonts w:ascii="仿宋_GB2312" w:eastAsia="仿宋_GB2312" w:hint="eastAsia"/>
          <w:color w:val="000000"/>
          <w:sz w:val="24"/>
        </w:rPr>
        <w:t>基金管理人应以交易时间结束前受理有效</w:t>
      </w:r>
      <w:r w:rsidR="00122248">
        <w:rPr>
          <w:rFonts w:ascii="仿宋_GB2312" w:eastAsia="仿宋_GB2312" w:hint="eastAsia"/>
          <w:color w:val="000000"/>
          <w:sz w:val="24"/>
        </w:rPr>
        <w:t>赎回</w:t>
      </w:r>
      <w:r w:rsidR="00DE287F" w:rsidRPr="00DE287F">
        <w:rPr>
          <w:rFonts w:ascii="仿宋_GB2312" w:eastAsia="仿宋_GB2312" w:hint="eastAsia"/>
          <w:color w:val="000000"/>
          <w:sz w:val="24"/>
        </w:rPr>
        <w:t>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D349BE" w:rsidRDefault="00D349BE" w:rsidP="003D7190">
      <w:pPr>
        <w:spacing w:line="500" w:lineRule="exact"/>
        <w:ind w:firstLineChars="150" w:firstLine="360"/>
        <w:jc w:val="left"/>
        <w:rPr>
          <w:rFonts w:ascii="仿宋_GB2312" w:eastAsia="仿宋_GB2312"/>
          <w:color w:val="000000"/>
          <w:sz w:val="24"/>
        </w:rPr>
      </w:pPr>
      <w:r>
        <w:rPr>
          <w:rFonts w:ascii="仿宋_GB2312" w:eastAsia="仿宋_GB2312" w:hint="eastAsia"/>
          <w:color w:val="000000"/>
          <w:sz w:val="24"/>
        </w:rPr>
        <w:t>（</w:t>
      </w:r>
      <w:r w:rsidR="00BC4EF9">
        <w:rPr>
          <w:rFonts w:ascii="仿宋_GB2312" w:eastAsia="仿宋_GB2312"/>
          <w:color w:val="000000"/>
          <w:sz w:val="24"/>
        </w:rPr>
        <w:t>8</w:t>
      </w:r>
      <w:r>
        <w:rPr>
          <w:rFonts w:ascii="仿宋_GB2312" w:eastAsia="仿宋_GB2312" w:hint="eastAsia"/>
          <w:color w:val="000000"/>
          <w:sz w:val="24"/>
        </w:rPr>
        <w:t>）</w:t>
      </w:r>
      <w:r w:rsidR="00000070" w:rsidRPr="00425153">
        <w:rPr>
          <w:rFonts w:ascii="仿宋_GB2312" w:eastAsia="仿宋_GB2312"/>
          <w:color w:val="000000"/>
          <w:sz w:val="24"/>
        </w:rPr>
        <w:t>投资人赎回</w:t>
      </w:r>
      <w:r w:rsidR="00000070" w:rsidRPr="00425153">
        <w:rPr>
          <w:rFonts w:ascii="仿宋_GB2312" w:eastAsia="仿宋_GB2312" w:hint="eastAsia"/>
          <w:color w:val="000000"/>
          <w:sz w:val="24"/>
        </w:rPr>
        <w:t>申请生效</w:t>
      </w:r>
      <w:r w:rsidR="00000070" w:rsidRPr="00425153">
        <w:rPr>
          <w:rFonts w:ascii="仿宋_GB2312" w:eastAsia="仿宋_GB2312"/>
          <w:color w:val="000000"/>
          <w:sz w:val="24"/>
        </w:rPr>
        <w:t>后，基金管理人将在T＋</w:t>
      </w:r>
      <w:r w:rsidR="00000070" w:rsidRPr="00425153">
        <w:rPr>
          <w:rFonts w:ascii="仿宋_GB2312" w:eastAsia="仿宋_GB2312" w:hint="eastAsia"/>
          <w:color w:val="000000"/>
          <w:sz w:val="24"/>
        </w:rPr>
        <w:t>7</w:t>
      </w:r>
      <w:r w:rsidR="00000070" w:rsidRPr="00425153">
        <w:rPr>
          <w:rFonts w:ascii="仿宋_GB2312" w:eastAsia="仿宋_GB2312"/>
          <w:color w:val="000000"/>
          <w:sz w:val="24"/>
        </w:rPr>
        <w:t>日(包括该日)内</w:t>
      </w:r>
      <w:r w:rsidR="00000070" w:rsidRPr="00425153">
        <w:rPr>
          <w:rFonts w:ascii="仿宋_GB2312" w:eastAsia="仿宋_GB2312" w:hint="eastAsia"/>
          <w:color w:val="000000"/>
          <w:sz w:val="24"/>
        </w:rPr>
        <w:t>将</w:t>
      </w:r>
      <w:r w:rsidR="00000070" w:rsidRPr="00425153">
        <w:rPr>
          <w:rFonts w:ascii="仿宋_GB2312" w:eastAsia="仿宋_GB2312"/>
          <w:color w:val="000000"/>
          <w:sz w:val="24"/>
        </w:rPr>
        <w:t>赎回款项</w:t>
      </w:r>
      <w:r w:rsidR="00000070" w:rsidRPr="00425153">
        <w:rPr>
          <w:rFonts w:ascii="仿宋_GB2312" w:eastAsia="仿宋_GB2312" w:hint="eastAsia"/>
          <w:color w:val="000000"/>
          <w:sz w:val="24"/>
        </w:rPr>
        <w:t>划往基金份额持有人账户</w:t>
      </w:r>
      <w:r w:rsidR="00000070" w:rsidRPr="00425153">
        <w:rPr>
          <w:rFonts w:ascii="仿宋_GB2312" w:eastAsia="仿宋_GB2312"/>
          <w:color w:val="000000"/>
          <w:sz w:val="24"/>
        </w:rPr>
        <w:t>。遇证券</w:t>
      </w:r>
      <w:r w:rsidR="00000070" w:rsidRPr="00425153">
        <w:rPr>
          <w:rFonts w:ascii="仿宋_GB2312" w:eastAsia="仿宋_GB2312" w:hint="eastAsia"/>
          <w:color w:val="000000"/>
          <w:sz w:val="24"/>
        </w:rPr>
        <w:t>、期货</w:t>
      </w:r>
      <w:r w:rsidR="00000070" w:rsidRPr="00425153">
        <w:rPr>
          <w:rFonts w:ascii="仿宋_GB2312" w:eastAsia="仿宋_GB2312"/>
          <w:color w:val="000000"/>
          <w:sz w:val="24"/>
        </w:rPr>
        <w:t>交易所或交易市场数据传输延迟、通讯系统故障、银行数据交换系统故障或其它非基金管理人及基金托管人所能控制的因素影响业务处理流程时，赎回款项顺延至</w:t>
      </w:r>
      <w:r w:rsidR="00000070" w:rsidRPr="00425153">
        <w:rPr>
          <w:rFonts w:ascii="仿宋_GB2312" w:eastAsia="仿宋_GB2312" w:hint="eastAsia"/>
          <w:color w:val="000000"/>
          <w:sz w:val="24"/>
        </w:rPr>
        <w:t>上述情形</w:t>
      </w:r>
      <w:r w:rsidR="00000070" w:rsidRPr="00425153">
        <w:rPr>
          <w:rFonts w:ascii="仿宋_GB2312" w:eastAsia="仿宋_GB2312"/>
          <w:color w:val="000000"/>
          <w:sz w:val="24"/>
        </w:rPr>
        <w:t>消除</w:t>
      </w:r>
      <w:r w:rsidR="00000070" w:rsidRPr="00425153">
        <w:rPr>
          <w:rFonts w:ascii="仿宋_GB2312" w:eastAsia="仿宋_GB2312" w:hint="eastAsia"/>
          <w:color w:val="000000"/>
          <w:sz w:val="24"/>
        </w:rPr>
        <w:t>后的</w:t>
      </w:r>
      <w:r w:rsidR="00000070" w:rsidRPr="00425153">
        <w:rPr>
          <w:rFonts w:ascii="仿宋_GB2312" w:eastAsia="仿宋_GB2312"/>
          <w:color w:val="000000"/>
          <w:sz w:val="24"/>
        </w:rPr>
        <w:t>下一个工作日划出</w:t>
      </w:r>
      <w:r w:rsidR="00000070" w:rsidRPr="00425153">
        <w:rPr>
          <w:rFonts w:ascii="仿宋_GB2312" w:eastAsia="仿宋_GB2312" w:hint="eastAsia"/>
          <w:color w:val="000000"/>
          <w:sz w:val="24"/>
        </w:rPr>
        <w:t>。</w:t>
      </w:r>
      <w:r w:rsidR="00000070" w:rsidRPr="00425153">
        <w:rPr>
          <w:rFonts w:ascii="仿宋_GB2312" w:eastAsia="仿宋_GB2312"/>
          <w:color w:val="000000"/>
          <w:sz w:val="24"/>
        </w:rPr>
        <w:t>在发生巨额赎回</w:t>
      </w:r>
      <w:r w:rsidR="00000070" w:rsidRPr="00425153">
        <w:rPr>
          <w:rFonts w:ascii="仿宋_GB2312" w:eastAsia="仿宋_GB2312" w:hint="eastAsia"/>
          <w:color w:val="000000"/>
          <w:sz w:val="24"/>
        </w:rPr>
        <w:t>或基金合同载明的其他暂停赎回或延缓支付赎回款项的情形</w:t>
      </w:r>
      <w:r w:rsidR="00000070" w:rsidRPr="00425153">
        <w:rPr>
          <w:rFonts w:ascii="仿宋_GB2312" w:eastAsia="仿宋_GB2312"/>
          <w:color w:val="000000"/>
          <w:sz w:val="24"/>
        </w:rPr>
        <w:t>时，款项的支付办法参照基金合同有关条款处理。</w:t>
      </w:r>
    </w:p>
    <w:p w:rsidR="00D349BE" w:rsidRDefault="00D349BE" w:rsidP="003D7190">
      <w:pPr>
        <w:pStyle w:val="10"/>
        <w:spacing w:line="500" w:lineRule="exact"/>
        <w:ind w:firstLineChars="150" w:firstLine="360"/>
        <w:rPr>
          <w:color w:val="000000"/>
          <w:lang w:eastAsia="zh-CN"/>
        </w:rPr>
      </w:pPr>
      <w:r>
        <w:rPr>
          <w:rFonts w:hint="eastAsia"/>
          <w:color w:val="000000"/>
          <w:lang w:eastAsia="zh-CN"/>
        </w:rPr>
        <w:t>（</w:t>
      </w:r>
      <w:r w:rsidR="00BC4EF9">
        <w:rPr>
          <w:color w:val="000000"/>
          <w:lang w:eastAsia="zh-CN"/>
        </w:rPr>
        <w:t>9</w:t>
      </w:r>
      <w:r>
        <w:rPr>
          <w:rFonts w:hint="eastAsia"/>
          <w:color w:val="000000"/>
          <w:lang w:eastAsia="zh-CN"/>
        </w:rPr>
        <w:t>）基金销售机构对赎回申请的受理并不代表申请一定成功，而仅代表销售机构确实接收到申请。赎回申请的确认以登记机构的确认结果为准。对于申请的确认情况，投资者应及时查询并妥善行使合法权利。</w:t>
      </w:r>
    </w:p>
    <w:p w:rsidR="00D349BE" w:rsidRDefault="00D349BE">
      <w:pPr>
        <w:pStyle w:val="10"/>
        <w:spacing w:line="500" w:lineRule="exact"/>
        <w:ind w:firstLineChars="200" w:firstLine="480"/>
        <w:rPr>
          <w:rFonts w:hAnsi="Times New Roman" w:hint="eastAsia"/>
          <w:bCs w:val="0"/>
          <w:caps w:val="0"/>
          <w:color w:val="000000"/>
          <w:kern w:val="2"/>
          <w:lang w:eastAsia="zh-CN" w:bidi="ar-SA"/>
        </w:rPr>
      </w:pPr>
      <w:r>
        <w:rPr>
          <w:rFonts w:hAnsi="Times New Roman" w:hint="eastAsia"/>
          <w:bCs w:val="0"/>
          <w:caps w:val="0"/>
          <w:color w:val="000000"/>
          <w:kern w:val="2"/>
          <w:lang w:eastAsia="zh-CN" w:bidi="ar-SA"/>
        </w:rPr>
        <w:t>4.4赎回</w:t>
      </w:r>
      <w:r>
        <w:rPr>
          <w:rFonts w:hAnsi="Times New Roman"/>
          <w:bCs w:val="0"/>
          <w:caps w:val="0"/>
          <w:color w:val="000000"/>
          <w:kern w:val="2"/>
          <w:lang w:eastAsia="zh-CN" w:bidi="ar-SA"/>
        </w:rPr>
        <w:t>业务适用的销售机构</w:t>
      </w:r>
      <w:r w:rsidR="00DE287F">
        <w:rPr>
          <w:rFonts w:hAnsi="Times New Roman" w:hint="eastAsia"/>
          <w:bCs w:val="0"/>
          <w:caps w:val="0"/>
          <w:color w:val="000000"/>
          <w:kern w:val="2"/>
          <w:lang w:eastAsia="zh-CN" w:bidi="ar-SA"/>
        </w:rPr>
        <w:t xml:space="preserve"> </w:t>
      </w:r>
    </w:p>
    <w:p w:rsidR="00D349BE" w:rsidRDefault="00D349BE" w:rsidP="002F10D3">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同本公告中“</w:t>
      </w:r>
      <w:r w:rsidR="00B43D12">
        <w:rPr>
          <w:rFonts w:ascii="仿宋_GB2312" w:eastAsia="仿宋_GB2312"/>
          <w:color w:val="000000"/>
          <w:sz w:val="24"/>
        </w:rPr>
        <w:t>7</w:t>
      </w:r>
      <w:r>
        <w:rPr>
          <w:rFonts w:ascii="仿宋_GB2312" w:eastAsia="仿宋_GB2312" w:hint="eastAsia"/>
          <w:color w:val="000000"/>
          <w:sz w:val="24"/>
        </w:rPr>
        <w:t>.基金销售机构”。</w:t>
      </w:r>
    </w:p>
    <w:p w:rsidR="00D349BE" w:rsidRPr="003D7190" w:rsidRDefault="00D349BE">
      <w:pPr>
        <w:spacing w:line="500" w:lineRule="exact"/>
        <w:ind w:firstLineChars="200" w:firstLine="482"/>
        <w:rPr>
          <w:rFonts w:ascii="仿宋_GB2312" w:eastAsia="仿宋_GB2312" w:hint="eastAsia"/>
          <w:b/>
          <w:color w:val="000000"/>
          <w:sz w:val="24"/>
        </w:rPr>
      </w:pPr>
      <w:r w:rsidRPr="003D7190">
        <w:rPr>
          <w:rFonts w:ascii="仿宋_GB2312" w:eastAsia="仿宋_GB2312" w:hint="eastAsia"/>
          <w:b/>
          <w:color w:val="000000"/>
          <w:sz w:val="24"/>
        </w:rPr>
        <w:t xml:space="preserve">5．日常转换业务 </w:t>
      </w:r>
    </w:p>
    <w:p w:rsidR="00D349BE" w:rsidRDefault="00D349BE">
      <w:pPr>
        <w:spacing w:line="500" w:lineRule="exact"/>
        <w:ind w:firstLineChars="200" w:firstLine="480"/>
        <w:rPr>
          <w:rFonts w:ascii="仿宋_GB2312" w:eastAsia="仿宋_GB2312" w:cs="宋体"/>
          <w:color w:val="000000"/>
          <w:kern w:val="0"/>
          <w:sz w:val="24"/>
        </w:rPr>
      </w:pPr>
      <w:r>
        <w:rPr>
          <w:rFonts w:ascii="仿宋_GB2312" w:eastAsia="仿宋_GB2312" w:cs="宋体"/>
          <w:color w:val="000000"/>
          <w:kern w:val="0"/>
          <w:sz w:val="24"/>
        </w:rPr>
        <w:t>5</w:t>
      </w:r>
      <w:r>
        <w:rPr>
          <w:rFonts w:ascii="仿宋_GB2312" w:eastAsia="仿宋_GB2312" w:cs="宋体" w:hint="eastAsia"/>
          <w:color w:val="000000"/>
          <w:kern w:val="0"/>
          <w:sz w:val="24"/>
        </w:rPr>
        <w:t>.1转换费率</w:t>
      </w:r>
    </w:p>
    <w:p w:rsidR="00D349BE" w:rsidRDefault="00D349BE">
      <w:pPr>
        <w:widowControl/>
        <w:shd w:val="clear" w:color="auto" w:fill="FFFFFF"/>
        <w:spacing w:line="500" w:lineRule="exact"/>
        <w:ind w:firstLineChars="200" w:firstLine="480"/>
        <w:rPr>
          <w:rFonts w:ascii="仿宋_GB2312" w:eastAsia="仿宋_GB2312" w:cs="宋体"/>
          <w:color w:val="000000"/>
          <w:kern w:val="0"/>
          <w:sz w:val="24"/>
        </w:rPr>
      </w:pPr>
      <w:r>
        <w:rPr>
          <w:rFonts w:ascii="仿宋_GB2312" w:eastAsia="仿宋_GB2312" w:cs="宋体" w:hint="eastAsia"/>
          <w:color w:val="000000"/>
          <w:kern w:val="0"/>
          <w:sz w:val="24"/>
        </w:rPr>
        <w:t>基金转换费用由转出基金的赎回费和基金转换的申购补差费两部分构成,具体收取情况视每次转换时不同基金的申购费率和赎回费率的差异情况而定。</w:t>
      </w:r>
    </w:p>
    <w:p w:rsidR="00D349BE" w:rsidRDefault="00D349BE">
      <w:pPr>
        <w:widowControl/>
        <w:shd w:val="clear" w:color="auto" w:fill="FFFFFF"/>
        <w:spacing w:line="500" w:lineRule="exact"/>
        <w:ind w:firstLineChars="200" w:firstLine="480"/>
        <w:rPr>
          <w:rFonts w:ascii="仿宋_GB2312" w:eastAsia="仿宋_GB2312" w:cs="宋体"/>
          <w:color w:val="000000"/>
          <w:kern w:val="0"/>
          <w:sz w:val="24"/>
        </w:rPr>
      </w:pPr>
      <w:r>
        <w:rPr>
          <w:rFonts w:ascii="仿宋_GB2312" w:eastAsia="仿宋_GB2312" w:cs="宋体"/>
          <w:color w:val="000000"/>
          <w:kern w:val="0"/>
          <w:sz w:val="24"/>
        </w:rPr>
        <w:t>5</w:t>
      </w:r>
      <w:r>
        <w:rPr>
          <w:rFonts w:ascii="仿宋_GB2312" w:eastAsia="仿宋_GB2312" w:cs="宋体" w:hint="eastAsia"/>
          <w:color w:val="000000"/>
          <w:kern w:val="0"/>
          <w:sz w:val="24"/>
        </w:rPr>
        <w:t>.2其他</w:t>
      </w:r>
      <w:r>
        <w:rPr>
          <w:rFonts w:ascii="仿宋_GB2312" w:eastAsia="仿宋_GB2312" w:cs="宋体"/>
          <w:color w:val="000000"/>
          <w:kern w:val="0"/>
          <w:sz w:val="24"/>
        </w:rPr>
        <w:t>与转换相关的事项</w:t>
      </w:r>
    </w:p>
    <w:p w:rsidR="00D349BE" w:rsidRDefault="00D349BE">
      <w:pPr>
        <w:spacing w:line="500" w:lineRule="exact"/>
        <w:ind w:firstLineChars="200" w:firstLine="480"/>
        <w:rPr>
          <w:rFonts w:ascii="仿宋_GB2312" w:eastAsia="仿宋_GB2312" w:cs="宋体"/>
          <w:color w:val="000000"/>
          <w:kern w:val="0"/>
          <w:sz w:val="24"/>
        </w:rPr>
      </w:pPr>
      <w:r>
        <w:rPr>
          <w:rFonts w:ascii="仿宋_GB2312" w:eastAsia="仿宋_GB2312" w:cs="宋体" w:hint="eastAsia"/>
          <w:color w:val="000000"/>
          <w:kern w:val="0"/>
          <w:sz w:val="24"/>
        </w:rPr>
        <w:t>投资者</w:t>
      </w:r>
      <w:r>
        <w:rPr>
          <w:rFonts w:ascii="仿宋_GB2312" w:eastAsia="仿宋_GB2312" w:cs="宋体"/>
          <w:color w:val="000000"/>
          <w:kern w:val="0"/>
          <w:sz w:val="24"/>
        </w:rPr>
        <w:t>办理本基金日常转换业务</w:t>
      </w:r>
      <w:r>
        <w:rPr>
          <w:rFonts w:ascii="仿宋_GB2312" w:eastAsia="仿宋_GB2312" w:cs="宋体" w:hint="eastAsia"/>
          <w:color w:val="000000"/>
          <w:kern w:val="0"/>
          <w:sz w:val="24"/>
        </w:rPr>
        <w:t>时</w:t>
      </w:r>
      <w:r>
        <w:rPr>
          <w:rFonts w:ascii="仿宋_GB2312" w:eastAsia="仿宋_GB2312" w:cs="宋体"/>
          <w:color w:val="000000"/>
          <w:kern w:val="0"/>
          <w:sz w:val="24"/>
        </w:rPr>
        <w:t>，基金转换</w:t>
      </w:r>
      <w:r>
        <w:rPr>
          <w:rFonts w:ascii="仿宋_GB2312" w:eastAsia="仿宋_GB2312" w:cs="宋体" w:hint="eastAsia"/>
          <w:color w:val="000000"/>
          <w:kern w:val="0"/>
          <w:sz w:val="24"/>
        </w:rPr>
        <w:t>费用</w:t>
      </w:r>
      <w:r>
        <w:rPr>
          <w:rFonts w:ascii="仿宋_GB2312" w:eastAsia="仿宋_GB2312" w:cs="宋体"/>
          <w:color w:val="000000"/>
          <w:kern w:val="0"/>
          <w:sz w:val="24"/>
        </w:rPr>
        <w:t>计算方式、</w:t>
      </w:r>
      <w:r>
        <w:rPr>
          <w:rFonts w:ascii="仿宋_GB2312" w:eastAsia="仿宋_GB2312" w:cs="宋体" w:hint="eastAsia"/>
          <w:color w:val="000000"/>
          <w:kern w:val="0"/>
          <w:sz w:val="24"/>
        </w:rPr>
        <w:t>业务</w:t>
      </w:r>
      <w:r>
        <w:rPr>
          <w:rFonts w:ascii="仿宋_GB2312" w:eastAsia="仿宋_GB2312" w:cs="宋体"/>
          <w:color w:val="000000"/>
          <w:kern w:val="0"/>
          <w:sz w:val="24"/>
        </w:rPr>
        <w:t>规则</w:t>
      </w:r>
      <w:r>
        <w:rPr>
          <w:rFonts w:ascii="仿宋_GB2312" w:eastAsia="仿宋_GB2312" w:cs="宋体" w:hint="eastAsia"/>
          <w:color w:val="000000"/>
          <w:kern w:val="0"/>
          <w:sz w:val="24"/>
        </w:rPr>
        <w:t>按照本公司于2014年12月15日披露的《天弘基金管理有限公司关于公司旗下开放式基金转换业务规则说明的公告》执行。</w:t>
      </w:r>
    </w:p>
    <w:p w:rsidR="00D349BE" w:rsidRDefault="00D349BE">
      <w:pPr>
        <w:spacing w:line="500" w:lineRule="exact"/>
        <w:ind w:firstLineChars="200" w:firstLine="480"/>
        <w:rPr>
          <w:rFonts w:ascii="仿宋_GB2312" w:eastAsia="仿宋_GB2312" w:cs="宋体" w:hint="eastAsia"/>
          <w:color w:val="000000"/>
          <w:kern w:val="0"/>
          <w:sz w:val="24"/>
        </w:rPr>
      </w:pPr>
      <w:r>
        <w:rPr>
          <w:rFonts w:ascii="仿宋_GB2312" w:eastAsia="仿宋_GB2312" w:cs="宋体" w:hint="eastAsia"/>
          <w:color w:val="000000"/>
          <w:kern w:val="0"/>
          <w:sz w:val="24"/>
        </w:rPr>
        <w:t>5.3转换</w:t>
      </w:r>
      <w:r>
        <w:rPr>
          <w:rFonts w:ascii="仿宋_GB2312" w:eastAsia="仿宋_GB2312" w:cs="宋体"/>
          <w:color w:val="000000"/>
          <w:kern w:val="0"/>
          <w:sz w:val="24"/>
        </w:rPr>
        <w:t>业务适用的销售机构</w:t>
      </w:r>
    </w:p>
    <w:p w:rsidR="00D349BE" w:rsidRDefault="00D349BE">
      <w:pPr>
        <w:spacing w:line="500" w:lineRule="exact"/>
        <w:ind w:firstLineChars="200" w:firstLine="480"/>
        <w:rPr>
          <w:rFonts w:ascii="仿宋_GB2312" w:eastAsia="仿宋_GB2312" w:cs="宋体"/>
          <w:color w:val="000000"/>
          <w:kern w:val="0"/>
          <w:sz w:val="24"/>
        </w:rPr>
      </w:pPr>
      <w:r>
        <w:rPr>
          <w:rFonts w:ascii="仿宋_GB2312" w:eastAsia="仿宋_GB2312" w:cs="宋体" w:hint="eastAsia"/>
          <w:color w:val="000000"/>
          <w:kern w:val="0"/>
          <w:sz w:val="24"/>
        </w:rPr>
        <w:t>直销机构：天弘基金管理有限公司（含直销网点与网上交易）</w:t>
      </w:r>
    </w:p>
    <w:p w:rsidR="00052B71" w:rsidRDefault="00D349BE" w:rsidP="00A43CE3">
      <w:pPr>
        <w:spacing w:line="500" w:lineRule="exact"/>
        <w:ind w:firstLineChars="200" w:firstLine="480"/>
        <w:rPr>
          <w:rFonts w:ascii="仿宋_GB2312" w:eastAsia="仿宋_GB2312"/>
          <w:color w:val="000000"/>
          <w:sz w:val="24"/>
        </w:rPr>
      </w:pPr>
      <w:r>
        <w:rPr>
          <w:rFonts w:ascii="仿宋_GB2312" w:eastAsia="仿宋_GB2312" w:cs="宋体" w:hint="eastAsia"/>
          <w:color w:val="000000"/>
          <w:kern w:val="0"/>
          <w:sz w:val="24"/>
        </w:rPr>
        <w:t>非直销机构</w:t>
      </w:r>
      <w:r w:rsidR="00E0161A">
        <w:rPr>
          <w:rFonts w:ascii="仿宋_GB2312" w:eastAsia="仿宋_GB2312" w:cs="宋体"/>
          <w:color w:val="000000"/>
          <w:kern w:val="0"/>
          <w:sz w:val="24"/>
        </w:rPr>
        <w:t>：</w:t>
      </w:r>
      <w:r w:rsidR="00000070" w:rsidRPr="00000070">
        <w:rPr>
          <w:rFonts w:ascii="仿宋_GB2312" w:eastAsia="仿宋_GB2312" w:cs="宋体" w:hint="eastAsia"/>
          <w:color w:val="000000"/>
          <w:kern w:val="0"/>
          <w:sz w:val="24"/>
        </w:rPr>
        <w:t>天天基金、好买基金、同花顺、众禄基金、北京展恒、盈米基金、长量基金、中证金牛、唐鼎耀华、汇付基金、深圳新兰德、蛋卷基金、利得基金、联泰基金、新浪基金、万得基金、浦领基金、汇成基金、奕丰基金、基煜基金、凤凰金信、乾道基金、植信基金、苏宁基金、挖财金融、万家财富、和耕传承、汇林保大、中信建投、招商证券、广发证券、中信证券、中信证券山东、中信证券华南、中信期货、银河证券、长江证券、安信证券、湘财证券、万联证券、大同证券、东海证券、中泰证券、世纪证券、东方财富证券、华融证券、中天证券</w:t>
      </w:r>
      <w:r w:rsidR="00000070">
        <w:rPr>
          <w:rFonts w:ascii="仿宋_GB2312" w:eastAsia="仿宋_GB2312" w:cs="宋体" w:hint="eastAsia"/>
          <w:color w:val="000000"/>
          <w:kern w:val="0"/>
          <w:sz w:val="24"/>
        </w:rPr>
        <w:t>、蚂蚁基金</w:t>
      </w:r>
      <w:r w:rsidR="009067FA">
        <w:rPr>
          <w:rFonts w:ascii="仿宋_GB2312" w:eastAsia="仿宋_GB2312" w:cs="宋体" w:hint="eastAsia"/>
          <w:color w:val="000000"/>
          <w:kern w:val="0"/>
          <w:sz w:val="24"/>
        </w:rPr>
        <w:t>、</w:t>
      </w:r>
      <w:r w:rsidR="009067FA" w:rsidRPr="009067FA">
        <w:rPr>
          <w:rFonts w:ascii="仿宋_GB2312" w:eastAsia="仿宋_GB2312" w:cs="宋体" w:hint="eastAsia"/>
          <w:color w:val="000000"/>
          <w:kern w:val="0"/>
          <w:sz w:val="24"/>
        </w:rPr>
        <w:t>中国银行、中信银行</w:t>
      </w:r>
      <w:r w:rsidR="00000070">
        <w:rPr>
          <w:rFonts w:ascii="仿宋_GB2312" w:eastAsia="仿宋_GB2312" w:cs="宋体" w:hint="eastAsia"/>
          <w:color w:val="000000"/>
          <w:kern w:val="0"/>
          <w:sz w:val="24"/>
        </w:rPr>
        <w:t>。</w:t>
      </w:r>
      <w:r w:rsidR="00000070" w:rsidRPr="00E0161A" w:rsidDel="00000070">
        <w:rPr>
          <w:rFonts w:ascii="仿宋_GB2312" w:eastAsia="仿宋_GB2312" w:cs="宋体" w:hint="eastAsia"/>
          <w:color w:val="000000"/>
          <w:kern w:val="0"/>
          <w:sz w:val="24"/>
        </w:rPr>
        <w:t xml:space="preserve"> </w:t>
      </w:r>
    </w:p>
    <w:p w:rsidR="00052B71" w:rsidRPr="00893454" w:rsidRDefault="00052B71" w:rsidP="00425153">
      <w:pPr>
        <w:spacing w:line="500" w:lineRule="exact"/>
        <w:ind w:firstLineChars="200" w:firstLine="482"/>
        <w:rPr>
          <w:rFonts w:ascii="仿宋_GB2312" w:eastAsia="仿宋_GB2312" w:hint="eastAsia"/>
          <w:b/>
          <w:color w:val="000000"/>
          <w:sz w:val="24"/>
        </w:rPr>
      </w:pPr>
      <w:r w:rsidRPr="00893454">
        <w:rPr>
          <w:rFonts w:ascii="仿宋_GB2312" w:eastAsia="仿宋_GB2312" w:hint="eastAsia"/>
          <w:b/>
          <w:color w:val="000000"/>
          <w:sz w:val="24"/>
        </w:rPr>
        <w:t>6、定期定额投资业务</w:t>
      </w:r>
    </w:p>
    <w:p w:rsidR="00052B71" w:rsidRPr="00052B71" w:rsidRDefault="00052B71" w:rsidP="00893454">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6.</w:t>
      </w:r>
      <w:r>
        <w:rPr>
          <w:rFonts w:ascii="仿宋_GB2312" w:eastAsia="仿宋_GB2312"/>
          <w:color w:val="000000"/>
          <w:sz w:val="24"/>
        </w:rPr>
        <w:t>1</w:t>
      </w:r>
      <w:r w:rsidRPr="00052B71">
        <w:rPr>
          <w:rFonts w:ascii="仿宋_GB2312" w:eastAsia="仿宋_GB2312" w:hint="eastAsia"/>
          <w:color w:val="000000"/>
          <w:sz w:val="24"/>
        </w:rPr>
        <w:t>“定期定额投资业务”是指投资人通过本公司指定的销售机构申请，约定每期申购日、扣款金额、扣定期定额投资业务款方式，由指定销售机构于每期约定扣款日，在投资人指定银行账户内自动完成扣款和受理基金申购申请的一种投资方式。</w:t>
      </w:r>
    </w:p>
    <w:p w:rsidR="00052B71" w:rsidRPr="00052B71" w:rsidRDefault="00052B71" w:rsidP="00052B71">
      <w:pPr>
        <w:spacing w:line="500" w:lineRule="exact"/>
        <w:ind w:firstLineChars="200" w:firstLine="480"/>
        <w:rPr>
          <w:rFonts w:ascii="仿宋_GB2312" w:eastAsia="仿宋_GB2312" w:hint="eastAsia"/>
          <w:color w:val="000000"/>
          <w:sz w:val="24"/>
        </w:rPr>
      </w:pPr>
      <w:r w:rsidRPr="00052B71">
        <w:rPr>
          <w:rFonts w:ascii="仿宋_GB2312" w:eastAsia="仿宋_GB2312" w:hint="eastAsia"/>
          <w:color w:val="000000"/>
          <w:sz w:val="24"/>
        </w:rPr>
        <w:t>定期定额申购费率与普通申购费率一般情况下相同，但在基金促销活动期间，基金管理人可以对促销活动范围内的投资者调低基金定期定额申购费率或普通申购费率。</w:t>
      </w:r>
    </w:p>
    <w:p w:rsidR="00052B71" w:rsidRPr="00052B71" w:rsidRDefault="00052B71" w:rsidP="00893454">
      <w:pPr>
        <w:spacing w:line="500" w:lineRule="exact"/>
        <w:ind w:firstLineChars="200" w:firstLine="480"/>
        <w:rPr>
          <w:rFonts w:ascii="仿宋_GB2312" w:eastAsia="仿宋_GB2312" w:hint="eastAsia"/>
          <w:color w:val="000000"/>
          <w:sz w:val="24"/>
        </w:rPr>
      </w:pPr>
      <w:r w:rsidRPr="00052B71">
        <w:rPr>
          <w:rFonts w:ascii="仿宋_GB2312" w:eastAsia="仿宋_GB2312" w:hint="eastAsia"/>
          <w:color w:val="000000"/>
          <w:sz w:val="24"/>
        </w:rPr>
        <w:t>销售机构将按照与投资者申请时所约定的每期固定扣款日、扣款金额扣款，每期扣款金额必须不低于基金管理人在相关公告或更新的招募说明书中所规定的定期定额投资计划最低申购金额。若遇非基金交易日时，扣款是否顺延以销售机构的具体规则为准。</w:t>
      </w:r>
    </w:p>
    <w:p w:rsidR="00052B71" w:rsidRPr="00893454" w:rsidRDefault="00052B71" w:rsidP="00893454">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6.</w:t>
      </w:r>
      <w:r>
        <w:rPr>
          <w:rFonts w:ascii="仿宋_GB2312" w:eastAsia="仿宋_GB2312"/>
          <w:color w:val="000000"/>
          <w:sz w:val="24"/>
        </w:rPr>
        <w:t>2</w:t>
      </w:r>
      <w:r w:rsidRPr="00052B71">
        <w:rPr>
          <w:rFonts w:ascii="仿宋_GB2312" w:eastAsia="仿宋_GB2312" w:hint="eastAsia"/>
          <w:color w:val="000000"/>
          <w:sz w:val="24"/>
        </w:rPr>
        <w:t>定期定额投资业务适用的销售机构</w:t>
      </w:r>
    </w:p>
    <w:p w:rsidR="00052B71" w:rsidRPr="00893454" w:rsidRDefault="00052B71" w:rsidP="00893454">
      <w:pPr>
        <w:spacing w:line="500" w:lineRule="exact"/>
        <w:ind w:firstLineChars="200" w:firstLine="480"/>
        <w:rPr>
          <w:rFonts w:ascii="仿宋_GB2312" w:eastAsia="仿宋_GB2312"/>
          <w:color w:val="000000"/>
          <w:sz w:val="24"/>
        </w:rPr>
      </w:pPr>
      <w:r w:rsidRPr="00052B71">
        <w:rPr>
          <w:rFonts w:ascii="仿宋_GB2312" w:eastAsia="仿宋_GB2312" w:hint="eastAsia"/>
          <w:color w:val="000000"/>
          <w:sz w:val="24"/>
        </w:rPr>
        <w:t>直销机构：天弘基金管理有限公司（含直销网点与网上交易）。</w:t>
      </w:r>
    </w:p>
    <w:p w:rsidR="00D349BE" w:rsidRDefault="00052B71" w:rsidP="00893454">
      <w:pPr>
        <w:spacing w:line="500" w:lineRule="exact"/>
        <w:ind w:firstLineChars="200" w:firstLine="480"/>
        <w:rPr>
          <w:rFonts w:eastAsia="仿宋_GB2312" w:hint="eastAsia"/>
          <w:color w:val="000000"/>
          <w:sz w:val="24"/>
        </w:rPr>
      </w:pPr>
      <w:r w:rsidRPr="00052B71">
        <w:rPr>
          <w:rFonts w:ascii="仿宋_GB2312" w:eastAsia="仿宋_GB2312" w:hint="eastAsia"/>
          <w:color w:val="000000"/>
          <w:sz w:val="24"/>
        </w:rPr>
        <w:t>非直销机构：</w:t>
      </w:r>
      <w:r w:rsidR="00000070" w:rsidRPr="00000070">
        <w:rPr>
          <w:rFonts w:ascii="仿宋_GB2312" w:eastAsia="仿宋_GB2312" w:hint="eastAsia"/>
          <w:color w:val="000000"/>
          <w:sz w:val="24"/>
        </w:rPr>
        <w:t>天天基金、好买基金、同花顺、众禄基金、北京展恒、盈米基金、长量基金、中证金牛、唐鼎耀华、汇付基金、深圳新兰德、蛋卷基金、利得基金、联泰基金、新浪基金、万得基金、浦领基金、汇成基金、奕丰基金、基煜基金、凤凰金信、乾道基金、植信基金、苏宁基金、挖财金融、万家财富、和耕传承、汇林保大、中信建投、招商证券、广发证券、中信证券、中信证券山东、中信证券华南、中信期货、银河证券、长江证券、安信证券、湘财证券、万联证券、大同证券、东海证券、中泰证券、世纪证券、东方财富证券、华融证券、中天证券</w:t>
      </w:r>
      <w:r w:rsidR="00000070">
        <w:rPr>
          <w:rFonts w:ascii="仿宋_GB2312" w:eastAsia="仿宋_GB2312" w:hint="eastAsia"/>
          <w:color w:val="000000"/>
          <w:sz w:val="24"/>
        </w:rPr>
        <w:t>、蚂蚁基金</w:t>
      </w:r>
      <w:r w:rsidR="009067FA">
        <w:rPr>
          <w:rFonts w:ascii="仿宋_GB2312" w:eastAsia="仿宋_GB2312" w:hint="eastAsia"/>
          <w:color w:val="000000"/>
          <w:sz w:val="24"/>
        </w:rPr>
        <w:t>、</w:t>
      </w:r>
      <w:r w:rsidR="009067FA" w:rsidRPr="009067FA">
        <w:rPr>
          <w:rFonts w:ascii="仿宋_GB2312" w:eastAsia="仿宋_GB2312" w:hint="eastAsia"/>
          <w:color w:val="000000"/>
          <w:sz w:val="24"/>
        </w:rPr>
        <w:t>中国银行、中信银行</w:t>
      </w:r>
      <w:r w:rsidR="00000070">
        <w:rPr>
          <w:rFonts w:ascii="仿宋_GB2312" w:eastAsia="仿宋_GB2312" w:hint="eastAsia"/>
          <w:color w:val="000000"/>
          <w:sz w:val="24"/>
        </w:rPr>
        <w:t>。</w:t>
      </w:r>
    </w:p>
    <w:p w:rsidR="00D349BE" w:rsidRPr="003D7190" w:rsidRDefault="00052B71" w:rsidP="00425153">
      <w:pPr>
        <w:spacing w:line="500" w:lineRule="exact"/>
        <w:ind w:firstLineChars="200" w:firstLine="482"/>
        <w:rPr>
          <w:rStyle w:val="af4"/>
          <w:rFonts w:hint="eastAsia"/>
          <w:b/>
        </w:rPr>
      </w:pPr>
      <w:r>
        <w:rPr>
          <w:rFonts w:ascii="仿宋_GB2312" w:eastAsia="仿宋_GB2312"/>
          <w:b/>
          <w:color w:val="000000"/>
          <w:sz w:val="24"/>
        </w:rPr>
        <w:t>7</w:t>
      </w:r>
      <w:r w:rsidR="00D349BE" w:rsidRPr="003D7190">
        <w:rPr>
          <w:rFonts w:ascii="仿宋_GB2312" w:eastAsia="仿宋_GB2312"/>
          <w:b/>
          <w:color w:val="000000"/>
          <w:sz w:val="24"/>
        </w:rPr>
        <w:t>. 基金销售机构</w:t>
      </w:r>
    </w:p>
    <w:p w:rsidR="00D349BE" w:rsidRDefault="00052B71">
      <w:pPr>
        <w:spacing w:line="500" w:lineRule="exact"/>
        <w:ind w:firstLineChars="200" w:firstLine="480"/>
        <w:rPr>
          <w:rFonts w:ascii="仿宋_GB2312" w:eastAsia="仿宋_GB2312" w:hint="eastAsia"/>
          <w:color w:val="000000"/>
          <w:sz w:val="24"/>
        </w:rPr>
      </w:pPr>
      <w:r>
        <w:rPr>
          <w:rFonts w:ascii="仿宋_GB2312" w:eastAsia="仿宋_GB2312"/>
          <w:color w:val="000000"/>
          <w:sz w:val="24"/>
        </w:rPr>
        <w:t>7</w:t>
      </w:r>
      <w:r w:rsidR="00D349BE">
        <w:rPr>
          <w:rFonts w:ascii="仿宋_GB2312" w:eastAsia="仿宋_GB2312"/>
          <w:color w:val="000000"/>
          <w:sz w:val="24"/>
        </w:rPr>
        <w:t>.1直销机构</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本基金的直销机构为天弘基金管理有限公司（含直销网点与网上交易）。</w:t>
      </w:r>
    </w:p>
    <w:p w:rsidR="00D349BE" w:rsidRDefault="00052B71">
      <w:pPr>
        <w:pStyle w:val="10"/>
        <w:spacing w:line="500" w:lineRule="exact"/>
        <w:ind w:firstLineChars="200" w:firstLine="480"/>
        <w:rPr>
          <w:rFonts w:hAnsi="Times New Roman"/>
          <w:bCs w:val="0"/>
          <w:caps w:val="0"/>
          <w:color w:val="000000"/>
          <w:kern w:val="2"/>
          <w:lang w:eastAsia="zh-CN" w:bidi="ar-SA"/>
        </w:rPr>
      </w:pPr>
      <w:r>
        <w:rPr>
          <w:rFonts w:hAnsi="Times New Roman"/>
          <w:bCs w:val="0"/>
          <w:caps w:val="0"/>
          <w:color w:val="000000"/>
          <w:kern w:val="2"/>
          <w:lang w:eastAsia="zh-CN" w:bidi="ar-SA"/>
        </w:rPr>
        <w:t>7</w:t>
      </w:r>
      <w:r w:rsidR="00D349BE">
        <w:rPr>
          <w:rFonts w:hAnsi="Times New Roman"/>
          <w:bCs w:val="0"/>
          <w:caps w:val="0"/>
          <w:color w:val="000000"/>
          <w:kern w:val="2"/>
          <w:lang w:eastAsia="zh-CN" w:bidi="ar-SA"/>
        </w:rPr>
        <w:t>.2 场外非直销机构</w:t>
      </w:r>
    </w:p>
    <w:p w:rsidR="00000070" w:rsidRDefault="00000070">
      <w:pPr>
        <w:pStyle w:val="10"/>
        <w:spacing w:line="500" w:lineRule="exact"/>
        <w:ind w:firstLineChars="200" w:firstLine="480"/>
        <w:rPr>
          <w:rFonts w:hAnsi="Times New Roman" w:hint="eastAsia"/>
          <w:bCs w:val="0"/>
          <w:caps w:val="0"/>
          <w:color w:val="000000"/>
          <w:kern w:val="2"/>
          <w:lang w:eastAsia="zh-CN" w:bidi="ar-SA"/>
        </w:rPr>
      </w:pPr>
      <w:r w:rsidRPr="00000070">
        <w:rPr>
          <w:rFonts w:hAnsi="Times New Roman" w:hint="eastAsia"/>
          <w:bCs w:val="0"/>
          <w:caps w:val="0"/>
          <w:color w:val="000000"/>
          <w:kern w:val="2"/>
          <w:lang w:eastAsia="zh-CN" w:bidi="ar-SA"/>
        </w:rPr>
        <w:t>天天基金、好买基金、同花顺、众禄基金、北京展恒、盈米基金、长量基金、中证金牛、唐鼎耀华、汇付基金、深圳新兰德、蛋卷基金、利得基金、联泰基金、新浪基金、万得基金、浦领基金、汇成基金、奕丰基金、基煜基金、凤凰金信、乾道基金、植信基金、苏宁基金、挖财金融、万家财富、和耕传承、汇林保大、中信建投、招商证券、广发证券、中信证券、中信证券山东、中信证券华南、中信期货、银河证券、长江证券、安信证券、湘财证券、万联证券、大同证券、东海证券、中泰证券、世纪证券、东方财富证券、华融证券、中天证券</w:t>
      </w:r>
      <w:r>
        <w:rPr>
          <w:rFonts w:hAnsi="Times New Roman" w:hint="eastAsia"/>
          <w:bCs w:val="0"/>
          <w:caps w:val="0"/>
          <w:color w:val="000000"/>
          <w:kern w:val="2"/>
          <w:lang w:eastAsia="zh-CN" w:bidi="ar-SA"/>
        </w:rPr>
        <w:t>、蚂蚁基金</w:t>
      </w:r>
      <w:r w:rsidR="009067FA">
        <w:rPr>
          <w:rFonts w:hAnsi="Times New Roman" w:hint="eastAsia"/>
          <w:bCs w:val="0"/>
          <w:caps w:val="0"/>
          <w:color w:val="000000"/>
          <w:kern w:val="2"/>
          <w:lang w:eastAsia="zh-CN" w:bidi="ar-SA"/>
        </w:rPr>
        <w:t>、</w:t>
      </w:r>
      <w:r w:rsidR="009067FA" w:rsidRPr="009067FA">
        <w:rPr>
          <w:rFonts w:hAnsi="Times New Roman" w:hint="eastAsia"/>
          <w:bCs w:val="0"/>
          <w:caps w:val="0"/>
          <w:color w:val="000000"/>
          <w:kern w:val="2"/>
          <w:lang w:eastAsia="zh-CN" w:bidi="ar-SA"/>
        </w:rPr>
        <w:t>中国银行、中信银行</w:t>
      </w:r>
      <w:r>
        <w:rPr>
          <w:rFonts w:hAnsi="Times New Roman" w:hint="eastAsia"/>
          <w:bCs w:val="0"/>
          <w:caps w:val="0"/>
          <w:color w:val="000000"/>
          <w:kern w:val="2"/>
          <w:lang w:eastAsia="zh-CN" w:bidi="ar-SA"/>
        </w:rPr>
        <w:t>。</w:t>
      </w:r>
    </w:p>
    <w:p w:rsidR="00D349BE" w:rsidRPr="009078CC" w:rsidRDefault="00893454" w:rsidP="009078CC">
      <w:pPr>
        <w:spacing w:line="500" w:lineRule="exact"/>
        <w:ind w:firstLineChars="200" w:firstLine="482"/>
        <w:rPr>
          <w:rFonts w:ascii="仿宋_GB2312" w:eastAsia="仿宋_GB2312" w:hint="eastAsia"/>
          <w:b/>
          <w:color w:val="000000"/>
          <w:sz w:val="24"/>
        </w:rPr>
      </w:pPr>
      <w:r>
        <w:rPr>
          <w:rFonts w:ascii="仿宋_GB2312" w:eastAsia="仿宋_GB2312"/>
          <w:b/>
          <w:color w:val="000000"/>
          <w:sz w:val="24"/>
        </w:rPr>
        <w:t>8</w:t>
      </w:r>
      <w:r w:rsidR="00D349BE" w:rsidRPr="009078CC">
        <w:rPr>
          <w:rFonts w:ascii="仿宋_GB2312" w:eastAsia="仿宋_GB2312" w:hint="eastAsia"/>
          <w:b/>
          <w:color w:val="000000"/>
          <w:sz w:val="24"/>
        </w:rPr>
        <w:t>．基金份额净值公告的披露安排</w:t>
      </w:r>
    </w:p>
    <w:p w:rsidR="00000070" w:rsidRPr="00000070" w:rsidRDefault="00E46A09" w:rsidP="00000070">
      <w:pPr>
        <w:spacing w:line="500" w:lineRule="exact"/>
        <w:ind w:firstLineChars="200" w:firstLine="480"/>
        <w:rPr>
          <w:rFonts w:ascii="仿宋_GB2312" w:eastAsia="仿宋_GB2312" w:hAnsi="宋体" w:hint="eastAsia"/>
          <w:bCs/>
          <w:caps/>
          <w:color w:val="000000"/>
          <w:kern w:val="0"/>
          <w:sz w:val="24"/>
          <w:lang w:bidi="en-US"/>
        </w:rPr>
      </w:pPr>
      <w:r>
        <w:rPr>
          <w:rFonts w:ascii="仿宋_GB2312" w:eastAsia="仿宋_GB2312" w:hAnsi="宋体" w:hint="eastAsia"/>
          <w:bCs/>
          <w:caps/>
          <w:color w:val="000000"/>
          <w:kern w:val="0"/>
          <w:sz w:val="24"/>
          <w:lang w:bidi="en-US"/>
        </w:rPr>
        <w:t>自2</w:t>
      </w:r>
      <w:r>
        <w:rPr>
          <w:rFonts w:ascii="仿宋_GB2312" w:eastAsia="仿宋_GB2312" w:hAnsi="宋体"/>
          <w:bCs/>
          <w:caps/>
          <w:color w:val="000000"/>
          <w:kern w:val="0"/>
          <w:sz w:val="24"/>
          <w:lang w:bidi="en-US"/>
        </w:rPr>
        <w:t>020</w:t>
      </w:r>
      <w:r>
        <w:rPr>
          <w:rFonts w:ascii="仿宋_GB2312" w:eastAsia="仿宋_GB2312" w:hAnsi="宋体" w:hint="eastAsia"/>
          <w:bCs/>
          <w:caps/>
          <w:color w:val="000000"/>
          <w:kern w:val="0"/>
          <w:sz w:val="24"/>
          <w:lang w:bidi="en-US"/>
        </w:rPr>
        <w:t>年1</w:t>
      </w:r>
      <w:r w:rsidR="00000070">
        <w:rPr>
          <w:rFonts w:ascii="仿宋_GB2312" w:eastAsia="仿宋_GB2312" w:hAnsi="宋体"/>
          <w:bCs/>
          <w:caps/>
          <w:color w:val="000000"/>
          <w:kern w:val="0"/>
          <w:sz w:val="24"/>
          <w:lang w:bidi="en-US"/>
        </w:rPr>
        <w:t>2</w:t>
      </w:r>
      <w:r>
        <w:rPr>
          <w:rFonts w:ascii="仿宋_GB2312" w:eastAsia="仿宋_GB2312" w:hAnsi="宋体" w:hint="eastAsia"/>
          <w:bCs/>
          <w:caps/>
          <w:color w:val="000000"/>
          <w:kern w:val="0"/>
          <w:sz w:val="24"/>
          <w:lang w:bidi="en-US"/>
        </w:rPr>
        <w:t>月</w:t>
      </w:r>
      <w:r w:rsidR="00000070">
        <w:rPr>
          <w:rFonts w:ascii="仿宋_GB2312" w:eastAsia="仿宋_GB2312" w:hAnsi="宋体" w:hint="eastAsia"/>
          <w:bCs/>
          <w:caps/>
          <w:color w:val="000000"/>
          <w:kern w:val="0"/>
          <w:sz w:val="24"/>
          <w:lang w:bidi="en-US"/>
        </w:rPr>
        <w:t>7</w:t>
      </w:r>
      <w:r>
        <w:rPr>
          <w:rFonts w:ascii="仿宋_GB2312" w:eastAsia="仿宋_GB2312" w:hAnsi="宋体" w:hint="eastAsia"/>
          <w:bCs/>
          <w:caps/>
          <w:color w:val="000000"/>
          <w:kern w:val="0"/>
          <w:sz w:val="24"/>
          <w:lang w:bidi="en-US"/>
        </w:rPr>
        <w:t>日起，</w:t>
      </w:r>
      <w:r w:rsidR="00000070" w:rsidRPr="00000070">
        <w:rPr>
          <w:rFonts w:ascii="仿宋_GB2312" w:eastAsia="仿宋_GB2312" w:hAnsi="宋体" w:hint="eastAsia"/>
          <w:bCs/>
          <w:caps/>
          <w:color w:val="000000"/>
          <w:kern w:val="0"/>
          <w:sz w:val="24"/>
          <w:lang w:bidi="en-US"/>
        </w:rPr>
        <w:t>基金管理人应当在不晚于每个开放日的次日，通过</w:t>
      </w:r>
      <w:r w:rsidR="00294A4A">
        <w:rPr>
          <w:rFonts w:ascii="仿宋_GB2312" w:eastAsia="仿宋_GB2312" w:hAnsi="宋体" w:hint="eastAsia"/>
          <w:bCs/>
          <w:caps/>
          <w:color w:val="000000"/>
          <w:kern w:val="0"/>
          <w:sz w:val="24"/>
          <w:lang w:bidi="en-US"/>
        </w:rPr>
        <w:t>规定</w:t>
      </w:r>
      <w:r w:rsidR="00000070" w:rsidRPr="00000070">
        <w:rPr>
          <w:rFonts w:ascii="仿宋_GB2312" w:eastAsia="仿宋_GB2312" w:hAnsi="宋体" w:hint="eastAsia"/>
          <w:bCs/>
          <w:caps/>
          <w:color w:val="000000"/>
          <w:kern w:val="0"/>
          <w:sz w:val="24"/>
          <w:lang w:bidi="en-US"/>
        </w:rPr>
        <w:t>网站、基金销售机构网站或者营业网点披露开放日的各类基金份额的基金份额净值和基金份额累计净值。</w:t>
      </w:r>
    </w:p>
    <w:p w:rsidR="000D27A7" w:rsidRPr="000D27A7" w:rsidRDefault="00000070" w:rsidP="00000070">
      <w:pPr>
        <w:spacing w:line="500" w:lineRule="exact"/>
        <w:ind w:firstLineChars="200" w:firstLine="480"/>
        <w:rPr>
          <w:rFonts w:ascii="仿宋_GB2312" w:eastAsia="仿宋_GB2312" w:hAnsi="宋体"/>
          <w:bCs/>
          <w:caps/>
          <w:color w:val="000000"/>
          <w:kern w:val="0"/>
          <w:sz w:val="24"/>
          <w:lang w:bidi="en-US"/>
        </w:rPr>
      </w:pPr>
      <w:r w:rsidRPr="00000070">
        <w:rPr>
          <w:rFonts w:ascii="仿宋_GB2312" w:eastAsia="仿宋_GB2312" w:hAnsi="宋体" w:hint="eastAsia"/>
          <w:bCs/>
          <w:caps/>
          <w:color w:val="000000"/>
          <w:kern w:val="0"/>
          <w:sz w:val="24"/>
          <w:lang w:bidi="en-US"/>
        </w:rPr>
        <w:t>基金管理人应当在不晚于半年度和年度最后一日的次日，在</w:t>
      </w:r>
      <w:r w:rsidR="00294A4A">
        <w:rPr>
          <w:rFonts w:ascii="仿宋_GB2312" w:eastAsia="仿宋_GB2312" w:hAnsi="宋体" w:hint="eastAsia"/>
          <w:bCs/>
          <w:caps/>
          <w:color w:val="000000"/>
          <w:kern w:val="0"/>
          <w:sz w:val="24"/>
          <w:lang w:bidi="en-US"/>
        </w:rPr>
        <w:t>规定</w:t>
      </w:r>
      <w:r w:rsidRPr="00000070">
        <w:rPr>
          <w:rFonts w:ascii="仿宋_GB2312" w:eastAsia="仿宋_GB2312" w:hAnsi="宋体" w:hint="eastAsia"/>
          <w:bCs/>
          <w:caps/>
          <w:color w:val="000000"/>
          <w:kern w:val="0"/>
          <w:sz w:val="24"/>
          <w:lang w:bidi="en-US"/>
        </w:rPr>
        <w:t>网站披露半年度和年度最后一日的各类基金份额的基金份额净值和基金份额累计净值。</w:t>
      </w:r>
    </w:p>
    <w:p w:rsidR="00D349BE" w:rsidRPr="003D7190" w:rsidRDefault="00893454">
      <w:pPr>
        <w:pStyle w:val="10"/>
        <w:spacing w:line="500" w:lineRule="exact"/>
        <w:ind w:firstLineChars="200" w:firstLine="482"/>
        <w:rPr>
          <w:rFonts w:hint="eastAsia"/>
          <w:b/>
          <w:lang w:eastAsia="zh-CN"/>
        </w:rPr>
      </w:pPr>
      <w:r>
        <w:rPr>
          <w:rFonts w:hAnsi="Times New Roman"/>
          <w:b/>
          <w:bCs w:val="0"/>
          <w:caps w:val="0"/>
          <w:color w:val="000000"/>
          <w:kern w:val="2"/>
          <w:lang w:eastAsia="zh-CN" w:bidi="ar-SA"/>
        </w:rPr>
        <w:t>9</w:t>
      </w:r>
      <w:r w:rsidR="00D349BE" w:rsidRPr="003D7190">
        <w:rPr>
          <w:rFonts w:hAnsi="Times New Roman" w:hint="eastAsia"/>
          <w:b/>
          <w:bCs w:val="0"/>
          <w:caps w:val="0"/>
          <w:color w:val="000000"/>
          <w:kern w:val="2"/>
          <w:lang w:eastAsia="zh-CN" w:bidi="ar-SA"/>
        </w:rPr>
        <w:t>.其他需要提示的事项</w:t>
      </w:r>
    </w:p>
    <w:p w:rsidR="00E0161A"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（1）</w:t>
      </w:r>
      <w:r w:rsidR="00192C0B" w:rsidRPr="00192C0B">
        <w:rPr>
          <w:rFonts w:ascii="仿宋_GB2312" w:eastAsia="仿宋_GB2312" w:hint="eastAsia"/>
          <w:color w:val="000000"/>
          <w:sz w:val="24"/>
        </w:rPr>
        <w:t>本基金对每份基金份额设置6个月的最短持有期。对于每份基金份额，最短持有期起始日指基金合同生效日（对于认购份额而言）或者该基金份额申购申请确认日（对于申购份额而言）；最短持有期到期日指该基金份额持有期起始日起6个月后的对应日。如无此对应日期或该对应日为非工作日，则顺延至下一工作日。在每份基金份额的最短持有期到期日前（不含当日），基金份额持有人不能对该基金份额提出赎回申请；每份基金份额的最短持有期到期日起（含当日）， 基金份额持有人可对该基金份额提出赎回申请。因不可抗力或基金合同约定的其他情形致使基金管理人无法在该基金份额的最短持有期到期日按时开放办理该基金份额的赎回业务的，该基金份额的最短持有期到期日顺延至不可抗力或基金 合同约定的其他情形的影响因素消除之日起的下一个工作日。</w:t>
      </w:r>
    </w:p>
    <w:p w:rsidR="00D349BE" w:rsidRDefault="00E0161A">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（2）</w:t>
      </w:r>
      <w:r w:rsidR="00E46A09" w:rsidRPr="00E46A09">
        <w:rPr>
          <w:rFonts w:ascii="仿宋_GB2312" w:eastAsia="仿宋_GB2312" w:hint="eastAsia"/>
          <w:color w:val="000000"/>
          <w:sz w:val="24"/>
        </w:rPr>
        <w:t>本公告仅对本基金开放日常申购、赎回、定期定额投资及转换业务的有关事项予以说明。投资者欲了解本基金的详细情况，请详细阅读本基金相关法律文件。</w:t>
      </w:r>
    </w:p>
    <w:p w:rsidR="00D349BE"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w:t>
      </w:r>
      <w:r w:rsidR="00E0161A">
        <w:rPr>
          <w:rFonts w:ascii="仿宋_GB2312" w:eastAsia="仿宋_GB2312"/>
          <w:color w:val="000000"/>
          <w:sz w:val="24"/>
        </w:rPr>
        <w:t>3</w:t>
      </w:r>
      <w:r>
        <w:rPr>
          <w:rFonts w:ascii="仿宋_GB2312" w:eastAsia="仿宋_GB2312" w:hint="eastAsia"/>
          <w:color w:val="000000"/>
          <w:sz w:val="24"/>
        </w:rPr>
        <w:t>）</w:t>
      </w:r>
      <w:r w:rsidR="00E46A09" w:rsidRPr="00E46A09">
        <w:rPr>
          <w:rFonts w:ascii="仿宋_GB2312" w:eastAsia="仿宋_GB2312" w:hint="eastAsia"/>
          <w:color w:val="000000"/>
          <w:sz w:val="24"/>
        </w:rPr>
        <w:t>基金管理人可以在基金合同约定的范围内调整费率或收费方式，并最迟应于新的费率或收费方式实施日前依照《信息披露办法》的有关规定在规定媒介上公告。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w:t>
      </w:r>
      <w:r w:rsidR="00E0161A">
        <w:rPr>
          <w:rFonts w:ascii="仿宋_GB2312" w:eastAsia="仿宋_GB2312"/>
          <w:color w:val="000000"/>
          <w:sz w:val="24"/>
        </w:rPr>
        <w:t>4</w:t>
      </w:r>
      <w:r>
        <w:rPr>
          <w:rFonts w:ascii="仿宋_GB2312" w:eastAsia="仿宋_GB2312" w:hint="eastAsia"/>
          <w:color w:val="000000"/>
          <w:sz w:val="24"/>
        </w:rPr>
        <w:t>）有关本基金开放申购、赎回</w:t>
      </w:r>
      <w:r w:rsidR="00F6352B">
        <w:rPr>
          <w:rFonts w:ascii="仿宋_GB2312" w:eastAsia="仿宋_GB2312" w:hint="eastAsia"/>
          <w:color w:val="000000"/>
          <w:sz w:val="24"/>
        </w:rPr>
        <w:t>、</w:t>
      </w:r>
      <w:r w:rsidR="00E46A09" w:rsidRPr="00E46A09">
        <w:rPr>
          <w:rFonts w:ascii="仿宋_GB2312" w:eastAsia="仿宋_GB2312" w:hint="eastAsia"/>
          <w:color w:val="000000"/>
          <w:sz w:val="24"/>
        </w:rPr>
        <w:t>定期定额投资业务</w:t>
      </w:r>
      <w:r w:rsidR="00E46A09">
        <w:rPr>
          <w:rFonts w:ascii="仿宋_GB2312" w:eastAsia="仿宋_GB2312" w:hint="eastAsia"/>
          <w:color w:val="000000"/>
          <w:sz w:val="24"/>
        </w:rPr>
        <w:t>及</w:t>
      </w:r>
      <w:r>
        <w:rPr>
          <w:rFonts w:ascii="仿宋_GB2312" w:eastAsia="仿宋_GB2312" w:hint="eastAsia"/>
          <w:color w:val="000000"/>
          <w:sz w:val="24"/>
        </w:rPr>
        <w:t>转换等业务的具体规定若发生变化，本基金管理人将另行公告。</w:t>
      </w: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w:t>
      </w:r>
      <w:r w:rsidR="00E0161A">
        <w:rPr>
          <w:rFonts w:ascii="仿宋_GB2312" w:eastAsia="仿宋_GB2312"/>
          <w:color w:val="000000"/>
          <w:sz w:val="24"/>
        </w:rPr>
        <w:t>5</w:t>
      </w:r>
      <w:r>
        <w:rPr>
          <w:rFonts w:ascii="仿宋_GB2312" w:eastAsia="仿宋_GB2312" w:hint="eastAsia"/>
          <w:color w:val="000000"/>
          <w:sz w:val="24"/>
        </w:rPr>
        <w:t>）</w:t>
      </w:r>
      <w:r w:rsidR="00E46A09" w:rsidRPr="00E46A09">
        <w:rPr>
          <w:rFonts w:ascii="仿宋_GB2312" w:eastAsia="仿宋_GB2312" w:hint="eastAsia"/>
          <w:color w:val="000000"/>
          <w:sz w:val="24"/>
        </w:rPr>
        <w:t>投资者可登录基金管理人网站（www.thfund.com.cn）或拨打客户服务电话（95046）了解本基金的相关事宜。</w:t>
      </w:r>
    </w:p>
    <w:p w:rsidR="00E46A09" w:rsidRDefault="00E46A09">
      <w:pPr>
        <w:spacing w:line="500" w:lineRule="exact"/>
        <w:ind w:firstLineChars="200" w:firstLine="480"/>
        <w:rPr>
          <w:rFonts w:ascii="仿宋_GB2312" w:eastAsia="仿宋_GB2312"/>
          <w:color w:val="000000"/>
          <w:sz w:val="24"/>
        </w:rPr>
      </w:pPr>
    </w:p>
    <w:p w:rsidR="00D349BE" w:rsidRDefault="00D349BE">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风险提示</w:t>
      </w:r>
    </w:p>
    <w:p w:rsidR="00D349BE" w:rsidRDefault="00D349BE">
      <w:pPr>
        <w:spacing w:line="500" w:lineRule="exact"/>
        <w:ind w:firstLineChars="200" w:firstLine="480"/>
        <w:rPr>
          <w:rFonts w:ascii="仿宋_GB2312" w:eastAsia="仿宋_GB2312"/>
          <w:color w:val="000000"/>
          <w:sz w:val="24"/>
        </w:rPr>
      </w:pPr>
      <w:r>
        <w:rPr>
          <w:rFonts w:ascii="仿宋_GB2312" w:eastAsia="仿宋_GB2312" w:hint="eastAsia"/>
          <w:color w:val="000000"/>
          <w:sz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D349BE" w:rsidRDefault="00E46A09">
      <w:pPr>
        <w:spacing w:line="500" w:lineRule="exact"/>
        <w:ind w:firstLineChars="200" w:firstLine="480"/>
        <w:rPr>
          <w:rFonts w:ascii="仿宋_GB2312" w:eastAsia="仿宋_GB2312" w:hint="eastAsia"/>
          <w:color w:val="000000"/>
          <w:sz w:val="24"/>
        </w:rPr>
      </w:pPr>
      <w:r>
        <w:rPr>
          <w:rFonts w:ascii="仿宋_GB2312" w:eastAsia="仿宋_GB2312" w:hint="eastAsia"/>
          <w:color w:val="000000"/>
          <w:sz w:val="24"/>
        </w:rPr>
        <w:t>特此公告。</w:t>
      </w:r>
    </w:p>
    <w:p w:rsidR="00D349BE" w:rsidRDefault="00D349BE">
      <w:pPr>
        <w:spacing w:line="360" w:lineRule="auto"/>
        <w:rPr>
          <w:rFonts w:ascii="仿宋_GB2312" w:eastAsia="仿宋_GB2312" w:hint="eastAsia"/>
          <w:color w:val="000000"/>
          <w:sz w:val="24"/>
        </w:rPr>
      </w:pPr>
    </w:p>
    <w:p w:rsidR="00D349BE" w:rsidRDefault="00D349BE" w:rsidP="009078CC">
      <w:pPr>
        <w:spacing w:line="500" w:lineRule="exact"/>
        <w:ind w:firstLineChars="2450" w:firstLine="5880"/>
        <w:jc w:val="right"/>
        <w:rPr>
          <w:rFonts w:ascii="仿宋_GB2312" w:eastAsia="仿宋_GB2312" w:hint="eastAsia"/>
          <w:color w:val="000000"/>
          <w:sz w:val="24"/>
        </w:rPr>
      </w:pPr>
      <w:r>
        <w:rPr>
          <w:rFonts w:ascii="仿宋_GB2312" w:eastAsia="仿宋_GB2312" w:hint="eastAsia"/>
          <w:color w:val="000000"/>
          <w:sz w:val="24"/>
        </w:rPr>
        <w:t>天弘基金管理有限公司</w:t>
      </w:r>
    </w:p>
    <w:p w:rsidR="00D349BE" w:rsidRDefault="00D349BE" w:rsidP="009078CC">
      <w:pPr>
        <w:spacing w:line="500" w:lineRule="exact"/>
        <w:ind w:firstLineChars="200" w:firstLine="480"/>
        <w:jc w:val="right"/>
        <w:rPr>
          <w:rFonts w:ascii="仿宋_GB2312" w:eastAsia="仿宋_GB2312"/>
          <w:color w:val="000000"/>
          <w:sz w:val="24"/>
        </w:rPr>
      </w:pPr>
      <w:r>
        <w:rPr>
          <w:rFonts w:ascii="仿宋_GB2312" w:eastAsia="仿宋_GB2312" w:hint="eastAsia"/>
          <w:color w:val="000000"/>
          <w:sz w:val="24"/>
        </w:rPr>
        <w:t xml:space="preserve">                                           二〇</w:t>
      </w:r>
      <w:r>
        <w:rPr>
          <w:rFonts w:ascii="仿宋_GB2312" w:eastAsia="仿宋_GB2312"/>
          <w:color w:val="000000"/>
          <w:sz w:val="24"/>
        </w:rPr>
        <w:t>二〇</w:t>
      </w:r>
      <w:r>
        <w:rPr>
          <w:rFonts w:ascii="仿宋_GB2312" w:eastAsia="仿宋_GB2312" w:hint="eastAsia"/>
          <w:color w:val="000000"/>
          <w:sz w:val="24"/>
        </w:rPr>
        <w:t>年</w:t>
      </w:r>
      <w:r w:rsidR="00FB487F">
        <w:rPr>
          <w:rFonts w:ascii="仿宋_GB2312" w:eastAsia="仿宋_GB2312" w:hint="eastAsia"/>
          <w:color w:val="000000"/>
          <w:sz w:val="24"/>
        </w:rPr>
        <w:t>十</w:t>
      </w:r>
      <w:r w:rsidR="00192C0B">
        <w:rPr>
          <w:rFonts w:ascii="仿宋_GB2312" w:eastAsia="仿宋_GB2312" w:hint="eastAsia"/>
          <w:color w:val="000000"/>
          <w:sz w:val="24"/>
        </w:rPr>
        <w:t>二</w:t>
      </w:r>
      <w:r>
        <w:rPr>
          <w:rFonts w:ascii="仿宋_GB2312" w:eastAsia="仿宋_GB2312" w:hint="eastAsia"/>
          <w:color w:val="000000"/>
          <w:sz w:val="24"/>
        </w:rPr>
        <w:t>月</w:t>
      </w:r>
      <w:r w:rsidR="00192C0B">
        <w:rPr>
          <w:rFonts w:ascii="仿宋_GB2312" w:eastAsia="仿宋_GB2312" w:hint="eastAsia"/>
          <w:color w:val="000000"/>
          <w:sz w:val="24"/>
        </w:rPr>
        <w:t>七</w:t>
      </w:r>
      <w:r>
        <w:rPr>
          <w:rFonts w:ascii="仿宋_GB2312" w:eastAsia="仿宋_GB2312" w:hint="eastAsia"/>
          <w:color w:val="000000"/>
          <w:sz w:val="24"/>
        </w:rPr>
        <w:t>日</w:t>
      </w:r>
    </w:p>
    <w:sectPr w:rsidR="00D349BE">
      <w:footerReference w:type="even" r:id="rId7"/>
      <w:footerReference w:type="default" r:id="rId8"/>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93" w:rsidRDefault="00805093">
      <w:r>
        <w:separator/>
      </w:r>
    </w:p>
  </w:endnote>
  <w:endnote w:type="continuationSeparator" w:id="0">
    <w:p w:rsidR="00805093" w:rsidRDefault="0080509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BE" w:rsidRDefault="00D349BE">
    <w:pPr>
      <w:pStyle w:val="a5"/>
      <w:framePr w:wrap="around" w:vAnchor="text" w:hAnchor="margin" w:xAlign="center" w:y="1"/>
      <w:rPr>
        <w:rStyle w:val="af0"/>
      </w:rPr>
    </w:pPr>
    <w:r>
      <w:fldChar w:fldCharType="begin"/>
    </w:r>
    <w:r>
      <w:rPr>
        <w:rStyle w:val="af0"/>
      </w:rPr>
      <w:instrText xml:space="preserve">PAGE  </w:instrText>
    </w:r>
    <w:r>
      <w:fldChar w:fldCharType="end"/>
    </w:r>
  </w:p>
  <w:p w:rsidR="00D349BE" w:rsidRDefault="00D349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BE" w:rsidRDefault="00D349BE">
    <w:pPr>
      <w:pStyle w:val="a5"/>
      <w:framePr w:wrap="around" w:vAnchor="text" w:hAnchor="margin" w:xAlign="center" w:y="1"/>
      <w:rPr>
        <w:rStyle w:val="af0"/>
      </w:rPr>
    </w:pPr>
    <w:r>
      <w:fldChar w:fldCharType="begin"/>
    </w:r>
    <w:r>
      <w:rPr>
        <w:rStyle w:val="af0"/>
      </w:rPr>
      <w:instrText xml:space="preserve">PAGE  </w:instrText>
    </w:r>
    <w:r>
      <w:fldChar w:fldCharType="separate"/>
    </w:r>
    <w:r w:rsidR="0020057C">
      <w:rPr>
        <w:rStyle w:val="af0"/>
        <w:noProof/>
      </w:rPr>
      <w:t>1</w:t>
    </w:r>
    <w:r>
      <w:fldChar w:fldCharType="end"/>
    </w:r>
  </w:p>
  <w:p w:rsidR="00D349BE" w:rsidRDefault="00D349B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93" w:rsidRDefault="00805093">
      <w:r>
        <w:separator/>
      </w:r>
    </w:p>
  </w:footnote>
  <w:footnote w:type="continuationSeparator" w:id="0">
    <w:p w:rsidR="00805093" w:rsidRDefault="008050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212E"/>
    <w:rsid w:val="00000070"/>
    <w:rsid w:val="00003C1C"/>
    <w:rsid w:val="00003CA2"/>
    <w:rsid w:val="00011234"/>
    <w:rsid w:val="000127AE"/>
    <w:rsid w:val="00013D25"/>
    <w:rsid w:val="000146D6"/>
    <w:rsid w:val="00014BD5"/>
    <w:rsid w:val="000210C8"/>
    <w:rsid w:val="000226A8"/>
    <w:rsid w:val="000249D9"/>
    <w:rsid w:val="000260B7"/>
    <w:rsid w:val="000265FE"/>
    <w:rsid w:val="00037046"/>
    <w:rsid w:val="00046D4A"/>
    <w:rsid w:val="000514E9"/>
    <w:rsid w:val="00052B71"/>
    <w:rsid w:val="00054592"/>
    <w:rsid w:val="000606F8"/>
    <w:rsid w:val="00063993"/>
    <w:rsid w:val="000768E2"/>
    <w:rsid w:val="00080498"/>
    <w:rsid w:val="00082EDE"/>
    <w:rsid w:val="0008378D"/>
    <w:rsid w:val="00086AAE"/>
    <w:rsid w:val="00090247"/>
    <w:rsid w:val="00093CA9"/>
    <w:rsid w:val="000A0FBA"/>
    <w:rsid w:val="000A1B27"/>
    <w:rsid w:val="000A7E37"/>
    <w:rsid w:val="000B7043"/>
    <w:rsid w:val="000B740E"/>
    <w:rsid w:val="000C4056"/>
    <w:rsid w:val="000D1338"/>
    <w:rsid w:val="000D27A7"/>
    <w:rsid w:val="000D46B0"/>
    <w:rsid w:val="000E112F"/>
    <w:rsid w:val="000E1422"/>
    <w:rsid w:val="001038B0"/>
    <w:rsid w:val="00111854"/>
    <w:rsid w:val="00115EF8"/>
    <w:rsid w:val="00122248"/>
    <w:rsid w:val="0012473D"/>
    <w:rsid w:val="00124C53"/>
    <w:rsid w:val="00130077"/>
    <w:rsid w:val="00136D13"/>
    <w:rsid w:val="00140AFB"/>
    <w:rsid w:val="00145BBA"/>
    <w:rsid w:val="00153A82"/>
    <w:rsid w:val="0016245D"/>
    <w:rsid w:val="001749F7"/>
    <w:rsid w:val="00182558"/>
    <w:rsid w:val="00182AB3"/>
    <w:rsid w:val="00185590"/>
    <w:rsid w:val="00192C0B"/>
    <w:rsid w:val="0019509D"/>
    <w:rsid w:val="001A1570"/>
    <w:rsid w:val="001A1C31"/>
    <w:rsid w:val="001A68F2"/>
    <w:rsid w:val="001B19A4"/>
    <w:rsid w:val="001B42AD"/>
    <w:rsid w:val="001C51B9"/>
    <w:rsid w:val="001D1B60"/>
    <w:rsid w:val="001E00DE"/>
    <w:rsid w:val="001E19AE"/>
    <w:rsid w:val="001E2376"/>
    <w:rsid w:val="001F06D6"/>
    <w:rsid w:val="001F0F84"/>
    <w:rsid w:val="001F121D"/>
    <w:rsid w:val="0020057C"/>
    <w:rsid w:val="00203060"/>
    <w:rsid w:val="0021003F"/>
    <w:rsid w:val="00210304"/>
    <w:rsid w:val="00212750"/>
    <w:rsid w:val="0022791B"/>
    <w:rsid w:val="002307F0"/>
    <w:rsid w:val="00235A67"/>
    <w:rsid w:val="00250698"/>
    <w:rsid w:val="00253E23"/>
    <w:rsid w:val="00254EF3"/>
    <w:rsid w:val="00255165"/>
    <w:rsid w:val="00256F8D"/>
    <w:rsid w:val="00262036"/>
    <w:rsid w:val="00267E98"/>
    <w:rsid w:val="002756F0"/>
    <w:rsid w:val="00285F92"/>
    <w:rsid w:val="00286186"/>
    <w:rsid w:val="0029212E"/>
    <w:rsid w:val="00293058"/>
    <w:rsid w:val="00293FDF"/>
    <w:rsid w:val="00294A4A"/>
    <w:rsid w:val="00294F32"/>
    <w:rsid w:val="00296308"/>
    <w:rsid w:val="00296E4F"/>
    <w:rsid w:val="00297DF2"/>
    <w:rsid w:val="002A240B"/>
    <w:rsid w:val="002B1A48"/>
    <w:rsid w:val="002C07B8"/>
    <w:rsid w:val="002C0FAF"/>
    <w:rsid w:val="002C69D8"/>
    <w:rsid w:val="002C6C59"/>
    <w:rsid w:val="002C7F05"/>
    <w:rsid w:val="002D548A"/>
    <w:rsid w:val="002E3BB1"/>
    <w:rsid w:val="002E4E8D"/>
    <w:rsid w:val="002F10D3"/>
    <w:rsid w:val="002F67C8"/>
    <w:rsid w:val="00305CA9"/>
    <w:rsid w:val="00311DCB"/>
    <w:rsid w:val="00315E52"/>
    <w:rsid w:val="003162A1"/>
    <w:rsid w:val="003219EF"/>
    <w:rsid w:val="003236DE"/>
    <w:rsid w:val="00337F58"/>
    <w:rsid w:val="00344E22"/>
    <w:rsid w:val="00356D62"/>
    <w:rsid w:val="003739A5"/>
    <w:rsid w:val="00374847"/>
    <w:rsid w:val="00374ED8"/>
    <w:rsid w:val="003754C1"/>
    <w:rsid w:val="0038180B"/>
    <w:rsid w:val="00396201"/>
    <w:rsid w:val="003B30E6"/>
    <w:rsid w:val="003C0515"/>
    <w:rsid w:val="003C2761"/>
    <w:rsid w:val="003D011A"/>
    <w:rsid w:val="003D01BA"/>
    <w:rsid w:val="003D0833"/>
    <w:rsid w:val="003D1EDC"/>
    <w:rsid w:val="003D2A6C"/>
    <w:rsid w:val="003D3F4D"/>
    <w:rsid w:val="003D7190"/>
    <w:rsid w:val="003E450A"/>
    <w:rsid w:val="003E65C1"/>
    <w:rsid w:val="003E6E6D"/>
    <w:rsid w:val="003F5021"/>
    <w:rsid w:val="003F7BEA"/>
    <w:rsid w:val="00403526"/>
    <w:rsid w:val="00406516"/>
    <w:rsid w:val="004078E6"/>
    <w:rsid w:val="00410A7C"/>
    <w:rsid w:val="00414882"/>
    <w:rsid w:val="004157AC"/>
    <w:rsid w:val="00425153"/>
    <w:rsid w:val="004276AB"/>
    <w:rsid w:val="00432500"/>
    <w:rsid w:val="00436DBD"/>
    <w:rsid w:val="0044406A"/>
    <w:rsid w:val="00456720"/>
    <w:rsid w:val="00466D2F"/>
    <w:rsid w:val="00480BBB"/>
    <w:rsid w:val="00486696"/>
    <w:rsid w:val="00487F29"/>
    <w:rsid w:val="00490588"/>
    <w:rsid w:val="0049175C"/>
    <w:rsid w:val="00494288"/>
    <w:rsid w:val="0049756C"/>
    <w:rsid w:val="00497A41"/>
    <w:rsid w:val="004A05A8"/>
    <w:rsid w:val="004A3836"/>
    <w:rsid w:val="004A447B"/>
    <w:rsid w:val="004A5435"/>
    <w:rsid w:val="004C3692"/>
    <w:rsid w:val="004C7CC3"/>
    <w:rsid w:val="004D4816"/>
    <w:rsid w:val="004D7FA0"/>
    <w:rsid w:val="004F0674"/>
    <w:rsid w:val="004F121E"/>
    <w:rsid w:val="00503132"/>
    <w:rsid w:val="005040EE"/>
    <w:rsid w:val="00511FDF"/>
    <w:rsid w:val="00512535"/>
    <w:rsid w:val="00513D29"/>
    <w:rsid w:val="005210B7"/>
    <w:rsid w:val="005244D5"/>
    <w:rsid w:val="00524591"/>
    <w:rsid w:val="00531A53"/>
    <w:rsid w:val="00540101"/>
    <w:rsid w:val="00542A7F"/>
    <w:rsid w:val="00544186"/>
    <w:rsid w:val="005470B6"/>
    <w:rsid w:val="005548B6"/>
    <w:rsid w:val="00561DF7"/>
    <w:rsid w:val="005802A9"/>
    <w:rsid w:val="0058299B"/>
    <w:rsid w:val="005909C6"/>
    <w:rsid w:val="005A030C"/>
    <w:rsid w:val="005A056C"/>
    <w:rsid w:val="005A3619"/>
    <w:rsid w:val="005C16FD"/>
    <w:rsid w:val="005C79A5"/>
    <w:rsid w:val="005D755A"/>
    <w:rsid w:val="005E4F53"/>
    <w:rsid w:val="005E66B4"/>
    <w:rsid w:val="00603604"/>
    <w:rsid w:val="00607D1B"/>
    <w:rsid w:val="00614BBF"/>
    <w:rsid w:val="00615316"/>
    <w:rsid w:val="006160B5"/>
    <w:rsid w:val="006172D4"/>
    <w:rsid w:val="0062536B"/>
    <w:rsid w:val="00630A10"/>
    <w:rsid w:val="00636E7E"/>
    <w:rsid w:val="00641841"/>
    <w:rsid w:val="00647873"/>
    <w:rsid w:val="00650827"/>
    <w:rsid w:val="00653230"/>
    <w:rsid w:val="00655108"/>
    <w:rsid w:val="006645B1"/>
    <w:rsid w:val="006776CA"/>
    <w:rsid w:val="00690604"/>
    <w:rsid w:val="00693147"/>
    <w:rsid w:val="00696A83"/>
    <w:rsid w:val="006A3158"/>
    <w:rsid w:val="006A795E"/>
    <w:rsid w:val="006A7C98"/>
    <w:rsid w:val="006B242A"/>
    <w:rsid w:val="006B7EF9"/>
    <w:rsid w:val="006C2B89"/>
    <w:rsid w:val="006C340E"/>
    <w:rsid w:val="006C7727"/>
    <w:rsid w:val="006D2E73"/>
    <w:rsid w:val="006E25DC"/>
    <w:rsid w:val="006F1880"/>
    <w:rsid w:val="006F1F62"/>
    <w:rsid w:val="00702D21"/>
    <w:rsid w:val="0070411C"/>
    <w:rsid w:val="007137B7"/>
    <w:rsid w:val="00713B32"/>
    <w:rsid w:val="00727F1C"/>
    <w:rsid w:val="007308AF"/>
    <w:rsid w:val="00732592"/>
    <w:rsid w:val="00732E26"/>
    <w:rsid w:val="00733A7E"/>
    <w:rsid w:val="00741ED8"/>
    <w:rsid w:val="00742E0E"/>
    <w:rsid w:val="00745833"/>
    <w:rsid w:val="00752000"/>
    <w:rsid w:val="007665C6"/>
    <w:rsid w:val="00766BD3"/>
    <w:rsid w:val="00770769"/>
    <w:rsid w:val="00773FC8"/>
    <w:rsid w:val="007778E4"/>
    <w:rsid w:val="007809AE"/>
    <w:rsid w:val="00792068"/>
    <w:rsid w:val="00792EE0"/>
    <w:rsid w:val="007977EC"/>
    <w:rsid w:val="007A1D96"/>
    <w:rsid w:val="007A5191"/>
    <w:rsid w:val="007B3333"/>
    <w:rsid w:val="007B567D"/>
    <w:rsid w:val="007C01D8"/>
    <w:rsid w:val="007C1BFB"/>
    <w:rsid w:val="007C24B2"/>
    <w:rsid w:val="007C364D"/>
    <w:rsid w:val="007C5BE7"/>
    <w:rsid w:val="007D0164"/>
    <w:rsid w:val="007D2DDF"/>
    <w:rsid w:val="007D4679"/>
    <w:rsid w:val="007D600B"/>
    <w:rsid w:val="007E010A"/>
    <w:rsid w:val="007E37DD"/>
    <w:rsid w:val="007E41D4"/>
    <w:rsid w:val="007E5DF5"/>
    <w:rsid w:val="007F0251"/>
    <w:rsid w:val="007F22FC"/>
    <w:rsid w:val="00805093"/>
    <w:rsid w:val="008063D0"/>
    <w:rsid w:val="00814E91"/>
    <w:rsid w:val="00815ABD"/>
    <w:rsid w:val="00821BBD"/>
    <w:rsid w:val="00821C24"/>
    <w:rsid w:val="008263DA"/>
    <w:rsid w:val="0083071D"/>
    <w:rsid w:val="0083088A"/>
    <w:rsid w:val="00833379"/>
    <w:rsid w:val="00836D4D"/>
    <w:rsid w:val="008419F5"/>
    <w:rsid w:val="00841A49"/>
    <w:rsid w:val="008431B7"/>
    <w:rsid w:val="00854C0D"/>
    <w:rsid w:val="00856CB6"/>
    <w:rsid w:val="0086155E"/>
    <w:rsid w:val="00861DDD"/>
    <w:rsid w:val="00865C4F"/>
    <w:rsid w:val="00870E54"/>
    <w:rsid w:val="008876E6"/>
    <w:rsid w:val="00891015"/>
    <w:rsid w:val="00893454"/>
    <w:rsid w:val="0089705B"/>
    <w:rsid w:val="008A2421"/>
    <w:rsid w:val="008A41A6"/>
    <w:rsid w:val="008A5D76"/>
    <w:rsid w:val="008B0487"/>
    <w:rsid w:val="008B37CF"/>
    <w:rsid w:val="008C1E36"/>
    <w:rsid w:val="008C39D5"/>
    <w:rsid w:val="008C4709"/>
    <w:rsid w:val="008D13DC"/>
    <w:rsid w:val="008D5484"/>
    <w:rsid w:val="008E0C36"/>
    <w:rsid w:val="008F4EE3"/>
    <w:rsid w:val="009037B1"/>
    <w:rsid w:val="0090526B"/>
    <w:rsid w:val="009067FA"/>
    <w:rsid w:val="009078CC"/>
    <w:rsid w:val="00914707"/>
    <w:rsid w:val="009155CF"/>
    <w:rsid w:val="00925B4A"/>
    <w:rsid w:val="009272D8"/>
    <w:rsid w:val="0093109F"/>
    <w:rsid w:val="0093408E"/>
    <w:rsid w:val="009453F8"/>
    <w:rsid w:val="0094558D"/>
    <w:rsid w:val="00947D7E"/>
    <w:rsid w:val="00951A8B"/>
    <w:rsid w:val="0096770E"/>
    <w:rsid w:val="00967C46"/>
    <w:rsid w:val="009707D9"/>
    <w:rsid w:val="009734D5"/>
    <w:rsid w:val="009738AB"/>
    <w:rsid w:val="00992A4E"/>
    <w:rsid w:val="00997683"/>
    <w:rsid w:val="009979B8"/>
    <w:rsid w:val="009A4BDE"/>
    <w:rsid w:val="009A6D90"/>
    <w:rsid w:val="009B0986"/>
    <w:rsid w:val="009B1B36"/>
    <w:rsid w:val="009C2028"/>
    <w:rsid w:val="009C2A60"/>
    <w:rsid w:val="009D0631"/>
    <w:rsid w:val="009D1E62"/>
    <w:rsid w:val="009D48AE"/>
    <w:rsid w:val="009D7F78"/>
    <w:rsid w:val="009E338A"/>
    <w:rsid w:val="009E60A8"/>
    <w:rsid w:val="00A01280"/>
    <w:rsid w:val="00A03C47"/>
    <w:rsid w:val="00A1242A"/>
    <w:rsid w:val="00A200DD"/>
    <w:rsid w:val="00A210C1"/>
    <w:rsid w:val="00A21199"/>
    <w:rsid w:val="00A274EA"/>
    <w:rsid w:val="00A31844"/>
    <w:rsid w:val="00A31E30"/>
    <w:rsid w:val="00A32825"/>
    <w:rsid w:val="00A35D70"/>
    <w:rsid w:val="00A36B16"/>
    <w:rsid w:val="00A403EA"/>
    <w:rsid w:val="00A41560"/>
    <w:rsid w:val="00A43CE3"/>
    <w:rsid w:val="00A440D0"/>
    <w:rsid w:val="00A573EB"/>
    <w:rsid w:val="00A7008C"/>
    <w:rsid w:val="00A731EB"/>
    <w:rsid w:val="00A8051B"/>
    <w:rsid w:val="00AB1B5A"/>
    <w:rsid w:val="00AB402A"/>
    <w:rsid w:val="00AC0088"/>
    <w:rsid w:val="00AD0B33"/>
    <w:rsid w:val="00AD7250"/>
    <w:rsid w:val="00AF2983"/>
    <w:rsid w:val="00AF466F"/>
    <w:rsid w:val="00B000EF"/>
    <w:rsid w:val="00B0049F"/>
    <w:rsid w:val="00B0174B"/>
    <w:rsid w:val="00B01CC4"/>
    <w:rsid w:val="00B062D0"/>
    <w:rsid w:val="00B1545F"/>
    <w:rsid w:val="00B170AD"/>
    <w:rsid w:val="00B3078D"/>
    <w:rsid w:val="00B33C99"/>
    <w:rsid w:val="00B43D12"/>
    <w:rsid w:val="00B50D8F"/>
    <w:rsid w:val="00B52A44"/>
    <w:rsid w:val="00B55DB6"/>
    <w:rsid w:val="00B62E81"/>
    <w:rsid w:val="00B73622"/>
    <w:rsid w:val="00B73F37"/>
    <w:rsid w:val="00B76171"/>
    <w:rsid w:val="00B903E9"/>
    <w:rsid w:val="00B97006"/>
    <w:rsid w:val="00BA0373"/>
    <w:rsid w:val="00BA7999"/>
    <w:rsid w:val="00BC410A"/>
    <w:rsid w:val="00BC4EF9"/>
    <w:rsid w:val="00BD4012"/>
    <w:rsid w:val="00BE024F"/>
    <w:rsid w:val="00BF11C1"/>
    <w:rsid w:val="00C149CE"/>
    <w:rsid w:val="00C26948"/>
    <w:rsid w:val="00C33612"/>
    <w:rsid w:val="00C33733"/>
    <w:rsid w:val="00C35236"/>
    <w:rsid w:val="00C404FF"/>
    <w:rsid w:val="00C53B5A"/>
    <w:rsid w:val="00C55BAA"/>
    <w:rsid w:val="00C6167E"/>
    <w:rsid w:val="00C63109"/>
    <w:rsid w:val="00C63B8E"/>
    <w:rsid w:val="00C65D66"/>
    <w:rsid w:val="00C66D48"/>
    <w:rsid w:val="00C7602D"/>
    <w:rsid w:val="00C87539"/>
    <w:rsid w:val="00CA0F00"/>
    <w:rsid w:val="00CA3D78"/>
    <w:rsid w:val="00CA7705"/>
    <w:rsid w:val="00CC0B89"/>
    <w:rsid w:val="00CC5F20"/>
    <w:rsid w:val="00CD06AE"/>
    <w:rsid w:val="00CD155C"/>
    <w:rsid w:val="00CD3081"/>
    <w:rsid w:val="00CE2067"/>
    <w:rsid w:val="00CF109A"/>
    <w:rsid w:val="00CF18CC"/>
    <w:rsid w:val="00CF38EF"/>
    <w:rsid w:val="00CF5414"/>
    <w:rsid w:val="00D10690"/>
    <w:rsid w:val="00D349BE"/>
    <w:rsid w:val="00D37EDC"/>
    <w:rsid w:val="00D41CC7"/>
    <w:rsid w:val="00D4263E"/>
    <w:rsid w:val="00D42EC4"/>
    <w:rsid w:val="00D4529D"/>
    <w:rsid w:val="00D619A4"/>
    <w:rsid w:val="00D64938"/>
    <w:rsid w:val="00D719A8"/>
    <w:rsid w:val="00D80D21"/>
    <w:rsid w:val="00D856DF"/>
    <w:rsid w:val="00D92E2C"/>
    <w:rsid w:val="00D942C3"/>
    <w:rsid w:val="00D947B9"/>
    <w:rsid w:val="00D95961"/>
    <w:rsid w:val="00DB0127"/>
    <w:rsid w:val="00DB1B28"/>
    <w:rsid w:val="00DB38EB"/>
    <w:rsid w:val="00DC1DF7"/>
    <w:rsid w:val="00DC3242"/>
    <w:rsid w:val="00DC748C"/>
    <w:rsid w:val="00DC7F5B"/>
    <w:rsid w:val="00DD02DC"/>
    <w:rsid w:val="00DD03E6"/>
    <w:rsid w:val="00DD0481"/>
    <w:rsid w:val="00DD4DF2"/>
    <w:rsid w:val="00DD6996"/>
    <w:rsid w:val="00DD7C0A"/>
    <w:rsid w:val="00DE287F"/>
    <w:rsid w:val="00DE585A"/>
    <w:rsid w:val="00DE71A6"/>
    <w:rsid w:val="00DF48AD"/>
    <w:rsid w:val="00DF6961"/>
    <w:rsid w:val="00E001B0"/>
    <w:rsid w:val="00E0161A"/>
    <w:rsid w:val="00E06349"/>
    <w:rsid w:val="00E14D21"/>
    <w:rsid w:val="00E2171A"/>
    <w:rsid w:val="00E248A9"/>
    <w:rsid w:val="00E31F0A"/>
    <w:rsid w:val="00E33EB6"/>
    <w:rsid w:val="00E40A32"/>
    <w:rsid w:val="00E42F46"/>
    <w:rsid w:val="00E44318"/>
    <w:rsid w:val="00E46A09"/>
    <w:rsid w:val="00E532E2"/>
    <w:rsid w:val="00E535BC"/>
    <w:rsid w:val="00E5768A"/>
    <w:rsid w:val="00E60352"/>
    <w:rsid w:val="00E61537"/>
    <w:rsid w:val="00E744D8"/>
    <w:rsid w:val="00E74B4F"/>
    <w:rsid w:val="00E7643E"/>
    <w:rsid w:val="00E77861"/>
    <w:rsid w:val="00E851BF"/>
    <w:rsid w:val="00E904DA"/>
    <w:rsid w:val="00E91D1A"/>
    <w:rsid w:val="00E93D8F"/>
    <w:rsid w:val="00E970E0"/>
    <w:rsid w:val="00E97122"/>
    <w:rsid w:val="00EA7E0A"/>
    <w:rsid w:val="00EB4F3B"/>
    <w:rsid w:val="00EC06EF"/>
    <w:rsid w:val="00EC18E5"/>
    <w:rsid w:val="00EC47E5"/>
    <w:rsid w:val="00EE14EE"/>
    <w:rsid w:val="00EE3232"/>
    <w:rsid w:val="00EE7995"/>
    <w:rsid w:val="00EF12BA"/>
    <w:rsid w:val="00EF6A55"/>
    <w:rsid w:val="00F01529"/>
    <w:rsid w:val="00F06B08"/>
    <w:rsid w:val="00F11618"/>
    <w:rsid w:val="00F1220D"/>
    <w:rsid w:val="00F12D68"/>
    <w:rsid w:val="00F25838"/>
    <w:rsid w:val="00F25EBB"/>
    <w:rsid w:val="00F32516"/>
    <w:rsid w:val="00F44CBC"/>
    <w:rsid w:val="00F55754"/>
    <w:rsid w:val="00F6352B"/>
    <w:rsid w:val="00F70326"/>
    <w:rsid w:val="00F72928"/>
    <w:rsid w:val="00F8380B"/>
    <w:rsid w:val="00F85DBB"/>
    <w:rsid w:val="00F924AF"/>
    <w:rsid w:val="00F957FF"/>
    <w:rsid w:val="00F96568"/>
    <w:rsid w:val="00F9793F"/>
    <w:rsid w:val="00FA0FAC"/>
    <w:rsid w:val="00FA33D4"/>
    <w:rsid w:val="00FA40BB"/>
    <w:rsid w:val="00FA55F3"/>
    <w:rsid w:val="00FB0E50"/>
    <w:rsid w:val="00FB2ABE"/>
    <w:rsid w:val="00FB3957"/>
    <w:rsid w:val="00FB487F"/>
    <w:rsid w:val="00FB6B63"/>
    <w:rsid w:val="00FC1E9F"/>
    <w:rsid w:val="00FC5608"/>
    <w:rsid w:val="00FC6339"/>
    <w:rsid w:val="00FC7074"/>
    <w:rsid w:val="00FC7FD7"/>
    <w:rsid w:val="00FD4DA9"/>
    <w:rsid w:val="00FE0B29"/>
    <w:rsid w:val="00FE0B36"/>
    <w:rsid w:val="00FE1414"/>
    <w:rsid w:val="00FE2A1D"/>
    <w:rsid w:val="00FF0203"/>
    <w:rsid w:val="00FF1027"/>
    <w:rsid w:val="53CFC62F"/>
    <w:rsid w:val="DF7CD415"/>
    <w:rsid w:val="FDEF96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uiPriority="35" w:unhideWhenUsed="0"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iPriority="0" w:unhideWhenUsed="0"/>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pBdr>
        <w:bottom w:val="thinThickSmallGap" w:sz="12" w:space="1" w:color="943634"/>
      </w:pBdr>
      <w:spacing w:before="400"/>
      <w:jc w:val="center"/>
      <w:outlineLvl w:val="0"/>
    </w:pPr>
    <w:rPr>
      <w:rFonts w:ascii="Cambria" w:hAnsi="Cambria"/>
      <w:caps/>
      <w:color w:val="632423"/>
      <w:spacing w:val="20"/>
      <w:kern w:val="0"/>
      <w:sz w:val="28"/>
      <w:szCs w:val="28"/>
    </w:rPr>
  </w:style>
  <w:style w:type="paragraph" w:styleId="2">
    <w:name w:val="heading 2"/>
    <w:basedOn w:val="a"/>
    <w:next w:val="a"/>
    <w:link w:val="2Char"/>
    <w:uiPriority w:val="9"/>
    <w:qFormat/>
    <w:pPr>
      <w:pBdr>
        <w:bottom w:val="single" w:sz="4" w:space="1" w:color="622423"/>
      </w:pBdr>
      <w:spacing w:before="400"/>
      <w:jc w:val="center"/>
      <w:outlineLvl w:val="1"/>
    </w:pPr>
    <w:rPr>
      <w:rFonts w:ascii="Cambria" w:hAnsi="Cambria"/>
      <w:caps/>
      <w:color w:val="632423"/>
      <w:spacing w:val="15"/>
      <w:kern w:val="0"/>
      <w:sz w:val="24"/>
    </w:rPr>
  </w:style>
  <w:style w:type="paragraph" w:styleId="3">
    <w:name w:val="heading 3"/>
    <w:basedOn w:val="a"/>
    <w:next w:val="a"/>
    <w:link w:val="3Char"/>
    <w:uiPriority w:val="9"/>
    <w:qFormat/>
    <w:pPr>
      <w:pBdr>
        <w:top w:val="dotted" w:sz="4" w:space="1" w:color="622423"/>
        <w:bottom w:val="dotted" w:sz="4" w:space="1" w:color="622423"/>
      </w:pBdr>
      <w:spacing w:before="300"/>
      <w:jc w:val="center"/>
      <w:outlineLvl w:val="2"/>
    </w:pPr>
    <w:rPr>
      <w:rFonts w:ascii="Cambria" w:hAnsi="Cambria"/>
      <w:caps/>
      <w:color w:val="622423"/>
      <w:kern w:val="0"/>
      <w:sz w:val="24"/>
    </w:rPr>
  </w:style>
  <w:style w:type="paragraph" w:styleId="4">
    <w:name w:val="heading 4"/>
    <w:basedOn w:val="a"/>
    <w:next w:val="a"/>
    <w:link w:val="4Char"/>
    <w:uiPriority w:val="9"/>
    <w:qFormat/>
    <w:pPr>
      <w:pBdr>
        <w:bottom w:val="dotted" w:sz="4" w:space="1" w:color="943634"/>
      </w:pBdr>
      <w:spacing w:after="120"/>
      <w:jc w:val="center"/>
      <w:outlineLvl w:val="3"/>
    </w:pPr>
    <w:rPr>
      <w:rFonts w:ascii="Cambria" w:hAnsi="Cambria"/>
      <w:caps/>
      <w:color w:val="622423"/>
      <w:spacing w:val="10"/>
      <w:kern w:val="0"/>
      <w:sz w:val="20"/>
      <w:szCs w:val="20"/>
    </w:rPr>
  </w:style>
  <w:style w:type="paragraph" w:styleId="5">
    <w:name w:val="heading 5"/>
    <w:basedOn w:val="a"/>
    <w:next w:val="a"/>
    <w:link w:val="5Char"/>
    <w:uiPriority w:val="9"/>
    <w:qFormat/>
    <w:pPr>
      <w:spacing w:before="320" w:after="120"/>
      <w:jc w:val="center"/>
      <w:outlineLvl w:val="4"/>
    </w:pPr>
    <w:rPr>
      <w:rFonts w:ascii="Cambria" w:hAnsi="Cambria"/>
      <w:caps/>
      <w:color w:val="622423"/>
      <w:spacing w:val="10"/>
      <w:kern w:val="0"/>
      <w:sz w:val="20"/>
      <w:szCs w:val="20"/>
    </w:rPr>
  </w:style>
  <w:style w:type="paragraph" w:styleId="6">
    <w:name w:val="heading 6"/>
    <w:basedOn w:val="a"/>
    <w:next w:val="a"/>
    <w:link w:val="6Char"/>
    <w:uiPriority w:val="9"/>
    <w:qFormat/>
    <w:pPr>
      <w:spacing w:after="120"/>
      <w:jc w:val="center"/>
      <w:outlineLvl w:val="5"/>
    </w:pPr>
    <w:rPr>
      <w:rFonts w:ascii="Cambria" w:hAnsi="Cambria"/>
      <w:caps/>
      <w:color w:val="943634"/>
      <w:spacing w:val="10"/>
      <w:kern w:val="0"/>
      <w:sz w:val="20"/>
      <w:szCs w:val="20"/>
    </w:rPr>
  </w:style>
  <w:style w:type="paragraph" w:styleId="7">
    <w:name w:val="heading 7"/>
    <w:basedOn w:val="a"/>
    <w:next w:val="a"/>
    <w:link w:val="7Char"/>
    <w:uiPriority w:val="9"/>
    <w:qFormat/>
    <w:pPr>
      <w:spacing w:after="120"/>
      <w:jc w:val="center"/>
      <w:outlineLvl w:val="6"/>
    </w:pPr>
    <w:rPr>
      <w:rFonts w:ascii="Cambria" w:hAnsi="Cambria"/>
      <w:i/>
      <w:iCs/>
      <w:caps/>
      <w:color w:val="943634"/>
      <w:spacing w:val="10"/>
      <w:kern w:val="0"/>
      <w:sz w:val="20"/>
      <w:szCs w:val="20"/>
    </w:rPr>
  </w:style>
  <w:style w:type="paragraph" w:styleId="8">
    <w:name w:val="heading 8"/>
    <w:basedOn w:val="a"/>
    <w:next w:val="a"/>
    <w:link w:val="8Char"/>
    <w:uiPriority w:val="9"/>
    <w:qFormat/>
    <w:pPr>
      <w:spacing w:after="120"/>
      <w:jc w:val="center"/>
      <w:outlineLvl w:val="7"/>
    </w:pPr>
    <w:rPr>
      <w:rFonts w:ascii="Cambria" w:hAnsi="Cambria"/>
      <w:caps/>
      <w:spacing w:val="10"/>
      <w:kern w:val="0"/>
      <w:sz w:val="20"/>
      <w:szCs w:val="20"/>
    </w:rPr>
  </w:style>
  <w:style w:type="paragraph" w:styleId="9">
    <w:name w:val="heading 9"/>
    <w:basedOn w:val="a"/>
    <w:next w:val="a"/>
    <w:link w:val="9Char"/>
    <w:uiPriority w:val="9"/>
    <w:qFormat/>
    <w:pPr>
      <w:spacing w:after="120"/>
      <w:jc w:val="center"/>
      <w:outlineLvl w:val="8"/>
    </w:pPr>
    <w:rPr>
      <w:rFonts w:ascii="Cambria" w:hAnsi="Cambria"/>
      <w:i/>
      <w:iCs/>
      <w:caps/>
      <w:spacing w:val="10"/>
      <w:kern w:val="0"/>
      <w:sz w:val="20"/>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样式3 Char"/>
    <w:link w:val="30"/>
    <w:rPr>
      <w:sz w:val="18"/>
      <w:szCs w:val="18"/>
      <w:lang w:val="en-US" w:eastAsia="en-US" w:bidi="en-US"/>
    </w:rPr>
  </w:style>
  <w:style w:type="character" w:customStyle="1" w:styleId="Char">
    <w:name w:val="批注主题 Char"/>
    <w:link w:val="a3"/>
    <w:uiPriority w:val="99"/>
    <w:semiHidden/>
    <w:rPr>
      <w:rFonts w:ascii="Times New Roman" w:hAnsi="Times New Roman"/>
      <w:b/>
      <w:bCs/>
      <w:kern w:val="2"/>
      <w:sz w:val="21"/>
      <w:szCs w:val="24"/>
    </w:rPr>
  </w:style>
  <w:style w:type="character" w:customStyle="1" w:styleId="Char0">
    <w:name w:val="明显引用 Char"/>
    <w:link w:val="a4"/>
    <w:uiPriority w:val="30"/>
    <w:rPr>
      <w:rFonts w:eastAsia="宋体" w:cs="Times New Roman"/>
      <w:caps/>
      <w:color w:val="622423"/>
      <w:spacing w:val="5"/>
      <w:sz w:val="20"/>
      <w:szCs w:val="20"/>
    </w:rPr>
  </w:style>
  <w:style w:type="character" w:customStyle="1" w:styleId="6Char">
    <w:name w:val="标题 6 Char"/>
    <w:link w:val="6"/>
    <w:uiPriority w:val="9"/>
    <w:rPr>
      <w:caps/>
      <w:color w:val="943634"/>
      <w:spacing w:val="10"/>
    </w:rPr>
  </w:style>
  <w:style w:type="character" w:customStyle="1" w:styleId="Char1">
    <w:name w:val="页脚 Char"/>
    <w:link w:val="a5"/>
    <w:uiPriority w:val="99"/>
    <w:semiHidden/>
    <w:rPr>
      <w:sz w:val="18"/>
      <w:szCs w:val="18"/>
    </w:rPr>
  </w:style>
  <w:style w:type="character" w:styleId="a6">
    <w:name w:val="Intense Reference"/>
    <w:uiPriority w:val="32"/>
    <w:qFormat/>
    <w:rPr>
      <w:rFonts w:ascii="Calibri" w:eastAsia="宋体" w:hAnsi="Calibri" w:cs="Times New Roman"/>
      <w:b/>
      <w:bCs/>
      <w:i/>
      <w:iCs/>
      <w:color w:val="622423"/>
    </w:rPr>
  </w:style>
  <w:style w:type="character" w:customStyle="1" w:styleId="Char2">
    <w:name w:val="无间隔 Char"/>
    <w:basedOn w:val="a0"/>
    <w:link w:val="a7"/>
    <w:uiPriority w:val="1"/>
  </w:style>
  <w:style w:type="character" w:customStyle="1" w:styleId="5Char">
    <w:name w:val="标题 5 Char"/>
    <w:link w:val="5"/>
    <w:uiPriority w:val="9"/>
    <w:rPr>
      <w:caps/>
      <w:color w:val="622423"/>
      <w:spacing w:val="10"/>
    </w:rPr>
  </w:style>
  <w:style w:type="character" w:styleId="a8">
    <w:name w:val="Book Title"/>
    <w:uiPriority w:val="33"/>
    <w:qFormat/>
    <w:rPr>
      <w:caps/>
      <w:color w:val="622423"/>
      <w:spacing w:val="5"/>
      <w:u w:color="622423"/>
    </w:rPr>
  </w:style>
  <w:style w:type="character" w:customStyle="1" w:styleId="Char3">
    <w:name w:val="标题 Char"/>
    <w:link w:val="a9"/>
    <w:uiPriority w:val="10"/>
    <w:rPr>
      <w:rFonts w:eastAsia="宋体" w:cs="Times New Roman"/>
      <w:caps/>
      <w:color w:val="632423"/>
      <w:spacing w:val="50"/>
      <w:sz w:val="44"/>
      <w:szCs w:val="44"/>
    </w:rPr>
  </w:style>
  <w:style w:type="character" w:customStyle="1" w:styleId="2Char0">
    <w:name w:val="样式2 Char"/>
    <w:link w:val="20"/>
    <w:rPr>
      <w:sz w:val="18"/>
      <w:szCs w:val="18"/>
      <w:lang w:eastAsia="zh-CN"/>
    </w:rPr>
  </w:style>
  <w:style w:type="character" w:customStyle="1" w:styleId="Char4">
    <w:name w:val="引用 Char"/>
    <w:link w:val="aa"/>
    <w:uiPriority w:val="29"/>
    <w:rPr>
      <w:rFonts w:eastAsia="宋体" w:cs="Times New Roman"/>
      <w:i/>
      <w:iCs/>
    </w:rPr>
  </w:style>
  <w:style w:type="character" w:customStyle="1" w:styleId="3Char1">
    <w:name w:val="正文文本缩进 3 Char"/>
    <w:link w:val="31"/>
    <w:rPr>
      <w:rFonts w:ascii="Times New Roman" w:hAnsi="Times New Roman"/>
      <w:kern w:val="2"/>
      <w:sz w:val="16"/>
      <w:szCs w:val="16"/>
    </w:rPr>
  </w:style>
  <w:style w:type="character" w:customStyle="1" w:styleId="1Char">
    <w:name w:val="标题 1 Char"/>
    <w:link w:val="1"/>
    <w:uiPriority w:val="9"/>
    <w:rPr>
      <w:caps/>
      <w:color w:val="632423"/>
      <w:spacing w:val="20"/>
      <w:sz w:val="28"/>
      <w:szCs w:val="28"/>
    </w:rPr>
  </w:style>
  <w:style w:type="character" w:styleId="ab">
    <w:name w:val="Subtle Emphasis"/>
    <w:uiPriority w:val="19"/>
    <w:qFormat/>
    <w:rPr>
      <w:i/>
      <w:iCs/>
    </w:rPr>
  </w:style>
  <w:style w:type="character" w:styleId="ac">
    <w:name w:val="Subtle Reference"/>
    <w:uiPriority w:val="31"/>
    <w:qFormat/>
    <w:rPr>
      <w:rFonts w:ascii="Calibri" w:eastAsia="宋体" w:hAnsi="Calibri" w:cs="Times New Roman"/>
      <w:i/>
      <w:iCs/>
      <w:color w:val="622423"/>
    </w:rPr>
  </w:style>
  <w:style w:type="character" w:customStyle="1" w:styleId="4Char">
    <w:name w:val="标题 4 Char"/>
    <w:link w:val="4"/>
    <w:uiPriority w:val="9"/>
    <w:rPr>
      <w:caps/>
      <w:color w:val="622423"/>
      <w:spacing w:val="10"/>
    </w:rPr>
  </w:style>
  <w:style w:type="character" w:customStyle="1" w:styleId="Char5">
    <w:name w:val="页眉 Char"/>
    <w:link w:val="ad"/>
    <w:uiPriority w:val="99"/>
    <w:semiHidden/>
    <w:rPr>
      <w:sz w:val="18"/>
      <w:szCs w:val="18"/>
    </w:rPr>
  </w:style>
  <w:style w:type="character" w:customStyle="1" w:styleId="Char6">
    <w:name w:val="批注框文本 Char"/>
    <w:link w:val="ae"/>
    <w:uiPriority w:val="99"/>
    <w:semiHidden/>
    <w:rPr>
      <w:rFonts w:ascii="Times New Roman" w:hAnsi="Times New Roman"/>
      <w:kern w:val="2"/>
      <w:sz w:val="18"/>
      <w:szCs w:val="18"/>
    </w:rPr>
  </w:style>
  <w:style w:type="character" w:customStyle="1" w:styleId="Char7">
    <w:name w:val="批注文字 Char"/>
    <w:link w:val="af"/>
    <w:uiPriority w:val="99"/>
    <w:semiHidden/>
    <w:rPr>
      <w:rFonts w:ascii="Times New Roman" w:hAnsi="Times New Roman"/>
      <w:kern w:val="2"/>
      <w:sz w:val="21"/>
      <w:szCs w:val="24"/>
    </w:rPr>
  </w:style>
  <w:style w:type="character" w:styleId="af0">
    <w:name w:val="page number"/>
    <w:basedOn w:val="a0"/>
  </w:style>
  <w:style w:type="character" w:styleId="af1">
    <w:name w:val="Strong"/>
    <w:uiPriority w:val="22"/>
    <w:qFormat/>
    <w:rPr>
      <w:b/>
      <w:bCs/>
      <w:color w:val="943634"/>
      <w:spacing w:val="5"/>
    </w:rPr>
  </w:style>
  <w:style w:type="character" w:customStyle="1" w:styleId="7Char">
    <w:name w:val="标题 7 Char"/>
    <w:link w:val="7"/>
    <w:uiPriority w:val="9"/>
    <w:rPr>
      <w:i/>
      <w:iCs/>
      <w:caps/>
      <w:color w:val="943634"/>
      <w:spacing w:val="10"/>
    </w:rPr>
  </w:style>
  <w:style w:type="character" w:customStyle="1" w:styleId="9Char">
    <w:name w:val="标题 9 Char"/>
    <w:link w:val="9"/>
    <w:uiPriority w:val="9"/>
    <w:rPr>
      <w:i/>
      <w:iCs/>
      <w:caps/>
      <w:spacing w:val="10"/>
      <w:sz w:val="20"/>
      <w:szCs w:val="20"/>
    </w:rPr>
  </w:style>
  <w:style w:type="character" w:customStyle="1" w:styleId="8Char">
    <w:name w:val="标题 8 Char"/>
    <w:link w:val="8"/>
    <w:uiPriority w:val="9"/>
    <w:rPr>
      <w:caps/>
      <w:spacing w:val="10"/>
      <w:sz w:val="20"/>
      <w:szCs w:val="20"/>
    </w:rPr>
  </w:style>
  <w:style w:type="character" w:customStyle="1" w:styleId="1Char0">
    <w:name w:val="样式1 Char"/>
    <w:link w:val="10"/>
    <w:rPr>
      <w:rFonts w:ascii="仿宋_GB2312" w:eastAsia="仿宋_GB2312" w:hAnsi="宋体"/>
      <w:bCs/>
      <w:caps/>
      <w:color w:val="622423"/>
      <w:sz w:val="24"/>
      <w:szCs w:val="24"/>
      <w:lang w:val="en-US" w:eastAsia="en-US" w:bidi="en-US"/>
    </w:rPr>
  </w:style>
  <w:style w:type="character" w:customStyle="1" w:styleId="2Char">
    <w:name w:val="标题 2 Char"/>
    <w:link w:val="2"/>
    <w:uiPriority w:val="9"/>
    <w:rPr>
      <w:caps/>
      <w:color w:val="632423"/>
      <w:spacing w:val="15"/>
      <w:sz w:val="24"/>
      <w:szCs w:val="24"/>
    </w:rPr>
  </w:style>
  <w:style w:type="character" w:customStyle="1" w:styleId="3Char">
    <w:name w:val="标题 3 Char"/>
    <w:link w:val="3"/>
    <w:uiPriority w:val="9"/>
    <w:rPr>
      <w:caps/>
      <w:color w:val="622423"/>
      <w:sz w:val="24"/>
      <w:szCs w:val="24"/>
    </w:rPr>
  </w:style>
  <w:style w:type="character" w:styleId="af2">
    <w:name w:val="Emphasis"/>
    <w:uiPriority w:val="20"/>
    <w:qFormat/>
    <w:rPr>
      <w:caps/>
      <w:spacing w:val="5"/>
      <w:sz w:val="20"/>
      <w:szCs w:val="20"/>
    </w:rPr>
  </w:style>
  <w:style w:type="character" w:customStyle="1" w:styleId="Char8">
    <w:name w:val="副标题 Char"/>
    <w:link w:val="af3"/>
    <w:uiPriority w:val="11"/>
    <w:rPr>
      <w:rFonts w:eastAsia="宋体" w:cs="Times New Roman"/>
      <w:caps/>
      <w:spacing w:val="20"/>
      <w:sz w:val="18"/>
      <w:szCs w:val="18"/>
    </w:rPr>
  </w:style>
  <w:style w:type="character" w:styleId="af4">
    <w:name w:val="annotation reference"/>
    <w:uiPriority w:val="99"/>
    <w:unhideWhenUsed/>
    <w:rPr>
      <w:sz w:val="21"/>
      <w:szCs w:val="21"/>
    </w:rPr>
  </w:style>
  <w:style w:type="character" w:styleId="af5">
    <w:name w:val="Intense Emphasis"/>
    <w:uiPriority w:val="21"/>
    <w:qFormat/>
    <w:rPr>
      <w:i/>
      <w:iCs/>
      <w:caps/>
      <w:spacing w:val="10"/>
      <w:sz w:val="20"/>
      <w:szCs w:val="20"/>
    </w:rPr>
  </w:style>
  <w:style w:type="paragraph" w:styleId="af3">
    <w:name w:val="Subtitle"/>
    <w:basedOn w:val="a"/>
    <w:next w:val="a"/>
    <w:link w:val="Char8"/>
    <w:uiPriority w:val="11"/>
    <w:qFormat/>
    <w:pPr>
      <w:spacing w:after="560"/>
      <w:jc w:val="center"/>
    </w:pPr>
    <w:rPr>
      <w:rFonts w:ascii="Cambria" w:hAnsi="Cambria"/>
      <w:caps/>
      <w:spacing w:val="20"/>
      <w:kern w:val="0"/>
      <w:sz w:val="18"/>
      <w:szCs w:val="18"/>
    </w:rPr>
  </w:style>
  <w:style w:type="paragraph" w:customStyle="1" w:styleId="30">
    <w:name w:val="样式3"/>
    <w:link w:val="3Char0"/>
    <w:qFormat/>
    <w:pPr>
      <w:spacing w:after="200" w:line="252" w:lineRule="auto"/>
    </w:pPr>
    <w:rPr>
      <w:sz w:val="18"/>
      <w:szCs w:val="18"/>
      <w:lang w:eastAsia="en-US" w:bidi="en-US"/>
    </w:rPr>
  </w:style>
  <w:style w:type="paragraph" w:customStyle="1" w:styleId="10">
    <w:name w:val="样式1"/>
    <w:link w:val="1Char0"/>
    <w:qFormat/>
    <w:pPr>
      <w:spacing w:line="360" w:lineRule="auto"/>
    </w:pPr>
    <w:rPr>
      <w:rFonts w:ascii="仿宋_GB2312" w:eastAsia="仿宋_GB2312" w:hAnsi="宋体"/>
      <w:bCs/>
      <w:caps/>
      <w:color w:val="622423"/>
      <w:sz w:val="24"/>
      <w:szCs w:val="24"/>
      <w:lang w:eastAsia="en-US" w:bidi="en-US"/>
    </w:rPr>
  </w:style>
  <w:style w:type="paragraph" w:styleId="a7">
    <w:name w:val="No Spacing"/>
    <w:basedOn w:val="a"/>
    <w:link w:val="Char2"/>
    <w:uiPriority w:val="1"/>
    <w:qFormat/>
  </w:style>
  <w:style w:type="paragraph" w:styleId="TOC">
    <w:name w:val="TOC Heading"/>
    <w:basedOn w:val="1"/>
    <w:next w:val="a"/>
    <w:uiPriority w:val="39"/>
    <w:qFormat/>
    <w:pPr>
      <w:outlineLvl w:val="9"/>
    </w:pPr>
  </w:style>
  <w:style w:type="paragraph" w:customStyle="1" w:styleId="20">
    <w:name w:val="样式2"/>
    <w:basedOn w:val="ad"/>
    <w:link w:val="2Char0"/>
    <w:qFormat/>
    <w:pPr>
      <w:pBdr>
        <w:top w:val="single" w:sz="6" w:space="1" w:color="auto"/>
        <w:left w:val="single" w:sz="6" w:space="4" w:color="auto"/>
        <w:right w:val="single" w:sz="6" w:space="4" w:color="auto"/>
      </w:pBdr>
      <w:jc w:val="both"/>
    </w:pPr>
  </w:style>
  <w:style w:type="paragraph" w:styleId="af6">
    <w:name w:val="Revision"/>
    <w:uiPriority w:val="99"/>
    <w:semiHidden/>
    <w:rPr>
      <w:rFonts w:ascii="Times New Roman" w:hAnsi="Times New Roman"/>
      <w:kern w:val="2"/>
      <w:sz w:val="21"/>
      <w:szCs w:val="24"/>
    </w:rPr>
  </w:style>
  <w:style w:type="paragraph" w:styleId="aa">
    <w:name w:val="Quote"/>
    <w:basedOn w:val="a"/>
    <w:next w:val="a"/>
    <w:link w:val="Char4"/>
    <w:uiPriority w:val="29"/>
    <w:qFormat/>
    <w:rPr>
      <w:rFonts w:ascii="Cambria" w:hAnsi="Cambria"/>
      <w:i/>
      <w:iCs/>
      <w:kern w:val="0"/>
      <w:sz w:val="20"/>
      <w:szCs w:val="20"/>
    </w:rPr>
  </w:style>
  <w:style w:type="paragraph" w:styleId="31">
    <w:name w:val="Body Text Indent 3"/>
    <w:basedOn w:val="a"/>
    <w:link w:val="3Char1"/>
    <w:pPr>
      <w:spacing w:after="120"/>
      <w:ind w:leftChars="200" w:left="420"/>
    </w:pPr>
    <w:rPr>
      <w:sz w:val="16"/>
      <w:szCs w:val="16"/>
    </w:rPr>
  </w:style>
  <w:style w:type="paragraph" w:styleId="af7">
    <w:name w:val="List Paragraph"/>
    <w:basedOn w:val="a"/>
    <w:uiPriority w:val="34"/>
    <w:qFormat/>
    <w:pPr>
      <w:ind w:left="720"/>
      <w:contextualSpacing/>
    </w:pPr>
  </w:style>
  <w:style w:type="paragraph" w:styleId="af">
    <w:name w:val="annotation text"/>
    <w:basedOn w:val="a"/>
    <w:link w:val="Char7"/>
    <w:uiPriority w:val="99"/>
    <w:unhideWhenUsed/>
    <w:pPr>
      <w:jc w:val="left"/>
    </w:pPr>
  </w:style>
  <w:style w:type="paragraph" w:styleId="ad">
    <w:name w:val="header"/>
    <w:basedOn w:val="a"/>
    <w:link w:val="Char5"/>
    <w:uiPriority w:val="99"/>
    <w:unhideWhenUsed/>
    <w:pPr>
      <w:pBdr>
        <w:bottom w:val="single" w:sz="6" w:space="1" w:color="auto"/>
      </w:pBdr>
      <w:tabs>
        <w:tab w:val="center" w:pos="4153"/>
        <w:tab w:val="right" w:pos="8306"/>
      </w:tabs>
      <w:snapToGrid w:val="0"/>
      <w:jc w:val="center"/>
    </w:pPr>
    <w:rPr>
      <w:rFonts w:ascii="Cambria" w:hAnsi="Cambria"/>
      <w:kern w:val="0"/>
      <w:sz w:val="18"/>
      <w:szCs w:val="18"/>
    </w:rPr>
  </w:style>
  <w:style w:type="paragraph" w:styleId="a9">
    <w:name w:val="Title"/>
    <w:basedOn w:val="a"/>
    <w:next w:val="a"/>
    <w:link w:val="Char3"/>
    <w:uiPriority w:val="10"/>
    <w:qFormat/>
    <w:pPr>
      <w:pBdr>
        <w:top w:val="dotted" w:sz="2" w:space="1" w:color="632423"/>
        <w:bottom w:val="dotted" w:sz="2" w:space="6" w:color="632423"/>
      </w:pBdr>
      <w:spacing w:before="500" w:after="300"/>
      <w:jc w:val="center"/>
    </w:pPr>
    <w:rPr>
      <w:rFonts w:ascii="Cambria" w:hAnsi="Cambria"/>
      <w:caps/>
      <w:color w:val="632423"/>
      <w:spacing w:val="50"/>
      <w:kern w:val="0"/>
      <w:sz w:val="44"/>
      <w:szCs w:val="44"/>
    </w:rPr>
  </w:style>
  <w:style w:type="paragraph" w:styleId="af8">
    <w:name w:val="caption"/>
    <w:basedOn w:val="a"/>
    <w:next w:val="a"/>
    <w:uiPriority w:val="35"/>
    <w:qFormat/>
    <w:rPr>
      <w:caps/>
      <w:spacing w:val="10"/>
      <w:sz w:val="18"/>
      <w:szCs w:val="18"/>
    </w:rPr>
  </w:style>
  <w:style w:type="paragraph" w:styleId="a4">
    <w:name w:val="Intense Quote"/>
    <w:basedOn w:val="a"/>
    <w:next w:val="a"/>
    <w:link w:val="Char0"/>
    <w:uiPriority w:val="30"/>
    <w:qFormat/>
    <w:pPr>
      <w:pBdr>
        <w:top w:val="dotted" w:sz="2" w:space="10" w:color="632423"/>
        <w:bottom w:val="dotted" w:sz="2" w:space="4" w:color="632423"/>
      </w:pBdr>
      <w:spacing w:before="160" w:line="300" w:lineRule="auto"/>
      <w:ind w:left="1440" w:right="1440"/>
    </w:pPr>
    <w:rPr>
      <w:rFonts w:ascii="Cambria" w:hAnsi="Cambria"/>
      <w:caps/>
      <w:color w:val="622423"/>
      <w:spacing w:val="5"/>
      <w:kern w:val="0"/>
      <w:sz w:val="20"/>
      <w:szCs w:val="20"/>
    </w:rPr>
  </w:style>
  <w:style w:type="paragraph" w:styleId="a3">
    <w:name w:val="annotation subject"/>
    <w:basedOn w:val="af"/>
    <w:next w:val="af"/>
    <w:link w:val="Char"/>
    <w:uiPriority w:val="99"/>
    <w:unhideWhenUsed/>
    <w:rPr>
      <w:b/>
      <w:bCs/>
    </w:rPr>
  </w:style>
  <w:style w:type="paragraph" w:styleId="a5">
    <w:name w:val="footer"/>
    <w:basedOn w:val="a"/>
    <w:link w:val="Char1"/>
    <w:uiPriority w:val="99"/>
    <w:unhideWhenUsed/>
    <w:pPr>
      <w:tabs>
        <w:tab w:val="center" w:pos="4153"/>
        <w:tab w:val="right" w:pos="8306"/>
      </w:tabs>
      <w:snapToGrid w:val="0"/>
    </w:pPr>
    <w:rPr>
      <w:rFonts w:ascii="Cambria" w:hAnsi="Cambria"/>
      <w:kern w:val="0"/>
      <w:sz w:val="18"/>
      <w:szCs w:val="18"/>
    </w:rPr>
  </w:style>
  <w:style w:type="paragraph" w:styleId="ae">
    <w:name w:val="Balloon Text"/>
    <w:basedOn w:val="a"/>
    <w:link w:val="Char6"/>
    <w:uiPriority w:val="99"/>
    <w:unhideWhenUsed/>
    <w:rPr>
      <w:sz w:val="18"/>
      <w:szCs w:val="18"/>
    </w:rPr>
  </w:style>
  <w:style w:type="table" w:customStyle="1" w:styleId="21">
    <w:name w:val="网格型2"/>
    <w:basedOn w:val="a1"/>
    <w:uiPriority w:val="59"/>
    <w:qFormat/>
    <w:rsid w:val="004D4816"/>
    <w:pPr>
      <w:widowControl w:val="0"/>
      <w:jc w:val="both"/>
    </w:pPr>
    <w:rPr>
      <w:rFonts w:ascii="宋体" w:hAnsi="宋体"/>
      <w:color w:val="000000"/>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qFormat/>
    <w:rsid w:val="00BC4EF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BC4EF9"/>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59348065">
      <w:bodyDiv w:val="1"/>
      <w:marLeft w:val="0"/>
      <w:marRight w:val="0"/>
      <w:marTop w:val="0"/>
      <w:marBottom w:val="0"/>
      <w:divBdr>
        <w:top w:val="none" w:sz="0" w:space="0" w:color="auto"/>
        <w:left w:val="none" w:sz="0" w:space="0" w:color="auto"/>
        <w:bottom w:val="none" w:sz="0" w:space="0" w:color="auto"/>
        <w:right w:val="none" w:sz="0" w:space="0" w:color="auto"/>
      </w:divBdr>
    </w:div>
    <w:div w:id="805389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3398-2B10-4692-A3B0-E49E9584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4</DocSecurity>
  <Lines>40</Lines>
  <Paragraphs>11</Paragraphs>
  <ScaleCrop>false</ScaleCrop>
  <Company>微软中国</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dc:creator>
  <cp:keywords/>
  <cp:lastModifiedBy>ZHONGM</cp:lastModifiedBy>
  <cp:revision>2</cp:revision>
  <dcterms:created xsi:type="dcterms:W3CDTF">2020-12-06T16:02:00Z</dcterms:created>
  <dcterms:modified xsi:type="dcterms:W3CDTF">2020-12-06T16:02:00Z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