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8" w:rsidRPr="0066021E" w:rsidRDefault="00404593" w:rsidP="00543656">
      <w:pPr>
        <w:jc w:val="center"/>
        <w:rPr>
          <w:rFonts w:ascii="Microsoft Yahei" w:eastAsia="宋体" w:hAnsi="Microsoft Yahei" w:cs="宋体" w:hint="eastAsia"/>
          <w:b/>
          <w:bCs/>
          <w:color w:val="1E5E91"/>
          <w:kern w:val="0"/>
          <w:sz w:val="30"/>
          <w:szCs w:val="30"/>
        </w:rPr>
      </w:pPr>
      <w:r w:rsidRPr="0066021E">
        <w:rPr>
          <w:rFonts w:ascii="Microsoft Yahei" w:eastAsia="宋体" w:hAnsi="Microsoft Yahei" w:cs="宋体" w:hint="eastAsia"/>
          <w:b/>
          <w:bCs/>
          <w:color w:val="1E5E91"/>
          <w:kern w:val="0"/>
          <w:sz w:val="30"/>
          <w:szCs w:val="30"/>
        </w:rPr>
        <w:t>海富通基金管理有限公司关于旗下部分基金</w:t>
      </w:r>
      <w:r w:rsidR="00E667EB" w:rsidRPr="0066021E">
        <w:rPr>
          <w:rFonts w:ascii="Microsoft Yahei" w:eastAsia="宋体" w:hAnsi="Microsoft Yahei" w:cs="宋体" w:hint="eastAsia"/>
          <w:b/>
          <w:bCs/>
          <w:color w:val="1E5E91"/>
          <w:kern w:val="0"/>
          <w:sz w:val="30"/>
          <w:szCs w:val="30"/>
        </w:rPr>
        <w:t>新增</w:t>
      </w:r>
      <w:r w:rsidR="000357F3" w:rsidRPr="0066021E">
        <w:rPr>
          <w:rFonts w:ascii="Microsoft Yahei" w:eastAsia="宋体" w:hAnsi="Microsoft Yahei" w:cs="宋体" w:hint="eastAsia"/>
          <w:b/>
          <w:bCs/>
          <w:color w:val="1E5E91"/>
          <w:kern w:val="0"/>
          <w:sz w:val="30"/>
          <w:szCs w:val="30"/>
        </w:rPr>
        <w:t>中国人寿保险股份有限公司</w:t>
      </w:r>
      <w:r w:rsidR="00543656" w:rsidRPr="0066021E">
        <w:rPr>
          <w:rFonts w:ascii="Microsoft Yahei" w:eastAsia="宋体" w:hAnsi="Microsoft Yahei" w:cs="宋体" w:hint="eastAsia"/>
          <w:b/>
          <w:bCs/>
          <w:color w:val="1E5E91"/>
          <w:kern w:val="0"/>
          <w:sz w:val="30"/>
          <w:szCs w:val="30"/>
        </w:rPr>
        <w:t>为销售机构的公告</w:t>
      </w:r>
    </w:p>
    <w:p w:rsidR="00543656" w:rsidRPr="000B2573" w:rsidRDefault="00543656" w:rsidP="00543656">
      <w:pPr>
        <w:jc w:val="center"/>
      </w:pPr>
    </w:p>
    <w:p w:rsidR="00543656" w:rsidRDefault="000357F3" w:rsidP="000357F3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中国人寿保险股份有限公司</w:t>
      </w:r>
      <w:r w:rsidR="00F11396" w:rsidRPr="00F1139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（以下简称“</w:t>
      </w: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中国人寿</w:t>
      </w:r>
      <w:r w:rsidR="00F11396" w:rsidRPr="00F1139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”）</w:t>
      </w:r>
      <w:r w:rsidR="00543656"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的开放式基金销售资格已获中国证券监督管理委员会批准。</w:t>
      </w: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根据海富通基金管理有限公司（以下简称"本公司"）与中国人寿</w:t>
      </w:r>
      <w:r w:rsidR="0066021E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签署</w:t>
      </w: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的开放式证券投资基金销售协议，现增加中国人寿（以下简称“中国人寿”）为本公司旗下部分基金的销售机构</w:t>
      </w:r>
      <w:r w:rsidR="0066021E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。现</w:t>
      </w: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将有关事项公告如下：</w:t>
      </w:r>
    </w:p>
    <w:p w:rsidR="001C5C00" w:rsidRPr="000B6F9C" w:rsidRDefault="001C5C00" w:rsidP="000357F3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0357F3" w:rsidRDefault="000357F3" w:rsidP="000357F3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适用基金</w:t>
      </w:r>
    </w:p>
    <w:tbl>
      <w:tblPr>
        <w:tblW w:w="9660" w:type="dxa"/>
        <w:tblInd w:w="93" w:type="dxa"/>
        <w:tblLook w:val="04A0"/>
      </w:tblPr>
      <w:tblGrid>
        <w:gridCol w:w="1080"/>
        <w:gridCol w:w="1500"/>
        <w:gridCol w:w="7080"/>
      </w:tblGrid>
      <w:tr w:rsidR="000357F3" w:rsidRPr="000357F3" w:rsidTr="000357F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A类：519062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海富通阿尔法对冲混合型发起式证券投资基金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C类：008795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A类：519050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海富通安颐收益混合型证券投资基金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C类：002339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A类：005288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海富通创业板综指增强型发起式证券投资基金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C类：005287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A类：519061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海富通纯债债券型证券投资基金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C类：519060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海富通风格优势混合型证券投资基金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海富通富祥混合型证券投资基金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海富通改革驱动灵活配置混合型证券投资基金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海富通股票混合型证券投资基金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海富通国策导向混合型证券投资基金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A类：004513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海富通沪深300指数增强型证券投资基金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C类：004512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A类: 519505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海富通货币市场证券投资基金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B类: 519506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海富通精选贰号混合型证券投资基金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海富通可转债优选债券型证券投资基金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A类：005081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海富通量化多因子灵活配置混合型证券投资基金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C类：005080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A类：005189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海富通量化前锋股票型证券投资基金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C类：005188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海富通领先成长混合型证券投资基金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海富通内需热点混合型证券投资基金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海富通强化回报混合型证券投资基金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海富通稳固收益债券型证券投资基金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A类：519024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海富通稳健添利债券型证券投资基金</w:t>
            </w:r>
          </w:p>
        </w:tc>
      </w:tr>
      <w:tr w:rsidR="000357F3" w:rsidRPr="000357F3" w:rsidTr="001C5C0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C类：519023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1C5C0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A类：519130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海富通新内需灵活配置混合型证券投资基金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C类：002172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A类：519051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海富通一年定期开放债券型证券投资基金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C类：001976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海富通中小盘混合型证券投资基金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A类：162307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海富通中证100指数证券投资基金（LOF）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C类：010224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A类：519034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海富通中证500指数增强型证券投资基金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C类：009004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海富通上证周期行业50交易型开放式指数证券投资基金联接基金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A类：008831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海富通安益对冲策略灵活配置混合型证券投资基金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C类：008830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A类：009025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海富通科技创新混合型证券投资基金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C类：009024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A类：008611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海富通添鑫收益债券型证券投资基金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C类：008610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A类：009154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海富通富盈混合型证券投资基金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C类：009155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A类：009156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海富通富泽混合型证券投资基金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C类：009157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A类：519229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海富通欣享灵活配置混合型证券投资基金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C类：519228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A类：010220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海富通消费核心资产混合型证券投资基金</w:t>
            </w:r>
          </w:p>
        </w:tc>
      </w:tr>
      <w:tr w:rsidR="000357F3" w:rsidRPr="000357F3" w:rsidTr="000357F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F3" w:rsidRPr="000357F3" w:rsidRDefault="000357F3" w:rsidP="00035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57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C类：010221</w:t>
            </w:r>
          </w:p>
        </w:tc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7F3" w:rsidRPr="000357F3" w:rsidRDefault="000357F3" w:rsidP="00035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357F3" w:rsidRPr="000357F3" w:rsidRDefault="000357F3" w:rsidP="000357F3">
      <w:pPr>
        <w:pStyle w:val="a7"/>
        <w:ind w:left="915" w:firstLineChars="0" w:firstLine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业务开通时间</w:t>
      </w:r>
    </w:p>
    <w:p w:rsid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自2020年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12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7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日起，投资者可在中国人寿办理上述开放式基金的开户、申购、赎回等业务。具体的业务流程、办理方式和办理时间等以中国人寿的规定为准。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P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适用投资者范围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符合法律法规及基金合同规定的投资者。</w:t>
      </w:r>
    </w:p>
    <w:p w:rsidR="001C5C00" w:rsidRPr="001C5C00" w:rsidRDefault="001C5C00" w:rsidP="001C5C00">
      <w:pPr>
        <w:pStyle w:val="a7"/>
        <w:ind w:left="915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P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重要提示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1、投资者欲了解基金的详细信息，请仔细阅读上述开放式基金的基金合同、招募说明书及相关法律文件。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2、特别提示投资人关注上述基金产品的基金合同、招募说明书等法律文件及基金管理人的风险提示。</w:t>
      </w:r>
    </w:p>
    <w:p w:rsidR="001C5C00" w:rsidRPr="001C5C00" w:rsidRDefault="001C5C00" w:rsidP="001C5C00">
      <w:pPr>
        <w:pStyle w:val="a7"/>
        <w:ind w:left="915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投资者可通过以下途径咨询有关详情：</w:t>
      </w:r>
    </w:p>
    <w:p w:rsidR="00083B73" w:rsidRPr="00083B73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</w:t>
      </w:r>
      <w:r w:rsidR="00F156F9" w:rsidRPr="00F156F9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中国人寿保险股份有限公司</w:t>
      </w:r>
    </w:p>
    <w:p w:rsidR="00083B73" w:rsidRPr="00083B73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</w:t>
      </w:r>
      <w:r w:rsidR="00F156F9" w:rsidRPr="00F156F9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95519</w:t>
      </w:r>
    </w:p>
    <w:p w:rsidR="00543656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="00F156F9" w:rsidRPr="00F156F9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www.e-chinalife.com</w:t>
      </w:r>
    </w:p>
    <w:p w:rsidR="00083B73" w:rsidRPr="00543656" w:rsidRDefault="00083B73" w:rsidP="00083B73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lastRenderedPageBreak/>
        <w:t>2、海富通基金管理有限公司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客户服务电话：40088-40099（免长途话费）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="000E514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www.hftfund.com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本公告的解释权归海富通基金管理有限公司。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特此公告。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jc w:val="right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海富通基金管理有限公司</w:t>
      </w:r>
    </w:p>
    <w:p w:rsidR="008337A4" w:rsidRDefault="00543656" w:rsidP="00543656">
      <w:pPr>
        <w:jc w:val="right"/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12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="000E0C84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5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</w:t>
      </w:r>
    </w:p>
    <w:sectPr w:rsidR="008337A4" w:rsidSect="004C0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5A" w:rsidRDefault="00B7085A" w:rsidP="008337A4">
      <w:r>
        <w:separator/>
      </w:r>
    </w:p>
  </w:endnote>
  <w:endnote w:type="continuationSeparator" w:id="0">
    <w:p w:rsidR="00B7085A" w:rsidRDefault="00B7085A" w:rsidP="0083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5A" w:rsidRDefault="00B7085A" w:rsidP="008337A4">
      <w:r>
        <w:separator/>
      </w:r>
    </w:p>
  </w:footnote>
  <w:footnote w:type="continuationSeparator" w:id="0">
    <w:p w:rsidR="00B7085A" w:rsidRDefault="00B7085A" w:rsidP="0083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D7"/>
    <w:multiLevelType w:val="hybridMultilevel"/>
    <w:tmpl w:val="5E5A169C"/>
    <w:lvl w:ilvl="0" w:tplc="4EB88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DE577A"/>
    <w:multiLevelType w:val="hybridMultilevel"/>
    <w:tmpl w:val="9628212C"/>
    <w:lvl w:ilvl="0" w:tplc="5B4867C6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5469"/>
    <w:rsid w:val="00032C5D"/>
    <w:rsid w:val="000357F3"/>
    <w:rsid w:val="00083B73"/>
    <w:rsid w:val="0008502C"/>
    <w:rsid w:val="00096298"/>
    <w:rsid w:val="000B2573"/>
    <w:rsid w:val="000B6F9C"/>
    <w:rsid w:val="000D5889"/>
    <w:rsid w:val="000E0C84"/>
    <w:rsid w:val="000E514C"/>
    <w:rsid w:val="000E5980"/>
    <w:rsid w:val="001C5C00"/>
    <w:rsid w:val="002A0546"/>
    <w:rsid w:val="00313FB2"/>
    <w:rsid w:val="00340105"/>
    <w:rsid w:val="00341DE2"/>
    <w:rsid w:val="0034274C"/>
    <w:rsid w:val="003C3309"/>
    <w:rsid w:val="003D2B15"/>
    <w:rsid w:val="00404593"/>
    <w:rsid w:val="00413728"/>
    <w:rsid w:val="004756F3"/>
    <w:rsid w:val="004C0B5B"/>
    <w:rsid w:val="004D5917"/>
    <w:rsid w:val="004E79F4"/>
    <w:rsid w:val="00514067"/>
    <w:rsid w:val="00532B5C"/>
    <w:rsid w:val="0054092F"/>
    <w:rsid w:val="00543656"/>
    <w:rsid w:val="00555514"/>
    <w:rsid w:val="00576A7E"/>
    <w:rsid w:val="00620A26"/>
    <w:rsid w:val="00653CC5"/>
    <w:rsid w:val="0066021E"/>
    <w:rsid w:val="0068338E"/>
    <w:rsid w:val="007030C6"/>
    <w:rsid w:val="007474D4"/>
    <w:rsid w:val="008337A4"/>
    <w:rsid w:val="00841E96"/>
    <w:rsid w:val="00890A40"/>
    <w:rsid w:val="00910BAA"/>
    <w:rsid w:val="00A305DB"/>
    <w:rsid w:val="00A50246"/>
    <w:rsid w:val="00AA2324"/>
    <w:rsid w:val="00AB0B89"/>
    <w:rsid w:val="00B7085A"/>
    <w:rsid w:val="00BD0480"/>
    <w:rsid w:val="00C26CDD"/>
    <w:rsid w:val="00C44FED"/>
    <w:rsid w:val="00C9395C"/>
    <w:rsid w:val="00D37F37"/>
    <w:rsid w:val="00D46619"/>
    <w:rsid w:val="00E667EB"/>
    <w:rsid w:val="00ED6DEC"/>
    <w:rsid w:val="00EF1004"/>
    <w:rsid w:val="00EF4D5E"/>
    <w:rsid w:val="00F11396"/>
    <w:rsid w:val="00F156F9"/>
    <w:rsid w:val="00F2470B"/>
    <w:rsid w:val="00F8796B"/>
    <w:rsid w:val="00F9076F"/>
    <w:rsid w:val="00FD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5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1676</Characters>
  <Application>Microsoft Office Word</Application>
  <DocSecurity>4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卢韵竹</dc:creator>
  <cp:keywords/>
  <dc:description/>
  <cp:lastModifiedBy>ZHONGM</cp:lastModifiedBy>
  <cp:revision>2</cp:revision>
  <dcterms:created xsi:type="dcterms:W3CDTF">2020-12-04T16:00:00Z</dcterms:created>
  <dcterms:modified xsi:type="dcterms:W3CDTF">2020-12-04T16:00:00Z</dcterms:modified>
</cp:coreProperties>
</file>