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6E" w:rsidRDefault="00A24577">
      <w:pPr>
        <w:spacing w:line="360" w:lineRule="auto"/>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西藏东财基金管理有限公司关于旗下基金参与光大证券股份有限公司申购（含定期定额投资）费率优惠活动的公告</w:t>
      </w:r>
    </w:p>
    <w:p w:rsidR="00FD686E" w:rsidRDefault="00A24577">
      <w:pPr>
        <w:spacing w:line="360" w:lineRule="auto"/>
        <w:rPr>
          <w:rFonts w:asciiTheme="minorEastAsia" w:eastAsiaTheme="minorEastAsia" w:hAnsiTheme="minorEastAsia"/>
        </w:rPr>
      </w:pPr>
      <w:r>
        <w:rPr>
          <w:rFonts w:asciiTheme="minorEastAsia" w:eastAsiaTheme="minorEastAsia" w:hAnsiTheme="minorEastAsia"/>
        </w:rPr>
        <w:tab/>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为更好地满足广大投资者的理财需求，西藏东财基金管理有限公司（以下简称</w:t>
      </w:r>
      <w:r>
        <w:rPr>
          <w:rFonts w:asciiTheme="minorEastAsia" w:eastAsiaTheme="minorEastAsia" w:hAnsiTheme="minorEastAsia"/>
          <w:sz w:val="24"/>
          <w:szCs w:val="24"/>
        </w:rPr>
        <w:t>“</w:t>
      </w:r>
      <w:r>
        <w:rPr>
          <w:rFonts w:asciiTheme="minorEastAsia" w:eastAsiaTheme="minorEastAsia" w:hAnsiTheme="minorEastAsia" w:hint="eastAsia"/>
          <w:sz w:val="24"/>
          <w:szCs w:val="24"/>
        </w:rPr>
        <w:t>本公司</w:t>
      </w:r>
      <w:r>
        <w:rPr>
          <w:rFonts w:asciiTheme="minorEastAsia" w:eastAsiaTheme="minorEastAsia" w:hAnsiTheme="minorEastAsia"/>
          <w:sz w:val="24"/>
          <w:szCs w:val="24"/>
        </w:rPr>
        <w:t>”</w:t>
      </w:r>
      <w:r>
        <w:rPr>
          <w:rFonts w:asciiTheme="minorEastAsia" w:eastAsiaTheme="minorEastAsia" w:hAnsiTheme="minorEastAsia" w:hint="eastAsia"/>
          <w:sz w:val="24"/>
          <w:szCs w:val="24"/>
        </w:rPr>
        <w:t>）决定参与光大证券股份有限公司（以下简称</w:t>
      </w:r>
      <w:r>
        <w:rPr>
          <w:rFonts w:asciiTheme="minorEastAsia" w:eastAsiaTheme="minorEastAsia" w:hAnsiTheme="minorEastAsia"/>
          <w:sz w:val="24"/>
          <w:szCs w:val="24"/>
        </w:rPr>
        <w:t>“</w:t>
      </w:r>
      <w:r>
        <w:rPr>
          <w:rFonts w:asciiTheme="minorEastAsia" w:eastAsiaTheme="minorEastAsia" w:hAnsiTheme="minorEastAsia" w:hint="eastAsia"/>
          <w:sz w:val="24"/>
          <w:szCs w:val="24"/>
        </w:rPr>
        <w:t>光大证券</w:t>
      </w:r>
      <w:r>
        <w:rPr>
          <w:rFonts w:asciiTheme="minorEastAsia" w:eastAsiaTheme="minorEastAsia" w:hAnsiTheme="minorEastAsia"/>
          <w:sz w:val="24"/>
          <w:szCs w:val="24"/>
        </w:rPr>
        <w:t>”</w:t>
      </w:r>
      <w:r>
        <w:rPr>
          <w:rFonts w:asciiTheme="minorEastAsia" w:eastAsiaTheme="minorEastAsia" w:hAnsiTheme="minorEastAsia" w:hint="eastAsia"/>
          <w:sz w:val="24"/>
          <w:szCs w:val="24"/>
        </w:rPr>
        <w:t>）基金申购（含定期定额投资）费率优惠活动。具体如下：</w:t>
      </w:r>
    </w:p>
    <w:p w:rsidR="00FD686E" w:rsidRDefault="00FD686E">
      <w:pPr>
        <w:autoSpaceDE w:val="0"/>
        <w:autoSpaceDN w:val="0"/>
        <w:adjustRightInd w:val="0"/>
        <w:spacing w:line="360" w:lineRule="auto"/>
        <w:ind w:firstLineChars="200" w:firstLine="480"/>
        <w:rPr>
          <w:rFonts w:asciiTheme="minorEastAsia" w:eastAsia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适用时间</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费率优惠期限以光大证券公示为准。</w:t>
      </w:r>
    </w:p>
    <w:p w:rsidR="00FD686E"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适用基金范围</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西藏东财上证</w:t>
      </w:r>
      <w:r>
        <w:rPr>
          <w:rFonts w:ascii="宋体" w:hAnsi="宋体"/>
          <w:sz w:val="24"/>
          <w:szCs w:val="24"/>
        </w:rPr>
        <w:t>50指数型发起式证券投资基金A（基金代码：A类：008240）</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西藏东财中证通信技术主题指数型发起式证券投资基金</w:t>
      </w:r>
      <w:r>
        <w:rPr>
          <w:rFonts w:ascii="宋体" w:hAnsi="宋体"/>
          <w:sz w:val="24"/>
          <w:szCs w:val="24"/>
        </w:rPr>
        <w:t>A（基金代码：A类：008326）</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西藏东财中证医药卫生指数型发起式证券投资基金</w:t>
      </w:r>
      <w:r>
        <w:rPr>
          <w:rFonts w:ascii="宋体" w:hAnsi="宋体"/>
          <w:sz w:val="24"/>
          <w:szCs w:val="24"/>
        </w:rPr>
        <w:t>A（基金代码：A类：008551）</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西藏东财量化精选混合型发起式证券投资基金</w:t>
      </w:r>
      <w:r>
        <w:rPr>
          <w:rFonts w:ascii="宋体" w:hAnsi="宋体"/>
          <w:sz w:val="24"/>
          <w:szCs w:val="24"/>
        </w:rPr>
        <w:t>A</w:t>
      </w:r>
      <w:r>
        <w:rPr>
          <w:rFonts w:ascii="宋体" w:hAnsi="宋体" w:hint="eastAsia"/>
          <w:sz w:val="24"/>
          <w:szCs w:val="24"/>
        </w:rPr>
        <w:t>（基金代码：</w:t>
      </w:r>
      <w:r>
        <w:rPr>
          <w:rFonts w:ascii="宋体" w:hAnsi="宋体"/>
          <w:sz w:val="24"/>
          <w:szCs w:val="24"/>
        </w:rPr>
        <w:t>A</w:t>
      </w:r>
      <w:r>
        <w:rPr>
          <w:rFonts w:ascii="宋体" w:hAnsi="宋体" w:hint="eastAsia"/>
          <w:sz w:val="24"/>
          <w:szCs w:val="24"/>
        </w:rPr>
        <w:t>类：</w:t>
      </w:r>
      <w:r>
        <w:rPr>
          <w:rFonts w:ascii="宋体" w:hAnsi="宋体"/>
          <w:sz w:val="24"/>
          <w:szCs w:val="24"/>
        </w:rPr>
        <w:t>009840</w:t>
      </w:r>
      <w:r>
        <w:rPr>
          <w:rFonts w:ascii="宋体" w:hAnsi="宋体" w:hint="eastAsia"/>
          <w:sz w:val="24"/>
          <w:szCs w:val="24"/>
        </w:rPr>
        <w:t>）</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西藏东财消费精选混合型发起式证券投资基金</w:t>
      </w:r>
      <w:r>
        <w:rPr>
          <w:rFonts w:ascii="宋体" w:hAnsi="宋体"/>
          <w:sz w:val="24"/>
          <w:szCs w:val="24"/>
        </w:rPr>
        <w:t>A（基金代码：A类：010151</w:t>
      </w:r>
      <w:r>
        <w:rPr>
          <w:rFonts w:ascii="宋体" w:hAnsi="宋体" w:hint="eastAsia"/>
          <w:sz w:val="24"/>
          <w:szCs w:val="24"/>
        </w:rPr>
        <w:t>）</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西藏东财信息产业精选混合型发起式证券投资基金</w:t>
      </w:r>
      <w:r>
        <w:rPr>
          <w:rFonts w:ascii="宋体" w:hAnsi="宋体"/>
          <w:sz w:val="24"/>
          <w:szCs w:val="24"/>
        </w:rPr>
        <w:t>A（基金代码：A类：010307</w:t>
      </w:r>
      <w:r>
        <w:rPr>
          <w:rFonts w:ascii="宋体" w:hAnsi="宋体" w:hint="eastAsia"/>
          <w:sz w:val="24"/>
          <w:szCs w:val="24"/>
        </w:rPr>
        <w:t>）</w:t>
      </w:r>
    </w:p>
    <w:p w:rsidR="00FD686E" w:rsidRDefault="00A24577">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费率优惠期限内，如本公司新增通过光大证券销售基金产品的，则自该基金产品在光大证券销售之日起，同时开通该基金在光大证券的申购费率优惠活动。</w:t>
      </w:r>
    </w:p>
    <w:p w:rsidR="00FD686E"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费率优惠方案</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投资者通过光大证券申购（含定期定额投资）上述基金的，申购费率不设折扣限制，具体折扣费率以光大证券公示为准，但折扣不低于1折。原费率为固定费用的，将不再享有折扣优惠，按固定费用执行。上述基金原费率请详见基金合同、招募说明书等法律文件及其更新，和本公司发布的相关公告。</w:t>
      </w:r>
    </w:p>
    <w:p w:rsidR="00FD686E"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适用投资者</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通过光大证券申购（含定期定额投资）上述基金的投资者。</w:t>
      </w:r>
    </w:p>
    <w:p w:rsidR="00FD686E" w:rsidRDefault="00FD686E">
      <w:pPr>
        <w:pStyle w:val="ab"/>
        <w:autoSpaceDE w:val="0"/>
        <w:autoSpaceDN w:val="0"/>
        <w:adjustRightInd w:val="0"/>
        <w:spacing w:line="360" w:lineRule="auto"/>
        <w:ind w:firstLineChars="0" w:firstLine="200"/>
        <w:rPr>
          <w:rFonts w:ascii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重要提示</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上述基金的详细情况以及原申购费率详见相关基金的基金合同、招募说明书等法律文件及其更新以及本公司发布的最新相关业务公告。</w:t>
      </w:r>
    </w:p>
    <w:p w:rsidR="00FD686E" w:rsidRDefault="00A2457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上述费率优惠活动的具体费率优惠方案及适用时间等如有变化，届时以光大证券的</w:t>
      </w:r>
      <w:r>
        <w:rPr>
          <w:rFonts w:asciiTheme="minorEastAsia" w:eastAsiaTheme="minorEastAsia" w:hAnsiTheme="minorEastAsia"/>
          <w:sz w:val="24"/>
          <w:szCs w:val="24"/>
        </w:rPr>
        <w:t>相关</w:t>
      </w:r>
      <w:r>
        <w:rPr>
          <w:rFonts w:asciiTheme="minorEastAsia" w:eastAsiaTheme="minorEastAsia" w:hAnsiTheme="minorEastAsia" w:hint="eastAsia"/>
          <w:sz w:val="24"/>
          <w:szCs w:val="24"/>
        </w:rPr>
        <w:t>最新公告以及其传输至本公司的业务数据为准，</w:t>
      </w:r>
      <w:r>
        <w:rPr>
          <w:rFonts w:asciiTheme="minorEastAsia" w:eastAsiaTheme="minorEastAsia" w:hAnsiTheme="minorEastAsia"/>
          <w:sz w:val="24"/>
          <w:szCs w:val="24"/>
        </w:rPr>
        <w:t>敬请投资者留意</w:t>
      </w:r>
      <w:r>
        <w:rPr>
          <w:rFonts w:asciiTheme="minorEastAsia" w:eastAsiaTheme="minorEastAsia" w:hAnsiTheme="minorEastAsia" w:hint="eastAsia"/>
          <w:sz w:val="24"/>
          <w:szCs w:val="24"/>
        </w:rPr>
        <w:t>。</w:t>
      </w:r>
    </w:p>
    <w:p w:rsidR="00FD686E" w:rsidRDefault="00A2457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3、本次费率优惠活动的解释权归</w:t>
      </w:r>
      <w:r>
        <w:rPr>
          <w:rFonts w:asciiTheme="minorEastAsia" w:eastAsiaTheme="minorEastAsia" w:hAnsiTheme="minorEastAsia"/>
          <w:sz w:val="24"/>
          <w:szCs w:val="24"/>
        </w:rPr>
        <w:t>光大证券</w:t>
      </w:r>
      <w:r>
        <w:rPr>
          <w:rFonts w:asciiTheme="minorEastAsia" w:eastAsiaTheme="minorEastAsia" w:hAnsiTheme="minorEastAsia" w:hint="eastAsia"/>
          <w:sz w:val="24"/>
          <w:szCs w:val="24"/>
        </w:rPr>
        <w:t>所有，费率优惠活动期间具体业务办理的规则与流程以光大证券的规定为准。</w:t>
      </w:r>
    </w:p>
    <w:p w:rsidR="00FD686E" w:rsidRDefault="00FD686E">
      <w:pPr>
        <w:ind w:firstLine="200"/>
        <w:rPr>
          <w:rFonts w:asciiTheme="minorEastAsia" w:eastAsiaTheme="minorEastAsia" w:hAnsiTheme="minorEastAsia"/>
          <w:sz w:val="24"/>
          <w:szCs w:val="24"/>
        </w:rPr>
      </w:pPr>
    </w:p>
    <w:p w:rsidR="00FD686E"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Pr>
          <w:rFonts w:asciiTheme="minorEastAsia" w:hAnsiTheme="minorEastAsia" w:hint="eastAsia"/>
          <w:sz w:val="24"/>
          <w:szCs w:val="24"/>
        </w:rPr>
        <w:t>投资者可通过以下途径咨询详情</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西藏东财基金管理有限公司</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400-9210-107</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网址：</w:t>
      </w:r>
      <w:hyperlink r:id="rId9" w:history="1">
        <w:r>
          <w:rPr>
            <w:rStyle w:val="a9"/>
            <w:rFonts w:asciiTheme="minorEastAsia" w:eastAsiaTheme="minorEastAsia" w:hAnsiTheme="minorEastAsia"/>
            <w:color w:val="auto"/>
            <w:sz w:val="24"/>
            <w:szCs w:val="24"/>
            <w:u w:val="none"/>
          </w:rPr>
          <w:t>www.dongcaijijin.com</w:t>
        </w:r>
      </w:hyperlink>
    </w:p>
    <w:p w:rsidR="00FD686E"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、光大证券股份有限公司</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：95525</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网址：</w:t>
      </w:r>
      <w:r>
        <w:rPr>
          <w:rFonts w:asciiTheme="minorEastAsia" w:eastAsiaTheme="minorEastAsia" w:hAnsiTheme="minorEastAsia"/>
          <w:sz w:val="24"/>
          <w:szCs w:val="24"/>
        </w:rPr>
        <w:t>www.ebscn.com</w:t>
      </w:r>
    </w:p>
    <w:p w:rsidR="00FD686E" w:rsidRDefault="00FD686E">
      <w:pPr>
        <w:autoSpaceDE w:val="0"/>
        <w:autoSpaceDN w:val="0"/>
        <w:adjustRightInd w:val="0"/>
        <w:spacing w:line="360" w:lineRule="auto"/>
        <w:ind w:firstLineChars="200" w:firstLine="480"/>
        <w:jc w:val="left"/>
        <w:rPr>
          <w:rFonts w:asciiTheme="minorEastAsia" w:eastAsiaTheme="minorEastAsia" w:hAnsiTheme="minorEastAsia"/>
          <w:sz w:val="24"/>
          <w:szCs w:val="24"/>
        </w:rPr>
      </w:pPr>
    </w:p>
    <w:p w:rsidR="00FD686E" w:rsidRDefault="00FD686E">
      <w:pPr>
        <w:autoSpaceDE w:val="0"/>
        <w:autoSpaceDN w:val="0"/>
        <w:adjustRightInd w:val="0"/>
        <w:spacing w:line="360" w:lineRule="auto"/>
        <w:jc w:val="left"/>
        <w:rPr>
          <w:rFonts w:asciiTheme="minorEastAsia" w:eastAsiaTheme="minorEastAsia" w:hAnsiTheme="minorEastAsia"/>
          <w:sz w:val="24"/>
          <w:szCs w:val="24"/>
        </w:rPr>
      </w:pPr>
    </w:p>
    <w:p w:rsidR="00FD686E" w:rsidRDefault="00A24577">
      <w:pPr>
        <w:autoSpaceDE w:val="0"/>
        <w:autoSpaceDN w:val="0"/>
        <w:adjustRightInd w:val="0"/>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风险提示：</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基金管理人承诺以诚实信用、勤勉尽责的原则管理和运用基金资产，但并不保证基金一定盈利，也不保证最低收益。</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指数历史业绩不预示指数未来表现，也不代表本基金的未来业绩表现。我国基金运作时间较短，不能反映证券市场发展的所有阶段。基</w:t>
      </w:r>
      <w:bookmarkStart w:id="0" w:name="_GoBack"/>
      <w:bookmarkEnd w:id="0"/>
      <w:r>
        <w:rPr>
          <w:rFonts w:asciiTheme="minorEastAsia" w:eastAsiaTheme="minorEastAsia" w:hAnsiTheme="minorEastAsia" w:hint="eastAsia"/>
          <w:sz w:val="24"/>
          <w:szCs w:val="24"/>
        </w:rPr>
        <w:t>金投资人在做出投资决策后，基金运营状况与基金净值波动变化引致的投资风险由投资人自行负担。</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基金投资人在做出投资决策前，请务必详细阅读该基金相关的《基金合同》、《招募说明书》、《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如基金投资人开立基金账户时提供的相关信息发生重要变化，可能影响风险承受能力评价结果，请及时告知基金销售机构并更新风险承受能力测评结果。</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基金有风险，投资需谨慎。</w:t>
      </w:r>
    </w:p>
    <w:p w:rsidR="00FD686E"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FD686E" w:rsidRDefault="00FD686E">
      <w:pPr>
        <w:autoSpaceDE w:val="0"/>
        <w:autoSpaceDN w:val="0"/>
        <w:adjustRightInd w:val="0"/>
        <w:spacing w:line="360" w:lineRule="auto"/>
        <w:ind w:firstLineChars="200" w:firstLine="480"/>
        <w:jc w:val="left"/>
        <w:rPr>
          <w:rFonts w:asciiTheme="minorEastAsia" w:eastAsiaTheme="minorEastAsia" w:hAnsiTheme="minorEastAsia"/>
          <w:sz w:val="24"/>
          <w:szCs w:val="24"/>
        </w:rPr>
      </w:pPr>
    </w:p>
    <w:p w:rsidR="00FD686E" w:rsidRDefault="00FD686E">
      <w:pPr>
        <w:autoSpaceDE w:val="0"/>
        <w:autoSpaceDN w:val="0"/>
        <w:adjustRightInd w:val="0"/>
        <w:spacing w:line="360" w:lineRule="auto"/>
        <w:ind w:firstLineChars="200" w:firstLine="480"/>
        <w:jc w:val="left"/>
        <w:rPr>
          <w:rFonts w:asciiTheme="minorEastAsia" w:eastAsiaTheme="minorEastAsia" w:hAnsiTheme="minorEastAsia"/>
          <w:sz w:val="24"/>
          <w:szCs w:val="24"/>
        </w:rPr>
      </w:pPr>
    </w:p>
    <w:p w:rsidR="00FD686E" w:rsidRDefault="00A24577">
      <w:pPr>
        <w:autoSpaceDE w:val="0"/>
        <w:autoSpaceDN w:val="0"/>
        <w:adjustRightInd w:val="0"/>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西藏</w:t>
      </w:r>
      <w:r>
        <w:rPr>
          <w:rFonts w:asciiTheme="minorEastAsia" w:eastAsiaTheme="minorEastAsia" w:hAnsiTheme="minorEastAsia"/>
          <w:sz w:val="24"/>
          <w:szCs w:val="24"/>
        </w:rPr>
        <w:t>东财基金管理有限公司</w:t>
      </w:r>
    </w:p>
    <w:p w:rsidR="00FD686E" w:rsidRDefault="00A24577">
      <w:pPr>
        <w:wordWrap w:val="0"/>
        <w:autoSpaceDE w:val="0"/>
        <w:autoSpaceDN w:val="0"/>
        <w:adjustRightInd w:val="0"/>
        <w:spacing w:line="360" w:lineRule="auto"/>
        <w:ind w:right="520"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w:t>
      </w:r>
      <w:r>
        <w:rPr>
          <w:rFonts w:asciiTheme="minorEastAsia" w:eastAsiaTheme="minorEastAsia" w:hAnsiTheme="minorEastAsia" w:hint="eastAsia"/>
          <w:sz w:val="24"/>
          <w:szCs w:val="24"/>
        </w:rPr>
        <w:t>20年12月5日</w:t>
      </w:r>
    </w:p>
    <w:p w:rsidR="00FD686E" w:rsidRDefault="00FD686E">
      <w:pPr>
        <w:rPr>
          <w:rFonts w:asciiTheme="minorEastAsia" w:eastAsiaTheme="minorEastAsia" w:hAnsiTheme="minorEastAsia"/>
        </w:rPr>
      </w:pPr>
    </w:p>
    <w:sectPr w:rsidR="00FD686E" w:rsidSect="00632B41">
      <w:pgSz w:w="11906" w:h="16838"/>
      <w:pgMar w:top="1440" w:right="1800" w:bottom="1440" w:left="180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7A" w:rsidRDefault="00AA5F7A" w:rsidP="00AA5F7A">
      <w:r>
        <w:separator/>
      </w:r>
    </w:p>
  </w:endnote>
  <w:endnote w:type="continuationSeparator" w:id="0">
    <w:p w:rsidR="00AA5F7A" w:rsidRDefault="00AA5F7A" w:rsidP="00AA5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7A" w:rsidRDefault="00AA5F7A" w:rsidP="00AA5F7A">
      <w:r>
        <w:separator/>
      </w:r>
    </w:p>
  </w:footnote>
  <w:footnote w:type="continuationSeparator" w:id="0">
    <w:p w:rsidR="00AA5F7A" w:rsidRDefault="00AA5F7A" w:rsidP="00AA5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7E01"/>
    <w:multiLevelType w:val="multilevel"/>
    <w:tmpl w:val="6C717E0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5CB"/>
    <w:rsid w:val="00007301"/>
    <w:rsid w:val="000144E7"/>
    <w:rsid w:val="00022376"/>
    <w:rsid w:val="00033115"/>
    <w:rsid w:val="000356F7"/>
    <w:rsid w:val="00040237"/>
    <w:rsid w:val="000508D6"/>
    <w:rsid w:val="0005157B"/>
    <w:rsid w:val="00062AC1"/>
    <w:rsid w:val="0009132D"/>
    <w:rsid w:val="0009278A"/>
    <w:rsid w:val="000955E7"/>
    <w:rsid w:val="000A6D26"/>
    <w:rsid w:val="000D7CCC"/>
    <w:rsid w:val="000E4087"/>
    <w:rsid w:val="0010254C"/>
    <w:rsid w:val="00102835"/>
    <w:rsid w:val="001049F7"/>
    <w:rsid w:val="00136134"/>
    <w:rsid w:val="00146DB3"/>
    <w:rsid w:val="00151039"/>
    <w:rsid w:val="00151830"/>
    <w:rsid w:val="00152CC9"/>
    <w:rsid w:val="00163310"/>
    <w:rsid w:val="00163C82"/>
    <w:rsid w:val="001735CB"/>
    <w:rsid w:val="00184198"/>
    <w:rsid w:val="001847F0"/>
    <w:rsid w:val="001851DB"/>
    <w:rsid w:val="00187CDF"/>
    <w:rsid w:val="0019026C"/>
    <w:rsid w:val="0019160B"/>
    <w:rsid w:val="001A2DE1"/>
    <w:rsid w:val="001B4B3C"/>
    <w:rsid w:val="001B6CC5"/>
    <w:rsid w:val="001C090E"/>
    <w:rsid w:val="001D102E"/>
    <w:rsid w:val="001D1389"/>
    <w:rsid w:val="001E2674"/>
    <w:rsid w:val="0022508B"/>
    <w:rsid w:val="00237DD2"/>
    <w:rsid w:val="00255A27"/>
    <w:rsid w:val="00261157"/>
    <w:rsid w:val="00282CA2"/>
    <w:rsid w:val="00284802"/>
    <w:rsid w:val="00286017"/>
    <w:rsid w:val="00287AFA"/>
    <w:rsid w:val="00293C62"/>
    <w:rsid w:val="00296B9B"/>
    <w:rsid w:val="00297789"/>
    <w:rsid w:val="002A1F44"/>
    <w:rsid w:val="002A62E5"/>
    <w:rsid w:val="002B7549"/>
    <w:rsid w:val="002C7729"/>
    <w:rsid w:val="002D6FD5"/>
    <w:rsid w:val="002D78E1"/>
    <w:rsid w:val="002E33AE"/>
    <w:rsid w:val="002F018B"/>
    <w:rsid w:val="002F395F"/>
    <w:rsid w:val="002F6934"/>
    <w:rsid w:val="002F7DBC"/>
    <w:rsid w:val="003061D2"/>
    <w:rsid w:val="00315AF7"/>
    <w:rsid w:val="003170F5"/>
    <w:rsid w:val="00321AC3"/>
    <w:rsid w:val="00351F63"/>
    <w:rsid w:val="003644D6"/>
    <w:rsid w:val="0037591B"/>
    <w:rsid w:val="00382151"/>
    <w:rsid w:val="00385ABB"/>
    <w:rsid w:val="003867E0"/>
    <w:rsid w:val="00397AD5"/>
    <w:rsid w:val="003B1F49"/>
    <w:rsid w:val="003B5B31"/>
    <w:rsid w:val="003D35C5"/>
    <w:rsid w:val="003D6468"/>
    <w:rsid w:val="003E08A5"/>
    <w:rsid w:val="003F5348"/>
    <w:rsid w:val="004036E4"/>
    <w:rsid w:val="00403B07"/>
    <w:rsid w:val="004044AC"/>
    <w:rsid w:val="00406D82"/>
    <w:rsid w:val="00413337"/>
    <w:rsid w:val="00420AB5"/>
    <w:rsid w:val="0042716F"/>
    <w:rsid w:val="00436BBC"/>
    <w:rsid w:val="00454B10"/>
    <w:rsid w:val="00454B24"/>
    <w:rsid w:val="00482F13"/>
    <w:rsid w:val="004835BE"/>
    <w:rsid w:val="004A0D12"/>
    <w:rsid w:val="004D0846"/>
    <w:rsid w:val="004D230C"/>
    <w:rsid w:val="004D511F"/>
    <w:rsid w:val="004E03C3"/>
    <w:rsid w:val="004F70FF"/>
    <w:rsid w:val="00511DAB"/>
    <w:rsid w:val="00515C7B"/>
    <w:rsid w:val="00521DB9"/>
    <w:rsid w:val="00530D92"/>
    <w:rsid w:val="00542EE2"/>
    <w:rsid w:val="005443C4"/>
    <w:rsid w:val="00544AAA"/>
    <w:rsid w:val="00553F57"/>
    <w:rsid w:val="00572DE0"/>
    <w:rsid w:val="00591822"/>
    <w:rsid w:val="00595ACD"/>
    <w:rsid w:val="005C5AD8"/>
    <w:rsid w:val="005C6B22"/>
    <w:rsid w:val="005D49FA"/>
    <w:rsid w:val="005D5552"/>
    <w:rsid w:val="005D59A0"/>
    <w:rsid w:val="005E7664"/>
    <w:rsid w:val="005F27B9"/>
    <w:rsid w:val="00600C81"/>
    <w:rsid w:val="00615DB1"/>
    <w:rsid w:val="00632B41"/>
    <w:rsid w:val="00637E0F"/>
    <w:rsid w:val="00665F84"/>
    <w:rsid w:val="00674411"/>
    <w:rsid w:val="0067463B"/>
    <w:rsid w:val="00675D2F"/>
    <w:rsid w:val="00686E16"/>
    <w:rsid w:val="006911F7"/>
    <w:rsid w:val="006A2FD4"/>
    <w:rsid w:val="006A59BC"/>
    <w:rsid w:val="006A7CF6"/>
    <w:rsid w:val="006B443A"/>
    <w:rsid w:val="006C6542"/>
    <w:rsid w:val="006D090B"/>
    <w:rsid w:val="006E7E9D"/>
    <w:rsid w:val="006E7FCE"/>
    <w:rsid w:val="006F635B"/>
    <w:rsid w:val="007025D3"/>
    <w:rsid w:val="007076B8"/>
    <w:rsid w:val="0071728D"/>
    <w:rsid w:val="00722351"/>
    <w:rsid w:val="00733581"/>
    <w:rsid w:val="00737E0C"/>
    <w:rsid w:val="00740276"/>
    <w:rsid w:val="0075205B"/>
    <w:rsid w:val="0076114C"/>
    <w:rsid w:val="007729DB"/>
    <w:rsid w:val="007733C6"/>
    <w:rsid w:val="0077380D"/>
    <w:rsid w:val="00785E08"/>
    <w:rsid w:val="007A46FC"/>
    <w:rsid w:val="007A507B"/>
    <w:rsid w:val="007D0E19"/>
    <w:rsid w:val="007F0474"/>
    <w:rsid w:val="007F3C90"/>
    <w:rsid w:val="00802D2E"/>
    <w:rsid w:val="00810B65"/>
    <w:rsid w:val="00837175"/>
    <w:rsid w:val="00840FE3"/>
    <w:rsid w:val="0085541D"/>
    <w:rsid w:val="00857440"/>
    <w:rsid w:val="00863264"/>
    <w:rsid w:val="0087190A"/>
    <w:rsid w:val="00876801"/>
    <w:rsid w:val="008779FE"/>
    <w:rsid w:val="008961AF"/>
    <w:rsid w:val="008964E3"/>
    <w:rsid w:val="008A596B"/>
    <w:rsid w:val="008A5AD7"/>
    <w:rsid w:val="008B64B4"/>
    <w:rsid w:val="008C013D"/>
    <w:rsid w:val="008C0237"/>
    <w:rsid w:val="008E0332"/>
    <w:rsid w:val="008E16D7"/>
    <w:rsid w:val="008E46D9"/>
    <w:rsid w:val="008F04ED"/>
    <w:rsid w:val="008F177F"/>
    <w:rsid w:val="008F2AF6"/>
    <w:rsid w:val="008F54C9"/>
    <w:rsid w:val="008F5A36"/>
    <w:rsid w:val="00904D80"/>
    <w:rsid w:val="00925ED2"/>
    <w:rsid w:val="00931952"/>
    <w:rsid w:val="00936D86"/>
    <w:rsid w:val="00944B22"/>
    <w:rsid w:val="00980378"/>
    <w:rsid w:val="00983051"/>
    <w:rsid w:val="009837DF"/>
    <w:rsid w:val="009A26ED"/>
    <w:rsid w:val="009B45FE"/>
    <w:rsid w:val="009B5D76"/>
    <w:rsid w:val="009B61A1"/>
    <w:rsid w:val="009C23F2"/>
    <w:rsid w:val="009C5989"/>
    <w:rsid w:val="009C5C0B"/>
    <w:rsid w:val="009D3B33"/>
    <w:rsid w:val="009E1538"/>
    <w:rsid w:val="009F00B9"/>
    <w:rsid w:val="009F118C"/>
    <w:rsid w:val="009F1767"/>
    <w:rsid w:val="009F18CA"/>
    <w:rsid w:val="009F5759"/>
    <w:rsid w:val="00A0142A"/>
    <w:rsid w:val="00A027B2"/>
    <w:rsid w:val="00A02F28"/>
    <w:rsid w:val="00A0334F"/>
    <w:rsid w:val="00A123D2"/>
    <w:rsid w:val="00A21E32"/>
    <w:rsid w:val="00A22CD8"/>
    <w:rsid w:val="00A24577"/>
    <w:rsid w:val="00A26B84"/>
    <w:rsid w:val="00A30A77"/>
    <w:rsid w:val="00A66208"/>
    <w:rsid w:val="00A82356"/>
    <w:rsid w:val="00A850C5"/>
    <w:rsid w:val="00A8618E"/>
    <w:rsid w:val="00A925D6"/>
    <w:rsid w:val="00A929AC"/>
    <w:rsid w:val="00A96939"/>
    <w:rsid w:val="00A96B40"/>
    <w:rsid w:val="00AA5F7A"/>
    <w:rsid w:val="00AB45AD"/>
    <w:rsid w:val="00AB4AE0"/>
    <w:rsid w:val="00AC2E28"/>
    <w:rsid w:val="00AC33A7"/>
    <w:rsid w:val="00AC6DAE"/>
    <w:rsid w:val="00AD6D58"/>
    <w:rsid w:val="00AE0180"/>
    <w:rsid w:val="00AF02C9"/>
    <w:rsid w:val="00AF2AFC"/>
    <w:rsid w:val="00B00805"/>
    <w:rsid w:val="00B03FF8"/>
    <w:rsid w:val="00B06327"/>
    <w:rsid w:val="00B169C4"/>
    <w:rsid w:val="00B23104"/>
    <w:rsid w:val="00B24EFB"/>
    <w:rsid w:val="00B31EF5"/>
    <w:rsid w:val="00B34DEF"/>
    <w:rsid w:val="00B361AA"/>
    <w:rsid w:val="00B46943"/>
    <w:rsid w:val="00B510A3"/>
    <w:rsid w:val="00B52688"/>
    <w:rsid w:val="00B53770"/>
    <w:rsid w:val="00B54915"/>
    <w:rsid w:val="00B60871"/>
    <w:rsid w:val="00B64387"/>
    <w:rsid w:val="00B710F8"/>
    <w:rsid w:val="00B733C8"/>
    <w:rsid w:val="00B804BA"/>
    <w:rsid w:val="00B84155"/>
    <w:rsid w:val="00B9104D"/>
    <w:rsid w:val="00B966D8"/>
    <w:rsid w:val="00BA6F9B"/>
    <w:rsid w:val="00BA799A"/>
    <w:rsid w:val="00BB2F4B"/>
    <w:rsid w:val="00BC5CB1"/>
    <w:rsid w:val="00BD1C82"/>
    <w:rsid w:val="00BD1D1D"/>
    <w:rsid w:val="00BD4AC0"/>
    <w:rsid w:val="00BD4ADC"/>
    <w:rsid w:val="00BD4E99"/>
    <w:rsid w:val="00BE0A25"/>
    <w:rsid w:val="00BE7290"/>
    <w:rsid w:val="00C04B84"/>
    <w:rsid w:val="00C12DAE"/>
    <w:rsid w:val="00C2501A"/>
    <w:rsid w:val="00C3291A"/>
    <w:rsid w:val="00C349D0"/>
    <w:rsid w:val="00C535A2"/>
    <w:rsid w:val="00C62910"/>
    <w:rsid w:val="00CB2DBD"/>
    <w:rsid w:val="00CB42FB"/>
    <w:rsid w:val="00CC054C"/>
    <w:rsid w:val="00CC16B4"/>
    <w:rsid w:val="00CC2555"/>
    <w:rsid w:val="00CE53EB"/>
    <w:rsid w:val="00CF4C19"/>
    <w:rsid w:val="00CF4F55"/>
    <w:rsid w:val="00D01842"/>
    <w:rsid w:val="00D03CC5"/>
    <w:rsid w:val="00D0457D"/>
    <w:rsid w:val="00D23632"/>
    <w:rsid w:val="00D26BBA"/>
    <w:rsid w:val="00D336C6"/>
    <w:rsid w:val="00D479C5"/>
    <w:rsid w:val="00D578C2"/>
    <w:rsid w:val="00D62574"/>
    <w:rsid w:val="00D65119"/>
    <w:rsid w:val="00D660A1"/>
    <w:rsid w:val="00D90E5E"/>
    <w:rsid w:val="00D92DA9"/>
    <w:rsid w:val="00DA1FC2"/>
    <w:rsid w:val="00DB06D5"/>
    <w:rsid w:val="00DB39A2"/>
    <w:rsid w:val="00DB7537"/>
    <w:rsid w:val="00DC0BE3"/>
    <w:rsid w:val="00DC23E4"/>
    <w:rsid w:val="00DE1F1D"/>
    <w:rsid w:val="00DE7AC5"/>
    <w:rsid w:val="00DF674E"/>
    <w:rsid w:val="00E01B1E"/>
    <w:rsid w:val="00E104AB"/>
    <w:rsid w:val="00E249A4"/>
    <w:rsid w:val="00E362A0"/>
    <w:rsid w:val="00E46443"/>
    <w:rsid w:val="00E61BB2"/>
    <w:rsid w:val="00E71632"/>
    <w:rsid w:val="00E74494"/>
    <w:rsid w:val="00E80BF7"/>
    <w:rsid w:val="00E943D6"/>
    <w:rsid w:val="00E975B6"/>
    <w:rsid w:val="00EB202D"/>
    <w:rsid w:val="00EB412D"/>
    <w:rsid w:val="00EC10A9"/>
    <w:rsid w:val="00F13B63"/>
    <w:rsid w:val="00F242BA"/>
    <w:rsid w:val="00F35B86"/>
    <w:rsid w:val="00F372D0"/>
    <w:rsid w:val="00F45CCF"/>
    <w:rsid w:val="00F461E5"/>
    <w:rsid w:val="00F61D5C"/>
    <w:rsid w:val="00F71771"/>
    <w:rsid w:val="00F7450B"/>
    <w:rsid w:val="00F76492"/>
    <w:rsid w:val="00F84C0F"/>
    <w:rsid w:val="00F9201D"/>
    <w:rsid w:val="00FA16CB"/>
    <w:rsid w:val="00FC4AAD"/>
    <w:rsid w:val="00FD5926"/>
    <w:rsid w:val="00FD686E"/>
    <w:rsid w:val="04FB6CD9"/>
    <w:rsid w:val="62927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41"/>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32B41"/>
    <w:pPr>
      <w:jc w:val="left"/>
    </w:pPr>
  </w:style>
  <w:style w:type="paragraph" w:styleId="a4">
    <w:name w:val="Balloon Text"/>
    <w:basedOn w:val="a"/>
    <w:link w:val="Char0"/>
    <w:uiPriority w:val="99"/>
    <w:semiHidden/>
    <w:unhideWhenUsed/>
    <w:qFormat/>
    <w:rsid w:val="00632B41"/>
    <w:rPr>
      <w:sz w:val="18"/>
      <w:szCs w:val="18"/>
    </w:rPr>
  </w:style>
  <w:style w:type="paragraph" w:styleId="a5">
    <w:name w:val="footer"/>
    <w:basedOn w:val="a"/>
    <w:link w:val="Char1"/>
    <w:uiPriority w:val="99"/>
    <w:unhideWhenUsed/>
    <w:qFormat/>
    <w:rsid w:val="00632B41"/>
    <w:pPr>
      <w:tabs>
        <w:tab w:val="center" w:pos="4153"/>
        <w:tab w:val="right" w:pos="8306"/>
      </w:tabs>
      <w:snapToGrid w:val="0"/>
      <w:jc w:val="left"/>
    </w:pPr>
    <w:rPr>
      <w:sz w:val="18"/>
      <w:szCs w:val="18"/>
    </w:rPr>
  </w:style>
  <w:style w:type="paragraph" w:styleId="a6">
    <w:name w:val="header"/>
    <w:basedOn w:val="a"/>
    <w:link w:val="Char2"/>
    <w:uiPriority w:val="99"/>
    <w:unhideWhenUsed/>
    <w:rsid w:val="00632B4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32B41"/>
    <w:rPr>
      <w:b/>
      <w:bCs/>
    </w:rPr>
  </w:style>
  <w:style w:type="character" w:styleId="a8">
    <w:name w:val="FollowedHyperlink"/>
    <w:basedOn w:val="a0"/>
    <w:uiPriority w:val="99"/>
    <w:semiHidden/>
    <w:unhideWhenUsed/>
    <w:qFormat/>
    <w:rsid w:val="00632B41"/>
    <w:rPr>
      <w:color w:val="954F72" w:themeColor="followedHyperlink"/>
      <w:u w:val="single"/>
    </w:rPr>
  </w:style>
  <w:style w:type="character" w:styleId="a9">
    <w:name w:val="Hyperlink"/>
    <w:basedOn w:val="a0"/>
    <w:uiPriority w:val="99"/>
    <w:unhideWhenUsed/>
    <w:qFormat/>
    <w:rsid w:val="00632B41"/>
    <w:rPr>
      <w:color w:val="0563C1" w:themeColor="hyperlink"/>
      <w:u w:val="single"/>
    </w:rPr>
  </w:style>
  <w:style w:type="character" w:styleId="aa">
    <w:name w:val="annotation reference"/>
    <w:basedOn w:val="a0"/>
    <w:uiPriority w:val="99"/>
    <w:semiHidden/>
    <w:unhideWhenUsed/>
    <w:qFormat/>
    <w:rsid w:val="00632B41"/>
    <w:rPr>
      <w:sz w:val="21"/>
      <w:szCs w:val="21"/>
    </w:rPr>
  </w:style>
  <w:style w:type="character" w:customStyle="1" w:styleId="Char2">
    <w:name w:val="页眉 Char"/>
    <w:basedOn w:val="a0"/>
    <w:link w:val="a6"/>
    <w:uiPriority w:val="99"/>
    <w:qFormat/>
    <w:rsid w:val="00632B41"/>
    <w:rPr>
      <w:sz w:val="18"/>
      <w:szCs w:val="18"/>
    </w:rPr>
  </w:style>
  <w:style w:type="character" w:customStyle="1" w:styleId="Char1">
    <w:name w:val="页脚 Char"/>
    <w:basedOn w:val="a0"/>
    <w:link w:val="a5"/>
    <w:uiPriority w:val="99"/>
    <w:qFormat/>
    <w:rsid w:val="00632B41"/>
    <w:rPr>
      <w:sz w:val="18"/>
      <w:szCs w:val="18"/>
    </w:rPr>
  </w:style>
  <w:style w:type="paragraph" w:styleId="ab">
    <w:name w:val="List Paragraph"/>
    <w:basedOn w:val="a"/>
    <w:uiPriority w:val="34"/>
    <w:qFormat/>
    <w:rsid w:val="00632B41"/>
    <w:pPr>
      <w:widowControl w:val="0"/>
      <w:ind w:firstLineChars="200" w:firstLine="420"/>
    </w:pPr>
    <w:rPr>
      <w:rFonts w:asciiTheme="minorHAnsi" w:eastAsiaTheme="minorEastAsia" w:hAnsiTheme="minorHAnsi" w:cstheme="minorBidi"/>
      <w:kern w:val="2"/>
      <w:szCs w:val="22"/>
    </w:rPr>
  </w:style>
  <w:style w:type="character" w:customStyle="1" w:styleId="Char0">
    <w:name w:val="批注框文本 Char"/>
    <w:basedOn w:val="a0"/>
    <w:link w:val="a4"/>
    <w:uiPriority w:val="99"/>
    <w:semiHidden/>
    <w:qFormat/>
    <w:rsid w:val="00632B41"/>
    <w:rPr>
      <w:rFonts w:ascii="Calibri" w:eastAsia="宋体" w:hAnsi="Calibri" w:cs="宋体"/>
      <w:kern w:val="0"/>
      <w:sz w:val="18"/>
      <w:szCs w:val="18"/>
    </w:rPr>
  </w:style>
  <w:style w:type="paragraph" w:customStyle="1" w:styleId="1">
    <w:name w:val="修订1"/>
    <w:hidden/>
    <w:uiPriority w:val="99"/>
    <w:semiHidden/>
    <w:qFormat/>
    <w:rsid w:val="00632B41"/>
    <w:rPr>
      <w:rFonts w:ascii="Calibri" w:eastAsia="宋体" w:hAnsi="Calibri" w:cs="宋体"/>
      <w:sz w:val="21"/>
      <w:szCs w:val="21"/>
    </w:rPr>
  </w:style>
  <w:style w:type="paragraph" w:customStyle="1" w:styleId="Default">
    <w:name w:val="Default"/>
    <w:qFormat/>
    <w:rsid w:val="00632B41"/>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rsid w:val="00632B41"/>
    <w:rPr>
      <w:rFonts w:ascii="Calibri" w:eastAsia="宋体" w:hAnsi="Calibri" w:cs="宋体"/>
      <w:kern w:val="0"/>
      <w:szCs w:val="21"/>
    </w:rPr>
  </w:style>
  <w:style w:type="character" w:customStyle="1" w:styleId="Char3">
    <w:name w:val="批注主题 Char"/>
    <w:basedOn w:val="Char"/>
    <w:link w:val="a7"/>
    <w:uiPriority w:val="99"/>
    <w:semiHidden/>
    <w:rsid w:val="00632B41"/>
    <w:rPr>
      <w:rFonts w:ascii="Calibri" w:eastAsia="宋体" w:hAnsi="Calibri" w:cs="宋体"/>
      <w:b/>
      <w:bCs/>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ng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9B646-CBF8-4D7E-9ADF-060B3544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1346</Characters>
  <Application>Microsoft Office Word</Application>
  <DocSecurity>4</DocSecurity>
  <Lines>11</Lines>
  <Paragraphs>3</Paragraphs>
  <ScaleCrop>false</ScaleCrop>
  <Company>Microsoft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林东来</dc:creator>
  <cp:lastModifiedBy>ZHONGM</cp:lastModifiedBy>
  <cp:revision>2</cp:revision>
  <cp:lastPrinted>2020-05-09T08:15:00Z</cp:lastPrinted>
  <dcterms:created xsi:type="dcterms:W3CDTF">2020-12-04T16:00:00Z</dcterms:created>
  <dcterms:modified xsi:type="dcterms:W3CDTF">2020-12-04T16:00:00Z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