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6A" w:rsidRPr="00321D6A" w:rsidRDefault="00321D6A" w:rsidP="00321D6A">
      <w:pPr>
        <w:jc w:val="center"/>
        <w:rPr>
          <w:b/>
          <w:sz w:val="28"/>
        </w:rPr>
      </w:pPr>
      <w:r w:rsidRPr="00321D6A">
        <w:rPr>
          <w:rFonts w:hint="eastAsia"/>
          <w:b/>
          <w:sz w:val="28"/>
        </w:rPr>
        <w:t>长盛基金管理有限公司</w:t>
      </w:r>
    </w:p>
    <w:p w:rsidR="00321D6A" w:rsidRPr="00321D6A" w:rsidRDefault="00321D6A" w:rsidP="00321D6A">
      <w:pPr>
        <w:jc w:val="center"/>
        <w:rPr>
          <w:b/>
          <w:sz w:val="28"/>
        </w:rPr>
      </w:pPr>
      <w:r w:rsidRPr="00321D6A">
        <w:rPr>
          <w:rFonts w:hint="eastAsia"/>
          <w:b/>
          <w:sz w:val="28"/>
        </w:rPr>
        <w:t>关于长盛上证</w:t>
      </w:r>
      <w:r w:rsidRPr="00321D6A">
        <w:rPr>
          <w:rFonts w:hint="eastAsia"/>
          <w:b/>
          <w:sz w:val="28"/>
        </w:rPr>
        <w:t>50</w:t>
      </w:r>
      <w:r w:rsidRPr="00321D6A">
        <w:rPr>
          <w:rFonts w:hint="eastAsia"/>
          <w:b/>
          <w:sz w:val="28"/>
        </w:rPr>
        <w:t>指数证券投资基金（</w:t>
      </w:r>
      <w:r w:rsidRPr="00321D6A">
        <w:rPr>
          <w:rFonts w:hint="eastAsia"/>
          <w:b/>
          <w:sz w:val="28"/>
        </w:rPr>
        <w:t>LOF</w:t>
      </w:r>
      <w:r w:rsidRPr="00321D6A">
        <w:rPr>
          <w:rFonts w:hint="eastAsia"/>
          <w:b/>
          <w:sz w:val="28"/>
        </w:rPr>
        <w:t>）基金合同生效公告</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长盛基金管理有限公司（以下简称“本基金管理人”）于</w:t>
      </w:r>
      <w:r w:rsidRPr="00510ADD">
        <w:rPr>
          <w:rFonts w:asciiTheme="minorEastAsia" w:hAnsiTheme="minorEastAsia" w:cs="宋体" w:hint="eastAsia"/>
          <w:color w:val="333333"/>
          <w:kern w:val="0"/>
          <w:sz w:val="24"/>
          <w:szCs w:val="24"/>
        </w:rPr>
        <w:t>2020年9月28日至2020年10月28日</w:t>
      </w:r>
      <w:r w:rsidRPr="00321D6A">
        <w:rPr>
          <w:rFonts w:asciiTheme="minorEastAsia" w:hAnsiTheme="minorEastAsia" w:cs="宋体" w:hint="eastAsia"/>
          <w:color w:val="333333"/>
          <w:kern w:val="0"/>
          <w:sz w:val="24"/>
          <w:szCs w:val="24"/>
        </w:rPr>
        <w:t>期间以通讯方式召开了长盛上证50指数分级证券投资基金的基金份额持有人大会，审议了《关于长盛上证50指数分级证券投资基金转型有关事项的议案》（以下简称“议案”），并于</w:t>
      </w:r>
      <w:r w:rsidRPr="00510ADD">
        <w:rPr>
          <w:rFonts w:asciiTheme="minorEastAsia" w:hAnsiTheme="minorEastAsia" w:cs="宋体" w:hint="eastAsia"/>
          <w:color w:val="333333"/>
          <w:kern w:val="0"/>
          <w:sz w:val="24"/>
          <w:szCs w:val="24"/>
        </w:rPr>
        <w:t>2020年10月29日</w:t>
      </w:r>
      <w:r w:rsidRPr="00321D6A">
        <w:rPr>
          <w:rFonts w:asciiTheme="minorEastAsia" w:hAnsiTheme="minorEastAsia" w:cs="宋体" w:hint="eastAsia"/>
          <w:color w:val="333333"/>
          <w:kern w:val="0"/>
          <w:sz w:val="24"/>
          <w:szCs w:val="24"/>
        </w:rPr>
        <w:t>获得表决通过，自该日起持有人大会决议生效。本基金管理人已于</w:t>
      </w:r>
      <w:r w:rsidRPr="00510ADD">
        <w:rPr>
          <w:rFonts w:asciiTheme="minorEastAsia" w:hAnsiTheme="minorEastAsia" w:cs="宋体" w:hint="eastAsia"/>
          <w:color w:val="333333"/>
          <w:kern w:val="0"/>
          <w:sz w:val="24"/>
          <w:szCs w:val="24"/>
        </w:rPr>
        <w:t>2020年10月30日发布</w:t>
      </w:r>
      <w:r>
        <w:rPr>
          <w:rFonts w:asciiTheme="minorEastAsia" w:hAnsiTheme="minorEastAsia" w:cs="宋体" w:hint="eastAsia"/>
          <w:color w:val="333333"/>
          <w:kern w:val="0"/>
          <w:sz w:val="24"/>
          <w:szCs w:val="24"/>
        </w:rPr>
        <w:t>了</w:t>
      </w:r>
      <w:r w:rsidRPr="00510ADD">
        <w:rPr>
          <w:rFonts w:asciiTheme="minorEastAsia" w:hAnsiTheme="minorEastAsia" w:cs="宋体" w:hint="eastAsia"/>
          <w:color w:val="333333"/>
          <w:kern w:val="0"/>
          <w:sz w:val="24"/>
          <w:szCs w:val="24"/>
        </w:rPr>
        <w:t>《关于长盛上证50指数分级证券投资基金基金份额持有人大会表决结果暨决议生效的公告》</w:t>
      </w:r>
      <w:r w:rsidRPr="00321D6A">
        <w:rPr>
          <w:rFonts w:asciiTheme="minorEastAsia" w:hAnsiTheme="minorEastAsia" w:cs="宋体" w:hint="eastAsia"/>
          <w:color w:val="333333"/>
          <w:kern w:val="0"/>
          <w:sz w:val="24"/>
          <w:szCs w:val="24"/>
        </w:rPr>
        <w:t>、《关于长盛上证50指数分级证券投资基金实施转型的提示性公告》。</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本基金管理人根据上述公告实施基金的正式转型，已将《长盛上证50指数分级证券投资基金基金合同》、《长盛上证50指数分级证券投资基金托管协议》分别修订为《长盛上证50指数证券投资基金（LOF）基金合同》、《长盛上证50指数证券投资基金（LOF）托管协议》，并据此</w:t>
      </w:r>
      <w:r w:rsidR="008A35FE">
        <w:rPr>
          <w:rFonts w:asciiTheme="minorEastAsia" w:hAnsiTheme="minorEastAsia" w:cs="宋体" w:hint="eastAsia"/>
          <w:color w:val="333333"/>
          <w:kern w:val="0"/>
          <w:sz w:val="24"/>
          <w:szCs w:val="24"/>
        </w:rPr>
        <w:t>制作</w:t>
      </w:r>
      <w:r w:rsidRPr="00321D6A">
        <w:rPr>
          <w:rFonts w:asciiTheme="minorEastAsia" w:hAnsiTheme="minorEastAsia" w:cs="宋体" w:hint="eastAsia"/>
          <w:color w:val="333333"/>
          <w:kern w:val="0"/>
          <w:sz w:val="24"/>
          <w:szCs w:val="24"/>
        </w:rPr>
        <w:t>了《长盛上证50指数证券投资基金（LOF）招募说明书》。</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自2020年</w:t>
      </w:r>
      <w:r>
        <w:rPr>
          <w:rFonts w:asciiTheme="minorEastAsia" w:hAnsiTheme="minorEastAsia" w:cs="宋体" w:hint="eastAsia"/>
          <w:color w:val="333333"/>
          <w:kern w:val="0"/>
          <w:sz w:val="24"/>
          <w:szCs w:val="24"/>
        </w:rPr>
        <w:t>12</w:t>
      </w:r>
      <w:r w:rsidRPr="00321D6A">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4</w:t>
      </w:r>
      <w:r w:rsidRPr="00321D6A">
        <w:rPr>
          <w:rFonts w:asciiTheme="minorEastAsia" w:hAnsiTheme="minorEastAsia" w:cs="宋体" w:hint="eastAsia"/>
          <w:color w:val="333333"/>
          <w:kern w:val="0"/>
          <w:sz w:val="24"/>
          <w:szCs w:val="24"/>
        </w:rPr>
        <w:t>日起，《长盛上证50指数证券投资基金（LOF）基金合同》、《长盛上证50指数证券投资基金（LOF）托管协议》正式生效，</w:t>
      </w:r>
      <w:r w:rsidR="008A35FE">
        <w:rPr>
          <w:rFonts w:asciiTheme="minorEastAsia" w:hAnsiTheme="minorEastAsia" w:cs="宋体" w:hint="eastAsia"/>
          <w:color w:val="333333"/>
          <w:kern w:val="0"/>
          <w:sz w:val="24"/>
          <w:szCs w:val="24"/>
        </w:rPr>
        <w:t>原</w:t>
      </w:r>
      <w:r w:rsidRPr="00321D6A">
        <w:rPr>
          <w:rFonts w:asciiTheme="minorEastAsia" w:hAnsiTheme="minorEastAsia" w:cs="宋体" w:hint="eastAsia"/>
          <w:color w:val="333333"/>
          <w:kern w:val="0"/>
          <w:sz w:val="24"/>
          <w:szCs w:val="24"/>
        </w:rPr>
        <w:t>《长盛上证50指数分级证券投资基金基金合同》、《长盛上证50指数分级证券投资基金托管协议》同日失效。</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转型后的长盛上证50指数证券投资基金（LOF）基金简称为“长盛上证50指数（LOF）”，场内简称为“</w:t>
      </w:r>
      <w:r w:rsidR="005507C0" w:rsidRPr="005507C0">
        <w:rPr>
          <w:rFonts w:asciiTheme="minorEastAsia" w:hAnsiTheme="minorEastAsia" w:cs="宋体" w:hint="eastAsia"/>
          <w:color w:val="333333"/>
          <w:kern w:val="0"/>
          <w:sz w:val="24"/>
          <w:szCs w:val="24"/>
        </w:rPr>
        <w:t>上50LOF</w:t>
      </w:r>
      <w:r w:rsidR="008E3A01" w:rsidRPr="00321D6A">
        <w:rPr>
          <w:rFonts w:asciiTheme="minorEastAsia" w:hAnsiTheme="minorEastAsia" w:cs="宋体" w:hint="eastAsia"/>
          <w:color w:val="333333"/>
          <w:kern w:val="0"/>
          <w:sz w:val="24"/>
          <w:szCs w:val="24"/>
        </w:rPr>
        <w:t>”，扩位简称为“</w:t>
      </w:r>
      <w:r w:rsidR="005507C0" w:rsidRPr="003D14A0">
        <w:rPr>
          <w:rFonts w:asciiTheme="minorEastAsia" w:hAnsiTheme="minorEastAsia" w:cs="宋体" w:hint="eastAsia"/>
          <w:color w:val="333333"/>
          <w:kern w:val="0"/>
          <w:sz w:val="24"/>
          <w:szCs w:val="24"/>
        </w:rPr>
        <w:t>上证50LOF基金</w:t>
      </w:r>
      <w:r w:rsidRPr="00321D6A">
        <w:rPr>
          <w:rFonts w:asciiTheme="minorEastAsia" w:hAnsiTheme="minorEastAsia" w:cs="宋体" w:hint="eastAsia"/>
          <w:color w:val="333333"/>
          <w:kern w:val="0"/>
          <w:sz w:val="24"/>
          <w:szCs w:val="24"/>
        </w:rPr>
        <w:t>”，基金主代码为“502</w:t>
      </w:r>
      <w:r w:rsidR="000046EF">
        <w:rPr>
          <w:rFonts w:asciiTheme="minorEastAsia" w:hAnsiTheme="minorEastAsia" w:cs="宋体" w:hint="eastAsia"/>
          <w:color w:val="333333"/>
          <w:kern w:val="0"/>
          <w:sz w:val="24"/>
          <w:szCs w:val="24"/>
        </w:rPr>
        <w:t>040</w:t>
      </w:r>
      <w:r w:rsidRPr="00321D6A">
        <w:rPr>
          <w:rFonts w:asciiTheme="minorEastAsia" w:hAnsiTheme="minorEastAsia" w:cs="宋体" w:hint="eastAsia"/>
          <w:color w:val="333333"/>
          <w:kern w:val="0"/>
          <w:sz w:val="24"/>
          <w:szCs w:val="24"/>
        </w:rPr>
        <w:t>”。</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重要提示：</w:t>
      </w:r>
      <w:bookmarkStart w:id="0" w:name="_GoBack"/>
      <w:bookmarkEnd w:id="0"/>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1.</w:t>
      </w:r>
      <w:r w:rsidR="005507C0" w:rsidRPr="005507C0">
        <w:rPr>
          <w:rFonts w:asciiTheme="minorEastAsia" w:hAnsiTheme="minorEastAsia" w:cs="宋体" w:hint="eastAsia"/>
          <w:color w:val="333333"/>
          <w:kern w:val="0"/>
          <w:sz w:val="24"/>
          <w:szCs w:val="24"/>
        </w:rPr>
        <w:t>根据中国证券登记结算有限责任公司的有关业务规则，</w:t>
      </w:r>
      <w:r w:rsidR="00AF3975">
        <w:rPr>
          <w:rFonts w:asciiTheme="minorEastAsia" w:hAnsiTheme="minorEastAsia" w:cs="宋体" w:hint="eastAsia"/>
          <w:color w:val="333333"/>
          <w:kern w:val="0"/>
          <w:sz w:val="24"/>
          <w:szCs w:val="24"/>
        </w:rPr>
        <w:t>原持有</w:t>
      </w:r>
      <w:r w:rsidR="005507C0" w:rsidRPr="005507C0">
        <w:rPr>
          <w:rFonts w:asciiTheme="minorEastAsia" w:hAnsiTheme="minorEastAsia" w:cs="宋体" w:hint="eastAsia"/>
          <w:color w:val="333333"/>
          <w:kern w:val="0"/>
          <w:sz w:val="24"/>
          <w:szCs w:val="24"/>
        </w:rPr>
        <w:t>长盛上证50A份额和长盛上证50B份额基金份额持有人持有的折算后</w:t>
      </w:r>
      <w:r w:rsidR="005507C0" w:rsidRPr="00321D6A">
        <w:rPr>
          <w:rFonts w:asciiTheme="minorEastAsia" w:hAnsiTheme="minorEastAsia" w:cs="宋体" w:hint="eastAsia"/>
          <w:color w:val="333333"/>
          <w:kern w:val="0"/>
          <w:sz w:val="24"/>
          <w:szCs w:val="24"/>
        </w:rPr>
        <w:t>长盛上证50指数（LOF）</w:t>
      </w:r>
      <w:r w:rsidR="005507C0">
        <w:rPr>
          <w:rFonts w:asciiTheme="minorEastAsia" w:hAnsiTheme="minorEastAsia" w:cs="宋体" w:hint="eastAsia"/>
          <w:color w:val="333333"/>
          <w:kern w:val="0"/>
          <w:sz w:val="24"/>
          <w:szCs w:val="24"/>
        </w:rPr>
        <w:t>份额</w:t>
      </w:r>
      <w:r w:rsidR="005507C0" w:rsidRPr="005507C0">
        <w:rPr>
          <w:rFonts w:asciiTheme="minorEastAsia" w:hAnsiTheme="minorEastAsia" w:cs="宋体" w:hint="eastAsia"/>
          <w:color w:val="333333"/>
          <w:kern w:val="0"/>
          <w:sz w:val="24"/>
          <w:szCs w:val="24"/>
        </w:rPr>
        <w:t>持有期自</w:t>
      </w:r>
      <w:r w:rsidR="005507C0" w:rsidRPr="003D14A0">
        <w:rPr>
          <w:rFonts w:asciiTheme="minorEastAsia" w:hAnsiTheme="minorEastAsia" w:cs="宋体" w:hint="eastAsia"/>
          <w:color w:val="333333"/>
          <w:kern w:val="0"/>
          <w:sz w:val="24"/>
          <w:szCs w:val="24"/>
        </w:rPr>
        <w:t>2020年12月</w:t>
      </w:r>
      <w:r w:rsidR="003D14A0" w:rsidRPr="003D14A0">
        <w:rPr>
          <w:rFonts w:asciiTheme="minorEastAsia" w:hAnsiTheme="minorEastAsia" w:cs="宋体" w:hint="eastAsia"/>
          <w:color w:val="333333"/>
          <w:kern w:val="0"/>
          <w:sz w:val="24"/>
          <w:szCs w:val="24"/>
        </w:rPr>
        <w:t>2</w:t>
      </w:r>
      <w:r w:rsidR="005507C0" w:rsidRPr="003D14A0">
        <w:rPr>
          <w:rFonts w:asciiTheme="minorEastAsia" w:hAnsiTheme="minorEastAsia" w:cs="宋体" w:hint="eastAsia"/>
          <w:color w:val="333333"/>
          <w:kern w:val="0"/>
          <w:sz w:val="24"/>
          <w:szCs w:val="24"/>
        </w:rPr>
        <w:t>日</w:t>
      </w:r>
      <w:r w:rsidR="005507C0" w:rsidRPr="005507C0">
        <w:rPr>
          <w:rFonts w:asciiTheme="minorEastAsia" w:hAnsiTheme="minorEastAsia" w:cs="宋体" w:hint="eastAsia"/>
          <w:color w:val="333333"/>
          <w:kern w:val="0"/>
          <w:sz w:val="24"/>
          <w:szCs w:val="24"/>
        </w:rPr>
        <w:t>起计算。如果赎回份额时持有期较短，基金份额持有人将承担较高的赎回费。</w:t>
      </w:r>
    </w:p>
    <w:p w:rsidR="00321D6A" w:rsidRPr="00321D6A" w:rsidRDefault="000046EF"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w:t>
      </w:r>
      <w:r w:rsidR="00321D6A" w:rsidRPr="00321D6A">
        <w:rPr>
          <w:rFonts w:asciiTheme="minorEastAsia" w:hAnsiTheme="minorEastAsia" w:cs="宋体" w:hint="eastAsia"/>
          <w:color w:val="333333"/>
          <w:kern w:val="0"/>
          <w:sz w:val="24"/>
          <w:szCs w:val="24"/>
        </w:rPr>
        <w:t>.投资者如有任何疑问，可以致电本公司的客户服务电话（</w:t>
      </w:r>
      <w:r w:rsidR="00321D6A" w:rsidRPr="00321D6A">
        <w:rPr>
          <w:rFonts w:asciiTheme="minorEastAsia" w:hAnsiTheme="minorEastAsia" w:cs="宋体"/>
          <w:color w:val="333333"/>
          <w:kern w:val="0"/>
          <w:sz w:val="24"/>
          <w:szCs w:val="24"/>
        </w:rPr>
        <w:t>400-888-2666</w:t>
      </w:r>
      <w:r w:rsidR="00321D6A" w:rsidRPr="00321D6A">
        <w:rPr>
          <w:rFonts w:asciiTheme="minorEastAsia" w:hAnsiTheme="minorEastAsia" w:cs="宋体" w:hint="eastAsia"/>
          <w:color w:val="333333"/>
          <w:kern w:val="0"/>
          <w:sz w:val="24"/>
          <w:szCs w:val="24"/>
        </w:rPr>
        <w:t>）、登录本公司网站（www.csfunds.com.cn）获取相关信息。</w:t>
      </w:r>
    </w:p>
    <w:p w:rsidR="00321D6A" w:rsidRPr="00321D6A" w:rsidRDefault="000046EF"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lastRenderedPageBreak/>
        <w:t>3</w:t>
      </w:r>
      <w:r w:rsidR="00321D6A" w:rsidRPr="00321D6A">
        <w:rPr>
          <w:rFonts w:asciiTheme="minorEastAsia" w:hAnsiTheme="minorEastAsia" w:cs="宋体" w:hint="eastAsia"/>
          <w:color w:val="333333"/>
          <w:kern w:val="0"/>
          <w:sz w:val="24"/>
          <w:szCs w:val="24"/>
        </w:rPr>
        <w:t>.风险提示：基金管理人承诺以诚实信用、勤勉尽责的原则管理和运用基金资产，但不保证基金一定盈利，也不保证最低收益。</w:t>
      </w:r>
      <w:r w:rsidR="008A35FE" w:rsidRPr="008A35FE">
        <w:rPr>
          <w:rFonts w:asciiTheme="minorEastAsia" w:hAnsiTheme="minorEastAsia" w:cs="宋体" w:hint="eastAsia"/>
          <w:color w:val="333333"/>
          <w:kern w:val="0"/>
          <w:sz w:val="24"/>
          <w:szCs w:val="24"/>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产品。</w:t>
      </w:r>
      <w:r w:rsidR="00321D6A" w:rsidRPr="00321D6A">
        <w:rPr>
          <w:rFonts w:asciiTheme="minorEastAsia" w:hAnsiTheme="minorEastAsia" w:cs="宋体" w:hint="eastAsia"/>
          <w:color w:val="333333"/>
          <w:kern w:val="0"/>
          <w:sz w:val="24"/>
          <w:szCs w:val="24"/>
        </w:rPr>
        <w:t>基金的过往业绩并不代表其将来表现。投资有风险，敬请投资者认真阅读基金的相关法律文件，并选择适合自身风险承受能力的投资品种进行投资。敬请投资者注意投资风险。</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sidRPr="00321D6A">
        <w:rPr>
          <w:rFonts w:asciiTheme="minorEastAsia" w:hAnsiTheme="minorEastAsia" w:cs="宋体" w:hint="eastAsia"/>
          <w:color w:val="333333"/>
          <w:kern w:val="0"/>
          <w:sz w:val="24"/>
          <w:szCs w:val="24"/>
        </w:rPr>
        <w:t>特此公告。</w:t>
      </w:r>
    </w:p>
    <w:p w:rsidR="00321D6A" w:rsidRPr="00321D6A" w:rsidRDefault="00321D6A" w:rsidP="00321D6A">
      <w:pPr>
        <w:widowControl/>
        <w:shd w:val="clear" w:color="auto" w:fill="FFFFFF"/>
        <w:spacing w:line="360" w:lineRule="auto"/>
        <w:ind w:firstLineChars="200" w:firstLine="480"/>
        <w:jc w:val="left"/>
        <w:rPr>
          <w:rFonts w:asciiTheme="minorEastAsia" w:hAnsiTheme="minorEastAsia" w:cs="宋体"/>
          <w:color w:val="333333"/>
          <w:kern w:val="0"/>
          <w:sz w:val="24"/>
          <w:szCs w:val="24"/>
        </w:rPr>
      </w:pPr>
    </w:p>
    <w:p w:rsidR="00321D6A" w:rsidRPr="000046EF" w:rsidRDefault="00321D6A" w:rsidP="000046EF">
      <w:pPr>
        <w:widowControl/>
        <w:shd w:val="clear" w:color="auto" w:fill="FFFFFF"/>
        <w:spacing w:line="360" w:lineRule="auto"/>
        <w:ind w:firstLineChars="200" w:firstLine="480"/>
        <w:jc w:val="right"/>
        <w:rPr>
          <w:rFonts w:asciiTheme="minorEastAsia" w:hAnsiTheme="minorEastAsia" w:cs="宋体"/>
          <w:color w:val="333333"/>
          <w:kern w:val="0"/>
          <w:sz w:val="24"/>
          <w:szCs w:val="24"/>
        </w:rPr>
      </w:pPr>
      <w:r w:rsidRPr="000046EF">
        <w:rPr>
          <w:rFonts w:asciiTheme="minorEastAsia" w:hAnsiTheme="minorEastAsia" w:cs="宋体" w:hint="eastAsia"/>
          <w:color w:val="333333"/>
          <w:kern w:val="0"/>
          <w:sz w:val="24"/>
          <w:szCs w:val="24"/>
        </w:rPr>
        <w:t>长盛基金管理有限公司</w:t>
      </w:r>
    </w:p>
    <w:p w:rsidR="008A18C9" w:rsidRPr="000046EF" w:rsidRDefault="00321D6A" w:rsidP="000046EF">
      <w:pPr>
        <w:widowControl/>
        <w:shd w:val="clear" w:color="auto" w:fill="FFFFFF"/>
        <w:spacing w:line="360" w:lineRule="auto"/>
        <w:ind w:firstLineChars="200" w:firstLine="480"/>
        <w:jc w:val="right"/>
        <w:rPr>
          <w:rFonts w:asciiTheme="minorEastAsia" w:hAnsiTheme="minorEastAsia" w:cs="宋体"/>
          <w:color w:val="333333"/>
          <w:kern w:val="0"/>
          <w:sz w:val="24"/>
          <w:szCs w:val="24"/>
        </w:rPr>
      </w:pPr>
      <w:r w:rsidRPr="000046EF">
        <w:rPr>
          <w:rFonts w:asciiTheme="minorEastAsia" w:hAnsiTheme="minorEastAsia" w:cs="宋体" w:hint="eastAsia"/>
          <w:color w:val="333333"/>
          <w:kern w:val="0"/>
          <w:sz w:val="24"/>
          <w:szCs w:val="24"/>
        </w:rPr>
        <w:t>2020年</w:t>
      </w:r>
      <w:r w:rsidR="000046EF">
        <w:rPr>
          <w:rFonts w:asciiTheme="minorEastAsia" w:hAnsiTheme="minorEastAsia" w:cs="宋体" w:hint="eastAsia"/>
          <w:color w:val="333333"/>
          <w:kern w:val="0"/>
          <w:sz w:val="24"/>
          <w:szCs w:val="24"/>
        </w:rPr>
        <w:t>12</w:t>
      </w:r>
      <w:r w:rsidRPr="000046EF">
        <w:rPr>
          <w:rFonts w:asciiTheme="minorEastAsia" w:hAnsiTheme="minorEastAsia" w:cs="宋体" w:hint="eastAsia"/>
          <w:color w:val="333333"/>
          <w:kern w:val="0"/>
          <w:sz w:val="24"/>
          <w:szCs w:val="24"/>
        </w:rPr>
        <w:t>月</w:t>
      </w:r>
      <w:r w:rsidR="000046EF">
        <w:rPr>
          <w:rFonts w:asciiTheme="minorEastAsia" w:hAnsiTheme="minorEastAsia" w:cs="宋体" w:hint="eastAsia"/>
          <w:color w:val="333333"/>
          <w:kern w:val="0"/>
          <w:sz w:val="24"/>
          <w:szCs w:val="24"/>
        </w:rPr>
        <w:t>4</w:t>
      </w:r>
      <w:r w:rsidRPr="000046EF">
        <w:rPr>
          <w:rFonts w:asciiTheme="minorEastAsia" w:hAnsiTheme="minorEastAsia" w:cs="宋体" w:hint="eastAsia"/>
          <w:color w:val="333333"/>
          <w:kern w:val="0"/>
          <w:sz w:val="24"/>
          <w:szCs w:val="24"/>
        </w:rPr>
        <w:t>日</w:t>
      </w:r>
    </w:p>
    <w:sectPr w:rsidR="008A18C9" w:rsidRPr="000046EF" w:rsidSect="003C0B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12D7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0B" w:rsidRDefault="00DD760B" w:rsidP="008A35FE">
      <w:r>
        <w:separator/>
      </w:r>
    </w:p>
  </w:endnote>
  <w:endnote w:type="continuationSeparator" w:id="0">
    <w:p w:rsidR="00DD760B" w:rsidRDefault="00DD760B" w:rsidP="008A3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0B" w:rsidRDefault="00DD760B" w:rsidP="008A35FE">
      <w:r>
        <w:separator/>
      </w:r>
    </w:p>
  </w:footnote>
  <w:footnote w:type="continuationSeparator" w:id="0">
    <w:p w:rsidR="00DD760B" w:rsidRDefault="00DD760B" w:rsidP="008A35F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D6A"/>
    <w:rsid w:val="000046EF"/>
    <w:rsid w:val="00261A72"/>
    <w:rsid w:val="00321D6A"/>
    <w:rsid w:val="003A51B1"/>
    <w:rsid w:val="003C0B11"/>
    <w:rsid w:val="003D14A0"/>
    <w:rsid w:val="004076D0"/>
    <w:rsid w:val="005507C0"/>
    <w:rsid w:val="00571F33"/>
    <w:rsid w:val="005B7AAE"/>
    <w:rsid w:val="007A4F4B"/>
    <w:rsid w:val="007B7277"/>
    <w:rsid w:val="008262EF"/>
    <w:rsid w:val="008A18C9"/>
    <w:rsid w:val="008A35FE"/>
    <w:rsid w:val="008E3A01"/>
    <w:rsid w:val="00AF3975"/>
    <w:rsid w:val="00DD760B"/>
    <w:rsid w:val="00F01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5FE"/>
    <w:rPr>
      <w:sz w:val="18"/>
      <w:szCs w:val="18"/>
    </w:rPr>
  </w:style>
  <w:style w:type="paragraph" w:styleId="a4">
    <w:name w:val="footer"/>
    <w:basedOn w:val="a"/>
    <w:link w:val="Char0"/>
    <w:uiPriority w:val="99"/>
    <w:unhideWhenUsed/>
    <w:rsid w:val="008A35FE"/>
    <w:pPr>
      <w:tabs>
        <w:tab w:val="center" w:pos="4153"/>
        <w:tab w:val="right" w:pos="8306"/>
      </w:tabs>
      <w:snapToGrid w:val="0"/>
      <w:jc w:val="left"/>
    </w:pPr>
    <w:rPr>
      <w:sz w:val="18"/>
      <w:szCs w:val="18"/>
    </w:rPr>
  </w:style>
  <w:style w:type="character" w:customStyle="1" w:styleId="Char0">
    <w:name w:val="页脚 Char"/>
    <w:basedOn w:val="a0"/>
    <w:link w:val="a4"/>
    <w:uiPriority w:val="99"/>
    <w:rsid w:val="008A35FE"/>
    <w:rPr>
      <w:sz w:val="18"/>
      <w:szCs w:val="18"/>
    </w:rPr>
  </w:style>
  <w:style w:type="character" w:styleId="a5">
    <w:name w:val="annotation reference"/>
    <w:basedOn w:val="a0"/>
    <w:uiPriority w:val="99"/>
    <w:semiHidden/>
    <w:unhideWhenUsed/>
    <w:rsid w:val="008A35FE"/>
    <w:rPr>
      <w:sz w:val="21"/>
      <w:szCs w:val="21"/>
    </w:rPr>
  </w:style>
  <w:style w:type="paragraph" w:styleId="a6">
    <w:name w:val="annotation text"/>
    <w:basedOn w:val="a"/>
    <w:link w:val="Char1"/>
    <w:uiPriority w:val="99"/>
    <w:semiHidden/>
    <w:unhideWhenUsed/>
    <w:rsid w:val="008A35FE"/>
    <w:pPr>
      <w:jc w:val="left"/>
    </w:pPr>
  </w:style>
  <w:style w:type="character" w:customStyle="1" w:styleId="Char1">
    <w:name w:val="批注文字 Char"/>
    <w:basedOn w:val="a0"/>
    <w:link w:val="a6"/>
    <w:uiPriority w:val="99"/>
    <w:semiHidden/>
    <w:rsid w:val="008A35FE"/>
  </w:style>
  <w:style w:type="paragraph" w:styleId="a7">
    <w:name w:val="annotation subject"/>
    <w:basedOn w:val="a6"/>
    <w:next w:val="a6"/>
    <w:link w:val="Char2"/>
    <w:uiPriority w:val="99"/>
    <w:semiHidden/>
    <w:unhideWhenUsed/>
    <w:rsid w:val="008A35FE"/>
    <w:rPr>
      <w:b/>
      <w:bCs/>
    </w:rPr>
  </w:style>
  <w:style w:type="character" w:customStyle="1" w:styleId="Char2">
    <w:name w:val="批注主题 Char"/>
    <w:basedOn w:val="Char1"/>
    <w:link w:val="a7"/>
    <w:uiPriority w:val="99"/>
    <w:semiHidden/>
    <w:rsid w:val="008A35FE"/>
    <w:rPr>
      <w:b/>
      <w:bCs/>
    </w:rPr>
  </w:style>
  <w:style w:type="paragraph" w:styleId="a8">
    <w:name w:val="Balloon Text"/>
    <w:basedOn w:val="a"/>
    <w:link w:val="Char3"/>
    <w:uiPriority w:val="99"/>
    <w:semiHidden/>
    <w:unhideWhenUsed/>
    <w:rsid w:val="008A35FE"/>
    <w:rPr>
      <w:sz w:val="18"/>
      <w:szCs w:val="18"/>
    </w:rPr>
  </w:style>
  <w:style w:type="character" w:customStyle="1" w:styleId="Char3">
    <w:name w:val="批注框文本 Char"/>
    <w:basedOn w:val="a0"/>
    <w:link w:val="a8"/>
    <w:uiPriority w:val="99"/>
    <w:semiHidden/>
    <w:rsid w:val="008A35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5FE"/>
    <w:rPr>
      <w:sz w:val="18"/>
      <w:szCs w:val="18"/>
    </w:rPr>
  </w:style>
  <w:style w:type="paragraph" w:styleId="a4">
    <w:name w:val="footer"/>
    <w:basedOn w:val="a"/>
    <w:link w:val="Char0"/>
    <w:uiPriority w:val="99"/>
    <w:unhideWhenUsed/>
    <w:rsid w:val="008A35FE"/>
    <w:pPr>
      <w:tabs>
        <w:tab w:val="center" w:pos="4153"/>
        <w:tab w:val="right" w:pos="8306"/>
      </w:tabs>
      <w:snapToGrid w:val="0"/>
      <w:jc w:val="left"/>
    </w:pPr>
    <w:rPr>
      <w:sz w:val="18"/>
      <w:szCs w:val="18"/>
    </w:rPr>
  </w:style>
  <w:style w:type="character" w:customStyle="1" w:styleId="Char0">
    <w:name w:val="页脚 Char"/>
    <w:basedOn w:val="a0"/>
    <w:link w:val="a4"/>
    <w:uiPriority w:val="99"/>
    <w:rsid w:val="008A35FE"/>
    <w:rPr>
      <w:sz w:val="18"/>
      <w:szCs w:val="18"/>
    </w:rPr>
  </w:style>
  <w:style w:type="character" w:styleId="a5">
    <w:name w:val="annotation reference"/>
    <w:basedOn w:val="a0"/>
    <w:uiPriority w:val="99"/>
    <w:semiHidden/>
    <w:unhideWhenUsed/>
    <w:rsid w:val="008A35FE"/>
    <w:rPr>
      <w:sz w:val="21"/>
      <w:szCs w:val="21"/>
    </w:rPr>
  </w:style>
  <w:style w:type="paragraph" w:styleId="a6">
    <w:name w:val="annotation text"/>
    <w:basedOn w:val="a"/>
    <w:link w:val="Char1"/>
    <w:uiPriority w:val="99"/>
    <w:semiHidden/>
    <w:unhideWhenUsed/>
    <w:rsid w:val="008A35FE"/>
    <w:pPr>
      <w:jc w:val="left"/>
    </w:pPr>
  </w:style>
  <w:style w:type="character" w:customStyle="1" w:styleId="Char1">
    <w:name w:val="批注文字 Char"/>
    <w:basedOn w:val="a0"/>
    <w:link w:val="a6"/>
    <w:uiPriority w:val="99"/>
    <w:semiHidden/>
    <w:rsid w:val="008A35FE"/>
  </w:style>
  <w:style w:type="paragraph" w:styleId="a7">
    <w:name w:val="annotation subject"/>
    <w:basedOn w:val="a6"/>
    <w:next w:val="a6"/>
    <w:link w:val="Char2"/>
    <w:uiPriority w:val="99"/>
    <w:semiHidden/>
    <w:unhideWhenUsed/>
    <w:rsid w:val="008A35FE"/>
    <w:rPr>
      <w:b/>
      <w:bCs/>
    </w:rPr>
  </w:style>
  <w:style w:type="character" w:customStyle="1" w:styleId="Char2">
    <w:name w:val="批注主题 Char"/>
    <w:basedOn w:val="Char1"/>
    <w:link w:val="a7"/>
    <w:uiPriority w:val="99"/>
    <w:semiHidden/>
    <w:rsid w:val="008A35FE"/>
    <w:rPr>
      <w:b/>
      <w:bCs/>
    </w:rPr>
  </w:style>
  <w:style w:type="paragraph" w:styleId="a8">
    <w:name w:val="Balloon Text"/>
    <w:basedOn w:val="a"/>
    <w:link w:val="Char3"/>
    <w:uiPriority w:val="99"/>
    <w:semiHidden/>
    <w:unhideWhenUsed/>
    <w:rsid w:val="008A35FE"/>
    <w:rPr>
      <w:sz w:val="18"/>
      <w:szCs w:val="18"/>
    </w:rPr>
  </w:style>
  <w:style w:type="character" w:customStyle="1" w:styleId="Char3">
    <w:name w:val="批注框文本 Char"/>
    <w:basedOn w:val="a0"/>
    <w:link w:val="a8"/>
    <w:uiPriority w:val="99"/>
    <w:semiHidden/>
    <w:rsid w:val="008A35FE"/>
    <w:rPr>
      <w:sz w:val="18"/>
      <w:szCs w:val="18"/>
    </w:rPr>
  </w:style>
</w:styles>
</file>

<file path=word/webSettings.xml><?xml version="1.0" encoding="utf-8"?>
<w:webSettings xmlns:r="http://schemas.openxmlformats.org/officeDocument/2006/relationships" xmlns:w="http://schemas.openxmlformats.org/wordprocessingml/2006/main">
  <w:divs>
    <w:div w:id="19328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王宁宁</dc:creator>
  <cp:lastModifiedBy>ZHONGM</cp:lastModifiedBy>
  <cp:revision>2</cp:revision>
  <dcterms:created xsi:type="dcterms:W3CDTF">2020-12-03T16:00:00Z</dcterms:created>
  <dcterms:modified xsi:type="dcterms:W3CDTF">2020-12-03T16:00:00Z</dcterms:modified>
</cp:coreProperties>
</file>