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EB" w:rsidRPr="00B832BF" w:rsidRDefault="001420EB" w:rsidP="00CC37A0">
      <w:pPr>
        <w:widowControl/>
        <w:spacing w:line="555" w:lineRule="atLeast"/>
        <w:jc w:val="center"/>
        <w:outlineLvl w:val="0"/>
        <w:rPr>
          <w:rFonts w:ascii="黑体" w:eastAsia="黑体" w:hAnsi="宋体" w:cs="宋体"/>
          <w:color w:val="000000"/>
          <w:kern w:val="36"/>
          <w:sz w:val="30"/>
          <w:szCs w:val="30"/>
        </w:rPr>
      </w:pPr>
      <w:r w:rsidRPr="00B832BF">
        <w:rPr>
          <w:rFonts w:ascii="黑体" w:eastAsia="黑体" w:hAnsi="宋体" w:cs="宋体" w:hint="eastAsia"/>
          <w:color w:val="000000"/>
          <w:kern w:val="36"/>
          <w:sz w:val="30"/>
          <w:szCs w:val="30"/>
        </w:rPr>
        <w:t>富国基金管理有限公司关于旗下</w:t>
      </w:r>
      <w:r w:rsidR="00106014">
        <w:rPr>
          <w:rFonts w:ascii="黑体" w:eastAsia="黑体" w:hAnsi="宋体" w:cs="宋体" w:hint="eastAsia"/>
          <w:color w:val="000000"/>
          <w:kern w:val="36"/>
          <w:sz w:val="30"/>
          <w:szCs w:val="30"/>
        </w:rPr>
        <w:t>部分</w:t>
      </w:r>
      <w:r w:rsidR="00AB2340">
        <w:rPr>
          <w:rFonts w:ascii="黑体" w:eastAsia="黑体" w:hAnsi="宋体" w:cs="宋体" w:hint="eastAsia"/>
          <w:color w:val="000000"/>
          <w:kern w:val="36"/>
          <w:sz w:val="30"/>
          <w:szCs w:val="30"/>
        </w:rPr>
        <w:t>证券投资</w:t>
      </w:r>
      <w:r w:rsidRPr="00B832BF">
        <w:rPr>
          <w:rFonts w:ascii="黑体" w:eastAsia="黑体" w:hAnsi="宋体" w:cs="宋体" w:hint="eastAsia"/>
          <w:color w:val="000000"/>
          <w:kern w:val="36"/>
          <w:sz w:val="30"/>
          <w:szCs w:val="30"/>
        </w:rPr>
        <w:t>基金投资非公开发行股票的公告</w:t>
      </w:r>
    </w:p>
    <w:p w:rsidR="001420EB" w:rsidRPr="00F862D6" w:rsidRDefault="001420EB" w:rsidP="00B644CA">
      <w:pPr>
        <w:pStyle w:val="Default"/>
        <w:spacing w:line="360" w:lineRule="auto"/>
        <w:ind w:firstLineChars="200" w:firstLine="480"/>
        <w:rPr>
          <w:rFonts w:ascii="宋体" w:eastAsia="宋体" w:hAnsi="宋体" w:cs="宋体"/>
          <w:color w:val="auto"/>
        </w:rPr>
      </w:pPr>
      <w:r w:rsidRPr="00611390">
        <w:rPr>
          <w:rFonts w:ascii="宋体" w:eastAsia="宋体" w:hAnsi="宋体" w:cs="宋体" w:hint="eastAsia"/>
          <w:color w:val="auto"/>
        </w:rPr>
        <w:t>富国基金管理有限公司</w:t>
      </w:r>
      <w:r w:rsidRPr="00611390">
        <w:rPr>
          <w:rFonts w:ascii="宋体" w:eastAsia="宋体" w:hAnsi="宋体" w:cs="宋体"/>
          <w:color w:val="auto"/>
        </w:rPr>
        <w:t>(</w:t>
      </w:r>
      <w:r w:rsidRPr="00611390">
        <w:rPr>
          <w:rFonts w:ascii="宋体" w:eastAsia="宋体" w:hAnsi="宋体" w:cs="宋体" w:hint="eastAsia"/>
          <w:color w:val="auto"/>
        </w:rPr>
        <w:t>以下简称“本公司”</w:t>
      </w:r>
      <w:r w:rsidRPr="00611390">
        <w:rPr>
          <w:rFonts w:ascii="宋体" w:eastAsia="宋体" w:hAnsi="宋体" w:cs="宋体"/>
          <w:color w:val="auto"/>
        </w:rPr>
        <w:t>)</w:t>
      </w:r>
      <w:r w:rsidRPr="00611390">
        <w:rPr>
          <w:rFonts w:ascii="宋体" w:eastAsia="宋体" w:hAnsi="宋体" w:cs="宋体" w:hint="eastAsia"/>
          <w:color w:val="auto"/>
        </w:rPr>
        <w:t>旗下部分证券投资基金参加了</w:t>
      </w:r>
      <w:r w:rsidR="006C4EE4" w:rsidRPr="006C4EE4">
        <w:rPr>
          <w:rFonts w:ascii="宋体" w:eastAsia="宋体" w:hAnsi="宋体" w:cs="宋体" w:hint="eastAsia"/>
          <w:color w:val="auto"/>
        </w:rPr>
        <w:t>北京国联视讯信息技术股份有限公司</w:t>
      </w:r>
      <w:r w:rsidR="0060444E">
        <w:rPr>
          <w:rFonts w:ascii="宋体" w:eastAsia="宋体" w:hAnsi="宋体" w:cs="宋体" w:hint="eastAsia"/>
          <w:color w:val="auto"/>
        </w:rPr>
        <w:t>（股票简称：国联股份，证券代码：603613）</w:t>
      </w:r>
      <w:r w:rsidR="006C4EE4">
        <w:rPr>
          <w:rFonts w:ascii="宋体" w:eastAsia="宋体" w:hAnsi="宋体" w:cs="宋体" w:hint="eastAsia"/>
          <w:color w:val="auto"/>
        </w:rPr>
        <w:t>和</w:t>
      </w:r>
      <w:r w:rsidR="0060444E" w:rsidRPr="0060444E">
        <w:rPr>
          <w:rFonts w:ascii="宋体" w:eastAsia="宋体" w:hAnsi="宋体" w:cs="宋体" w:hint="eastAsia"/>
          <w:color w:val="auto"/>
        </w:rPr>
        <w:t>四川天味食品集团股份有限公司</w:t>
      </w:r>
      <w:r w:rsidR="0060444E">
        <w:rPr>
          <w:rFonts w:ascii="宋体" w:eastAsia="宋体" w:hAnsi="宋体" w:cs="宋体" w:hint="eastAsia"/>
          <w:color w:val="auto"/>
        </w:rPr>
        <w:t>（股票简称：天味食品，证券代码：603317）</w:t>
      </w:r>
      <w:r w:rsidRPr="00611390">
        <w:rPr>
          <w:rFonts w:ascii="宋体" w:eastAsia="宋体" w:hAnsi="宋体" w:cs="宋体" w:hint="eastAsia"/>
          <w:color w:val="auto"/>
        </w:rPr>
        <w:t>非公开发行股票的认购。</w:t>
      </w:r>
      <w:r w:rsidR="00B644CA" w:rsidRPr="00B644CA">
        <w:rPr>
          <w:rFonts w:ascii="宋体" w:eastAsia="宋体" w:hAnsi="宋体" w:cs="宋体" w:hint="eastAsia"/>
          <w:color w:val="auto"/>
        </w:rPr>
        <w:t>北京国联视讯信息技术股份有限公司</w:t>
      </w:r>
      <w:r w:rsidRPr="00611390">
        <w:rPr>
          <w:rFonts w:ascii="宋体" w:eastAsia="宋体" w:hAnsi="宋体" w:cs="宋体" w:hint="eastAsia"/>
          <w:color w:val="auto"/>
        </w:rPr>
        <w:t>已发布《</w:t>
      </w:r>
      <w:r w:rsidR="00B644CA" w:rsidRPr="00B644CA">
        <w:rPr>
          <w:rFonts w:ascii="宋体" w:eastAsia="宋体" w:hAnsi="宋体" w:cs="宋体" w:hint="eastAsia"/>
          <w:color w:val="auto"/>
        </w:rPr>
        <w:t>北京国联视讯信息技术股份有限公司非公开发行股票发行结果暨股本变动公告</w:t>
      </w:r>
      <w:r w:rsidRPr="00611390">
        <w:rPr>
          <w:rFonts w:ascii="宋体" w:eastAsia="宋体" w:hAnsi="宋体" w:cs="宋体" w:hint="eastAsia"/>
          <w:color w:val="auto"/>
        </w:rPr>
        <w:t>》</w:t>
      </w:r>
      <w:r w:rsidR="00B644CA">
        <w:rPr>
          <w:rFonts w:ascii="宋体" w:eastAsia="宋体" w:hAnsi="宋体" w:cs="宋体" w:hint="eastAsia"/>
          <w:color w:val="auto"/>
        </w:rPr>
        <w:t>、</w:t>
      </w:r>
      <w:r w:rsidR="00B644CA" w:rsidRPr="00B644CA">
        <w:rPr>
          <w:rFonts w:ascii="宋体" w:eastAsia="宋体" w:hAnsi="宋体" w:cs="宋体" w:hint="eastAsia"/>
          <w:color w:val="auto"/>
        </w:rPr>
        <w:t>四川天味食品集团股份有限公司</w:t>
      </w:r>
      <w:r w:rsidR="00B644CA" w:rsidRPr="00611390">
        <w:rPr>
          <w:rFonts w:ascii="宋体" w:eastAsia="宋体" w:hAnsi="宋体" w:cs="宋体" w:hint="eastAsia"/>
          <w:color w:val="auto"/>
        </w:rPr>
        <w:t>已发布</w:t>
      </w:r>
      <w:r w:rsidR="00B644CA">
        <w:rPr>
          <w:rFonts w:ascii="宋体" w:eastAsia="宋体" w:hAnsi="宋体" w:cs="宋体" w:hint="eastAsia"/>
          <w:color w:val="auto"/>
        </w:rPr>
        <w:t>《</w:t>
      </w:r>
      <w:r w:rsidR="00B644CA" w:rsidRPr="00B644CA">
        <w:rPr>
          <w:rFonts w:ascii="宋体" w:eastAsia="宋体" w:hAnsi="宋体" w:cs="宋体" w:hint="eastAsia"/>
          <w:color w:val="auto"/>
        </w:rPr>
        <w:t>四川天味食品集团股份有限公司非公开发行A股股票发行结果暨股本变动公告</w:t>
      </w:r>
      <w:r w:rsidR="00B644CA">
        <w:rPr>
          <w:rFonts w:ascii="宋体" w:eastAsia="宋体" w:hAnsi="宋体" w:cs="宋体" w:hint="eastAsia"/>
          <w:color w:val="auto"/>
        </w:rPr>
        <w:t>》</w:t>
      </w:r>
      <w:r w:rsidRPr="00611390">
        <w:rPr>
          <w:rFonts w:ascii="宋体" w:eastAsia="宋体" w:hAnsi="宋体" w:cs="宋体" w:hint="eastAsia"/>
          <w:color w:val="auto"/>
        </w:rPr>
        <w:t>，公布了本次非公开发行结果。根据中国证监会《关于基金投资非公开发行股票等流通受限证券有关问题的通知》等有关规定，本公司现将旗下</w:t>
      </w:r>
      <w:r w:rsidR="00AB2340" w:rsidRPr="00611390">
        <w:rPr>
          <w:rFonts w:ascii="宋体" w:eastAsia="宋体" w:hAnsi="宋体" w:cs="宋体" w:hint="eastAsia"/>
          <w:color w:val="auto"/>
        </w:rPr>
        <w:t>证券投资</w:t>
      </w:r>
      <w:r w:rsidRPr="00611390">
        <w:rPr>
          <w:rFonts w:ascii="宋体" w:eastAsia="宋体" w:hAnsi="宋体" w:cs="宋体" w:hint="eastAsia"/>
          <w:color w:val="auto"/>
        </w:rPr>
        <w:t>基金投资</w:t>
      </w:r>
      <w:r w:rsidR="00AB2340" w:rsidRPr="00611390">
        <w:rPr>
          <w:rFonts w:ascii="宋体" w:eastAsia="宋体" w:hAnsi="宋体" w:cs="宋体" w:hint="eastAsia"/>
          <w:color w:val="auto"/>
        </w:rPr>
        <w:t>此</w:t>
      </w:r>
      <w:r w:rsidRPr="00611390">
        <w:rPr>
          <w:rFonts w:ascii="宋体" w:eastAsia="宋体" w:hAnsi="宋体" w:cs="宋体" w:hint="eastAsia"/>
          <w:color w:val="auto"/>
        </w:rPr>
        <w:t>非公开发行股票的相关</w:t>
      </w:r>
      <w:r w:rsidR="00AB2340" w:rsidRPr="00611390">
        <w:rPr>
          <w:rFonts w:ascii="宋体" w:eastAsia="宋体" w:hAnsi="宋体" w:cs="宋体" w:hint="eastAsia"/>
          <w:color w:val="auto"/>
        </w:rPr>
        <w:t>情况</w:t>
      </w:r>
      <w:r w:rsidRPr="00611390">
        <w:rPr>
          <w:rFonts w:ascii="宋体" w:eastAsia="宋体" w:hAnsi="宋体" w:cs="宋体" w:hint="eastAsia"/>
          <w:color w:val="auto"/>
        </w:rPr>
        <w:t>公告如下：</w:t>
      </w:r>
    </w:p>
    <w:tbl>
      <w:tblPr>
        <w:tblW w:w="11494" w:type="dxa"/>
        <w:jc w:val="center"/>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97"/>
        <w:gridCol w:w="1277"/>
        <w:gridCol w:w="1277"/>
        <w:gridCol w:w="1419"/>
        <w:gridCol w:w="1133"/>
        <w:gridCol w:w="1847"/>
        <w:gridCol w:w="993"/>
        <w:gridCol w:w="751"/>
      </w:tblGrid>
      <w:tr w:rsidR="00B644CA" w:rsidRPr="00047BD8" w:rsidTr="00B644CA">
        <w:trPr>
          <w:trHeight w:val="1206"/>
          <w:jc w:val="center"/>
        </w:trPr>
        <w:tc>
          <w:tcPr>
            <w:tcW w:w="2797" w:type="dxa"/>
            <w:vAlign w:val="center"/>
          </w:tcPr>
          <w:p w:rsidR="00B644CA" w:rsidRPr="00047BD8" w:rsidRDefault="00B644CA" w:rsidP="002E69BE">
            <w:pPr>
              <w:widowControl/>
              <w:spacing w:before="100" w:beforeAutospacing="1" w:after="375" w:line="360" w:lineRule="atLeast"/>
              <w:jc w:val="center"/>
              <w:rPr>
                <w:rFonts w:ascii="宋体" w:cs="宋体"/>
                <w:kern w:val="0"/>
                <w:szCs w:val="21"/>
              </w:rPr>
            </w:pPr>
            <w:r w:rsidRPr="00047BD8">
              <w:rPr>
                <w:rFonts w:ascii="宋体" w:hAnsi="宋体" w:cs="宋体" w:hint="eastAsia"/>
                <w:kern w:val="0"/>
                <w:szCs w:val="21"/>
              </w:rPr>
              <w:t>基金名称</w:t>
            </w:r>
          </w:p>
        </w:tc>
        <w:tc>
          <w:tcPr>
            <w:tcW w:w="1277" w:type="dxa"/>
          </w:tcPr>
          <w:p w:rsidR="00B644CA" w:rsidRDefault="00B644CA" w:rsidP="002E69BE">
            <w:pPr>
              <w:widowControl/>
              <w:spacing w:before="100" w:beforeAutospacing="1" w:after="375" w:line="360" w:lineRule="atLeast"/>
              <w:jc w:val="center"/>
              <w:rPr>
                <w:rFonts w:ascii="宋体" w:hAnsi="宋体" w:cs="宋体"/>
                <w:kern w:val="0"/>
                <w:szCs w:val="21"/>
              </w:rPr>
            </w:pPr>
          </w:p>
          <w:p w:rsidR="00B644CA" w:rsidRPr="00047BD8" w:rsidRDefault="00B644CA" w:rsidP="002E69BE">
            <w:pPr>
              <w:widowControl/>
              <w:spacing w:before="100" w:beforeAutospacing="1" w:after="375" w:line="360" w:lineRule="atLeast"/>
              <w:jc w:val="center"/>
              <w:rPr>
                <w:rFonts w:ascii="宋体" w:hAnsi="宋体" w:cs="宋体" w:hint="eastAsia"/>
                <w:kern w:val="0"/>
                <w:szCs w:val="21"/>
              </w:rPr>
            </w:pPr>
            <w:r>
              <w:rPr>
                <w:rFonts w:ascii="宋体" w:hAnsi="宋体" w:cs="宋体" w:hint="eastAsia"/>
                <w:kern w:val="0"/>
                <w:szCs w:val="21"/>
              </w:rPr>
              <w:t>证券名称</w:t>
            </w:r>
          </w:p>
        </w:tc>
        <w:tc>
          <w:tcPr>
            <w:tcW w:w="1277" w:type="dxa"/>
            <w:vAlign w:val="center"/>
          </w:tcPr>
          <w:p w:rsidR="00B644CA" w:rsidRPr="00047BD8" w:rsidRDefault="00B644CA" w:rsidP="002E69BE">
            <w:pPr>
              <w:widowControl/>
              <w:spacing w:before="100" w:beforeAutospacing="1" w:after="375" w:line="360" w:lineRule="atLeast"/>
              <w:jc w:val="center"/>
              <w:rPr>
                <w:rFonts w:ascii="宋体" w:hAnsi="宋体" w:cs="宋体"/>
                <w:kern w:val="0"/>
                <w:szCs w:val="21"/>
              </w:rPr>
            </w:pPr>
            <w:r w:rsidRPr="00047BD8">
              <w:rPr>
                <w:rFonts w:ascii="宋体" w:hAnsi="宋体" w:cs="宋体" w:hint="eastAsia"/>
                <w:kern w:val="0"/>
                <w:szCs w:val="21"/>
              </w:rPr>
              <w:t>认购数量</w:t>
            </w:r>
            <w:r w:rsidRPr="00047BD8">
              <w:rPr>
                <w:rFonts w:ascii="宋体" w:hAnsi="宋体" w:cs="宋体"/>
                <w:kern w:val="0"/>
                <w:szCs w:val="21"/>
              </w:rPr>
              <w:t>(</w:t>
            </w:r>
            <w:r w:rsidRPr="00047BD8">
              <w:rPr>
                <w:rFonts w:ascii="宋体" w:hAnsi="宋体" w:cs="宋体" w:hint="eastAsia"/>
                <w:kern w:val="0"/>
                <w:szCs w:val="21"/>
              </w:rPr>
              <w:t>股</w:t>
            </w:r>
            <w:r w:rsidRPr="00047BD8">
              <w:rPr>
                <w:rFonts w:ascii="宋体" w:hAnsi="宋体" w:cs="宋体"/>
                <w:kern w:val="0"/>
                <w:szCs w:val="21"/>
              </w:rPr>
              <w:t>)</w:t>
            </w:r>
          </w:p>
        </w:tc>
        <w:tc>
          <w:tcPr>
            <w:tcW w:w="1419" w:type="dxa"/>
            <w:vAlign w:val="center"/>
          </w:tcPr>
          <w:p w:rsidR="00B644CA" w:rsidRPr="00047BD8" w:rsidRDefault="00B644CA" w:rsidP="002E69BE">
            <w:pPr>
              <w:widowControl/>
              <w:spacing w:before="100" w:beforeAutospacing="1" w:after="375" w:line="360" w:lineRule="atLeast"/>
              <w:jc w:val="center"/>
              <w:rPr>
                <w:rFonts w:ascii="宋体" w:hAnsi="宋体" w:cs="宋体"/>
                <w:kern w:val="0"/>
                <w:szCs w:val="21"/>
              </w:rPr>
            </w:pPr>
            <w:r w:rsidRPr="00047BD8">
              <w:rPr>
                <w:rFonts w:ascii="宋体" w:hAnsi="宋体" w:cs="宋体" w:hint="eastAsia"/>
                <w:kern w:val="0"/>
                <w:szCs w:val="21"/>
              </w:rPr>
              <w:t>总成本</w:t>
            </w:r>
            <w:r w:rsidRPr="00047BD8">
              <w:rPr>
                <w:rFonts w:ascii="宋体" w:hAnsi="宋体" w:cs="宋体"/>
                <w:kern w:val="0"/>
                <w:szCs w:val="21"/>
              </w:rPr>
              <w:t>(</w:t>
            </w:r>
            <w:r w:rsidRPr="00047BD8">
              <w:rPr>
                <w:rFonts w:ascii="宋体" w:hAnsi="宋体" w:cs="宋体" w:hint="eastAsia"/>
                <w:kern w:val="0"/>
                <w:szCs w:val="21"/>
              </w:rPr>
              <w:t>元</w:t>
            </w:r>
            <w:r w:rsidRPr="00047BD8">
              <w:rPr>
                <w:rFonts w:ascii="宋体" w:hAnsi="宋体" w:cs="宋体"/>
                <w:kern w:val="0"/>
                <w:szCs w:val="21"/>
              </w:rPr>
              <w:t>)</w:t>
            </w:r>
          </w:p>
        </w:tc>
        <w:tc>
          <w:tcPr>
            <w:tcW w:w="1133" w:type="dxa"/>
            <w:vAlign w:val="center"/>
          </w:tcPr>
          <w:p w:rsidR="00B644CA" w:rsidRPr="00047BD8" w:rsidRDefault="00B644CA" w:rsidP="007A5AFC">
            <w:pPr>
              <w:widowControl/>
              <w:spacing w:before="100" w:beforeAutospacing="1" w:after="375" w:line="360" w:lineRule="auto"/>
              <w:jc w:val="center"/>
              <w:rPr>
                <w:rFonts w:ascii="宋体" w:cs="宋体"/>
                <w:kern w:val="0"/>
                <w:szCs w:val="21"/>
              </w:rPr>
            </w:pPr>
            <w:r w:rsidRPr="00047BD8">
              <w:rPr>
                <w:rFonts w:ascii="宋体" w:hAnsi="宋体" w:cs="宋体" w:hint="eastAsia"/>
                <w:kern w:val="0"/>
                <w:szCs w:val="21"/>
              </w:rPr>
              <w:t>总成本占基金资产净值比例</w:t>
            </w:r>
            <w:r>
              <w:rPr>
                <w:rFonts w:ascii="宋体" w:hAnsi="宋体" w:cs="宋体" w:hint="eastAsia"/>
                <w:kern w:val="0"/>
                <w:szCs w:val="21"/>
              </w:rPr>
              <w:t>（%）</w:t>
            </w:r>
          </w:p>
        </w:tc>
        <w:tc>
          <w:tcPr>
            <w:tcW w:w="1847" w:type="dxa"/>
            <w:vAlign w:val="center"/>
          </w:tcPr>
          <w:p w:rsidR="00B644CA" w:rsidRPr="00047BD8" w:rsidRDefault="00B644CA" w:rsidP="002E69BE">
            <w:pPr>
              <w:widowControl/>
              <w:spacing w:before="100" w:beforeAutospacing="1" w:after="375" w:line="360" w:lineRule="atLeast"/>
              <w:jc w:val="center"/>
              <w:rPr>
                <w:rFonts w:ascii="宋体" w:hAnsi="宋体" w:cs="宋体"/>
                <w:kern w:val="0"/>
                <w:szCs w:val="21"/>
              </w:rPr>
            </w:pPr>
            <w:r w:rsidRPr="00047BD8">
              <w:rPr>
                <w:rFonts w:ascii="宋体" w:hAnsi="宋体" w:cs="宋体" w:hint="eastAsia"/>
                <w:kern w:val="0"/>
                <w:szCs w:val="21"/>
              </w:rPr>
              <w:t>账面价值</w:t>
            </w:r>
            <w:r w:rsidRPr="00047BD8">
              <w:rPr>
                <w:rFonts w:ascii="宋体" w:hAnsi="宋体" w:cs="宋体"/>
                <w:kern w:val="0"/>
                <w:szCs w:val="21"/>
              </w:rPr>
              <w:t>(</w:t>
            </w:r>
            <w:r w:rsidRPr="00047BD8">
              <w:rPr>
                <w:rFonts w:ascii="宋体" w:hAnsi="宋体" w:cs="宋体" w:hint="eastAsia"/>
                <w:kern w:val="0"/>
                <w:szCs w:val="21"/>
              </w:rPr>
              <w:t>元</w:t>
            </w:r>
            <w:r w:rsidRPr="00047BD8">
              <w:rPr>
                <w:rFonts w:ascii="宋体" w:hAnsi="宋体" w:cs="宋体"/>
                <w:kern w:val="0"/>
                <w:szCs w:val="21"/>
              </w:rPr>
              <w:t>)</w:t>
            </w:r>
          </w:p>
        </w:tc>
        <w:tc>
          <w:tcPr>
            <w:tcW w:w="993" w:type="dxa"/>
            <w:vAlign w:val="center"/>
          </w:tcPr>
          <w:p w:rsidR="00B644CA" w:rsidRPr="00047BD8" w:rsidRDefault="00B644CA" w:rsidP="002E69BE">
            <w:pPr>
              <w:widowControl/>
              <w:spacing w:before="100" w:beforeAutospacing="1" w:after="375" w:line="360" w:lineRule="atLeast"/>
              <w:jc w:val="center"/>
              <w:rPr>
                <w:rFonts w:ascii="宋体" w:cs="宋体"/>
                <w:kern w:val="0"/>
                <w:szCs w:val="21"/>
              </w:rPr>
            </w:pPr>
            <w:r w:rsidRPr="00047BD8">
              <w:rPr>
                <w:rFonts w:ascii="宋体" w:hAnsi="宋体" w:cs="宋体" w:hint="eastAsia"/>
                <w:kern w:val="0"/>
                <w:szCs w:val="21"/>
              </w:rPr>
              <w:t>账面价值占基金资产净值比例</w:t>
            </w:r>
            <w:r>
              <w:rPr>
                <w:rFonts w:ascii="宋体" w:hAnsi="宋体" w:cs="宋体" w:hint="eastAsia"/>
                <w:kern w:val="0"/>
                <w:szCs w:val="21"/>
              </w:rPr>
              <w:t>（%）</w:t>
            </w:r>
          </w:p>
        </w:tc>
        <w:tc>
          <w:tcPr>
            <w:tcW w:w="751" w:type="dxa"/>
            <w:vAlign w:val="center"/>
          </w:tcPr>
          <w:p w:rsidR="00B644CA" w:rsidRPr="00047BD8" w:rsidRDefault="00B644CA" w:rsidP="002E69BE">
            <w:pPr>
              <w:widowControl/>
              <w:spacing w:before="100" w:beforeAutospacing="1" w:after="375" w:line="360" w:lineRule="atLeast"/>
              <w:jc w:val="center"/>
              <w:rPr>
                <w:rFonts w:ascii="宋体" w:cs="宋体"/>
                <w:kern w:val="0"/>
                <w:szCs w:val="21"/>
              </w:rPr>
            </w:pPr>
            <w:r w:rsidRPr="00047BD8">
              <w:rPr>
                <w:rFonts w:ascii="宋体" w:hAnsi="宋体" w:cs="宋体" w:hint="eastAsia"/>
                <w:kern w:val="0"/>
                <w:szCs w:val="21"/>
              </w:rPr>
              <w:t>限售期（月）</w:t>
            </w:r>
          </w:p>
        </w:tc>
      </w:tr>
      <w:tr w:rsidR="00E7660F" w:rsidRPr="00047BD8" w:rsidTr="00B644CA">
        <w:trPr>
          <w:trHeight w:val="546"/>
          <w:jc w:val="center"/>
        </w:trPr>
        <w:tc>
          <w:tcPr>
            <w:tcW w:w="2797" w:type="dxa"/>
          </w:tcPr>
          <w:p w:rsidR="00E7660F" w:rsidRPr="00AF56D5" w:rsidRDefault="00E7660F" w:rsidP="00B14051">
            <w:pPr>
              <w:rPr>
                <w:rFonts w:hint="eastAsia"/>
              </w:rPr>
            </w:pPr>
            <w:r w:rsidRPr="00E7660F">
              <w:rPr>
                <w:rFonts w:hint="eastAsia"/>
              </w:rPr>
              <w:t>富国创新科技混合型证券投资基金</w:t>
            </w:r>
          </w:p>
        </w:tc>
        <w:tc>
          <w:tcPr>
            <w:tcW w:w="1277" w:type="dxa"/>
          </w:tcPr>
          <w:p w:rsidR="00E7660F" w:rsidRPr="009B5061" w:rsidRDefault="00E7660F" w:rsidP="00B14051">
            <w:r w:rsidRPr="00E7660F">
              <w:rPr>
                <w:rFonts w:hint="eastAsia"/>
              </w:rPr>
              <w:t>国联股份</w:t>
            </w:r>
          </w:p>
        </w:tc>
        <w:tc>
          <w:tcPr>
            <w:tcW w:w="1277" w:type="dxa"/>
          </w:tcPr>
          <w:p w:rsidR="00E7660F" w:rsidRPr="009B5061" w:rsidRDefault="00E7660F" w:rsidP="00B14051">
            <w:r w:rsidRPr="00E7660F">
              <w:t>1,337,792.00</w:t>
            </w:r>
          </w:p>
        </w:tc>
        <w:tc>
          <w:tcPr>
            <w:tcW w:w="1419" w:type="dxa"/>
          </w:tcPr>
          <w:p w:rsidR="00E7660F" w:rsidRPr="007073CE" w:rsidRDefault="00E7660F" w:rsidP="00B14051">
            <w:r w:rsidRPr="00E7660F">
              <w:t>99,999,952.00</w:t>
            </w:r>
          </w:p>
        </w:tc>
        <w:tc>
          <w:tcPr>
            <w:tcW w:w="1133" w:type="dxa"/>
          </w:tcPr>
          <w:p w:rsidR="00E7660F" w:rsidRPr="004F46FD" w:rsidRDefault="00E7660F" w:rsidP="00E5732A">
            <w:r>
              <w:t>0.9441</w:t>
            </w:r>
          </w:p>
        </w:tc>
        <w:tc>
          <w:tcPr>
            <w:tcW w:w="1847" w:type="dxa"/>
          </w:tcPr>
          <w:p w:rsidR="00E7660F" w:rsidRPr="00393B05" w:rsidRDefault="00E7660F" w:rsidP="00E5732A">
            <w:r w:rsidRPr="00393B05">
              <w:t xml:space="preserve"> 113,832,721.28 </w:t>
            </w:r>
          </w:p>
        </w:tc>
        <w:tc>
          <w:tcPr>
            <w:tcW w:w="993" w:type="dxa"/>
          </w:tcPr>
          <w:p w:rsidR="00E7660F" w:rsidRPr="00E3665A" w:rsidRDefault="00E7660F" w:rsidP="00E5732A">
            <w:r>
              <w:t>1.0747</w:t>
            </w:r>
          </w:p>
        </w:tc>
        <w:tc>
          <w:tcPr>
            <w:tcW w:w="751" w:type="dxa"/>
            <w:vAlign w:val="center"/>
          </w:tcPr>
          <w:p w:rsidR="00E7660F" w:rsidRPr="00B95123" w:rsidRDefault="00E7660F" w:rsidP="0034411B">
            <w:pPr>
              <w:jc w:val="center"/>
              <w:rPr>
                <w:rFonts w:ascii="??" w:hAnsi="??" w:cs="宋体" w:hint="eastAsia"/>
                <w:kern w:val="0"/>
                <w:szCs w:val="21"/>
              </w:rPr>
            </w:pPr>
            <w:r>
              <w:rPr>
                <w:rFonts w:ascii="??" w:hAnsi="??" w:cs="宋体" w:hint="eastAsia"/>
                <w:kern w:val="0"/>
                <w:szCs w:val="21"/>
              </w:rPr>
              <w:t>6</w:t>
            </w:r>
          </w:p>
        </w:tc>
      </w:tr>
      <w:tr w:rsidR="00E7660F" w:rsidRPr="00047BD8" w:rsidTr="00B644CA">
        <w:trPr>
          <w:trHeight w:val="533"/>
          <w:jc w:val="center"/>
        </w:trPr>
        <w:tc>
          <w:tcPr>
            <w:tcW w:w="2797" w:type="dxa"/>
          </w:tcPr>
          <w:p w:rsidR="00E7660F" w:rsidRPr="00056372" w:rsidRDefault="00E7660F" w:rsidP="00E5732A">
            <w:pPr>
              <w:rPr>
                <w:rFonts w:hint="eastAsia"/>
              </w:rPr>
            </w:pPr>
            <w:r w:rsidRPr="00056372">
              <w:rPr>
                <w:rFonts w:hint="eastAsia"/>
              </w:rPr>
              <w:t>富国沪深</w:t>
            </w:r>
            <w:r w:rsidRPr="00056372">
              <w:rPr>
                <w:rFonts w:hint="eastAsia"/>
              </w:rPr>
              <w:t>300</w:t>
            </w:r>
            <w:r w:rsidRPr="00056372">
              <w:rPr>
                <w:rFonts w:hint="eastAsia"/>
              </w:rPr>
              <w:t>增强证券投资基金</w:t>
            </w:r>
          </w:p>
        </w:tc>
        <w:tc>
          <w:tcPr>
            <w:tcW w:w="1277" w:type="dxa"/>
          </w:tcPr>
          <w:p w:rsidR="00E7660F" w:rsidRPr="00B844D7" w:rsidRDefault="00E7660F" w:rsidP="00E5732A">
            <w:pPr>
              <w:rPr>
                <w:rFonts w:hint="eastAsia"/>
              </w:rPr>
            </w:pPr>
            <w:r w:rsidRPr="00B844D7">
              <w:rPr>
                <w:rFonts w:hint="eastAsia"/>
              </w:rPr>
              <w:t>天味食品</w:t>
            </w:r>
          </w:p>
        </w:tc>
        <w:tc>
          <w:tcPr>
            <w:tcW w:w="1277" w:type="dxa"/>
          </w:tcPr>
          <w:p w:rsidR="00E7660F" w:rsidRPr="006D7992" w:rsidRDefault="00E7660F" w:rsidP="00E5732A">
            <w:r w:rsidRPr="006D7992">
              <w:t>105,263.00</w:t>
            </w:r>
          </w:p>
        </w:tc>
        <w:tc>
          <w:tcPr>
            <w:tcW w:w="1419" w:type="dxa"/>
          </w:tcPr>
          <w:p w:rsidR="00E7660F" w:rsidRPr="00F93E96" w:rsidRDefault="00E7660F" w:rsidP="00E5732A">
            <w:r w:rsidRPr="00F93E96">
              <w:t>5,999,991.00</w:t>
            </w:r>
          </w:p>
        </w:tc>
        <w:tc>
          <w:tcPr>
            <w:tcW w:w="1133" w:type="dxa"/>
          </w:tcPr>
          <w:p w:rsidR="00E7660F" w:rsidRPr="004F46FD" w:rsidRDefault="00E7660F" w:rsidP="00E5732A">
            <w:r>
              <w:t>0.0896</w:t>
            </w:r>
          </w:p>
        </w:tc>
        <w:tc>
          <w:tcPr>
            <w:tcW w:w="1847" w:type="dxa"/>
          </w:tcPr>
          <w:p w:rsidR="00E7660F" w:rsidRPr="00393B05" w:rsidRDefault="00E7660F" w:rsidP="00E5732A">
            <w:r w:rsidRPr="00393B05">
              <w:t xml:space="preserve"> 6,087,359.29 </w:t>
            </w:r>
          </w:p>
        </w:tc>
        <w:tc>
          <w:tcPr>
            <w:tcW w:w="993" w:type="dxa"/>
          </w:tcPr>
          <w:p w:rsidR="00E7660F" w:rsidRPr="00E3665A" w:rsidRDefault="00E7660F" w:rsidP="00E5732A">
            <w:r>
              <w:t>0.0909</w:t>
            </w:r>
          </w:p>
        </w:tc>
        <w:tc>
          <w:tcPr>
            <w:tcW w:w="751" w:type="dxa"/>
            <w:vAlign w:val="center"/>
          </w:tcPr>
          <w:p w:rsidR="00E7660F" w:rsidRPr="00B95123" w:rsidRDefault="00E7660F" w:rsidP="0034411B">
            <w:pPr>
              <w:jc w:val="center"/>
              <w:rPr>
                <w:rFonts w:ascii="??" w:hAnsi="??" w:cs="宋体" w:hint="eastAsia"/>
                <w:kern w:val="0"/>
                <w:szCs w:val="21"/>
              </w:rPr>
            </w:pPr>
            <w:r>
              <w:rPr>
                <w:rFonts w:ascii="??" w:hAnsi="??" w:cs="宋体" w:hint="eastAsia"/>
                <w:kern w:val="0"/>
                <w:szCs w:val="21"/>
              </w:rPr>
              <w:t>6</w:t>
            </w:r>
          </w:p>
        </w:tc>
      </w:tr>
      <w:tr w:rsidR="00E7660F" w:rsidRPr="00047BD8" w:rsidTr="00B644CA">
        <w:trPr>
          <w:trHeight w:val="533"/>
          <w:jc w:val="center"/>
        </w:trPr>
        <w:tc>
          <w:tcPr>
            <w:tcW w:w="2797" w:type="dxa"/>
          </w:tcPr>
          <w:p w:rsidR="00E7660F" w:rsidRPr="00056372" w:rsidRDefault="00E7660F" w:rsidP="00E5732A">
            <w:pPr>
              <w:rPr>
                <w:rFonts w:hint="eastAsia"/>
              </w:rPr>
            </w:pPr>
            <w:r w:rsidRPr="00056372">
              <w:rPr>
                <w:rFonts w:hint="eastAsia"/>
              </w:rPr>
              <w:t>富国内需增长混合型证券投资基金</w:t>
            </w:r>
          </w:p>
        </w:tc>
        <w:tc>
          <w:tcPr>
            <w:tcW w:w="1277" w:type="dxa"/>
          </w:tcPr>
          <w:p w:rsidR="00E7660F" w:rsidRPr="00B844D7" w:rsidRDefault="00E7660F" w:rsidP="00E5732A">
            <w:pPr>
              <w:rPr>
                <w:rFonts w:hint="eastAsia"/>
              </w:rPr>
            </w:pPr>
            <w:r w:rsidRPr="00B844D7">
              <w:rPr>
                <w:rFonts w:hint="eastAsia"/>
              </w:rPr>
              <w:t>天味食品</w:t>
            </w:r>
          </w:p>
        </w:tc>
        <w:tc>
          <w:tcPr>
            <w:tcW w:w="1277" w:type="dxa"/>
          </w:tcPr>
          <w:p w:rsidR="00E7660F" w:rsidRPr="006D7992" w:rsidRDefault="00E7660F" w:rsidP="00E5732A">
            <w:r w:rsidRPr="006D7992">
              <w:t>263,158.00</w:t>
            </w:r>
          </w:p>
        </w:tc>
        <w:tc>
          <w:tcPr>
            <w:tcW w:w="1419" w:type="dxa"/>
          </w:tcPr>
          <w:p w:rsidR="00E7660F" w:rsidRPr="00F93E96" w:rsidRDefault="00E7660F" w:rsidP="00E5732A">
            <w:r w:rsidRPr="00F93E96">
              <w:t>15,000,006.00</w:t>
            </w:r>
          </w:p>
        </w:tc>
        <w:tc>
          <w:tcPr>
            <w:tcW w:w="1133" w:type="dxa"/>
          </w:tcPr>
          <w:p w:rsidR="00E7660F" w:rsidRPr="004F46FD" w:rsidRDefault="00E7660F" w:rsidP="00E5732A">
            <w:r>
              <w:t>0.6043</w:t>
            </w:r>
          </w:p>
        </w:tc>
        <w:tc>
          <w:tcPr>
            <w:tcW w:w="1847" w:type="dxa"/>
          </w:tcPr>
          <w:p w:rsidR="00E7660F" w:rsidRPr="00393B05" w:rsidRDefault="00E7660F" w:rsidP="00E5732A">
            <w:r w:rsidRPr="00393B05">
              <w:t xml:space="preserve"> 15,218,427.14 </w:t>
            </w:r>
          </w:p>
        </w:tc>
        <w:tc>
          <w:tcPr>
            <w:tcW w:w="993" w:type="dxa"/>
          </w:tcPr>
          <w:p w:rsidR="00E7660F" w:rsidRPr="00E3665A" w:rsidRDefault="00E7660F" w:rsidP="00E5732A">
            <w:r>
              <w:t>0.6131</w:t>
            </w:r>
          </w:p>
        </w:tc>
        <w:tc>
          <w:tcPr>
            <w:tcW w:w="751" w:type="dxa"/>
            <w:vAlign w:val="center"/>
          </w:tcPr>
          <w:p w:rsidR="00E7660F" w:rsidRDefault="00E7660F" w:rsidP="0034411B">
            <w:pPr>
              <w:jc w:val="center"/>
              <w:rPr>
                <w:rFonts w:ascii="??" w:hAnsi="??" w:cs="宋体" w:hint="eastAsia"/>
                <w:kern w:val="0"/>
                <w:szCs w:val="21"/>
              </w:rPr>
            </w:pPr>
            <w:r>
              <w:rPr>
                <w:rFonts w:ascii="??" w:hAnsi="??" w:cs="宋体" w:hint="eastAsia"/>
                <w:kern w:val="0"/>
                <w:szCs w:val="21"/>
              </w:rPr>
              <w:t>6</w:t>
            </w:r>
          </w:p>
        </w:tc>
      </w:tr>
      <w:tr w:rsidR="00E7660F" w:rsidRPr="00047BD8" w:rsidTr="00B644CA">
        <w:trPr>
          <w:trHeight w:val="533"/>
          <w:jc w:val="center"/>
        </w:trPr>
        <w:tc>
          <w:tcPr>
            <w:tcW w:w="2797" w:type="dxa"/>
          </w:tcPr>
          <w:p w:rsidR="00E7660F" w:rsidRPr="00056372" w:rsidRDefault="00E7660F" w:rsidP="00E5732A">
            <w:pPr>
              <w:rPr>
                <w:rFonts w:hint="eastAsia"/>
              </w:rPr>
            </w:pPr>
            <w:r w:rsidRPr="00056372">
              <w:rPr>
                <w:rFonts w:hint="eastAsia"/>
              </w:rPr>
              <w:t>富国融享</w:t>
            </w:r>
            <w:r w:rsidRPr="00056372">
              <w:rPr>
                <w:rFonts w:hint="eastAsia"/>
              </w:rPr>
              <w:t>18</w:t>
            </w:r>
            <w:r w:rsidRPr="00056372">
              <w:rPr>
                <w:rFonts w:hint="eastAsia"/>
              </w:rPr>
              <w:t>个月定期开放混合型证券投资基金</w:t>
            </w:r>
          </w:p>
        </w:tc>
        <w:tc>
          <w:tcPr>
            <w:tcW w:w="1277" w:type="dxa"/>
          </w:tcPr>
          <w:p w:rsidR="00E7660F" w:rsidRPr="00B844D7" w:rsidRDefault="00E7660F" w:rsidP="00E5732A">
            <w:pPr>
              <w:rPr>
                <w:rFonts w:hint="eastAsia"/>
              </w:rPr>
            </w:pPr>
            <w:r w:rsidRPr="00B844D7">
              <w:rPr>
                <w:rFonts w:hint="eastAsia"/>
              </w:rPr>
              <w:t>天味食品</w:t>
            </w:r>
          </w:p>
        </w:tc>
        <w:tc>
          <w:tcPr>
            <w:tcW w:w="1277" w:type="dxa"/>
          </w:tcPr>
          <w:p w:rsidR="00E7660F" w:rsidRPr="006D7992" w:rsidRDefault="00E7660F" w:rsidP="00E5732A">
            <w:r w:rsidRPr="006D7992">
              <w:t>35,087.00</w:t>
            </w:r>
          </w:p>
        </w:tc>
        <w:tc>
          <w:tcPr>
            <w:tcW w:w="1419" w:type="dxa"/>
          </w:tcPr>
          <w:p w:rsidR="00E7660F" w:rsidRPr="00F93E96" w:rsidRDefault="00E7660F" w:rsidP="00E5732A">
            <w:r w:rsidRPr="00F93E96">
              <w:t>1,999,959.00</w:t>
            </w:r>
          </w:p>
        </w:tc>
        <w:tc>
          <w:tcPr>
            <w:tcW w:w="1133" w:type="dxa"/>
          </w:tcPr>
          <w:p w:rsidR="00E7660F" w:rsidRPr="004F46FD" w:rsidRDefault="00E7660F" w:rsidP="00E5732A">
            <w:r>
              <w:t>0.2934</w:t>
            </w:r>
          </w:p>
        </w:tc>
        <w:tc>
          <w:tcPr>
            <w:tcW w:w="1847" w:type="dxa"/>
          </w:tcPr>
          <w:p w:rsidR="00E7660F" w:rsidRPr="00393B05" w:rsidRDefault="00E7660F" w:rsidP="00E5732A">
            <w:r w:rsidRPr="00393B05">
              <w:t xml:space="preserve"> 2,029,081.21 </w:t>
            </w:r>
          </w:p>
        </w:tc>
        <w:tc>
          <w:tcPr>
            <w:tcW w:w="993" w:type="dxa"/>
          </w:tcPr>
          <w:p w:rsidR="00E7660F" w:rsidRPr="00E3665A" w:rsidRDefault="00E7660F" w:rsidP="00E5732A">
            <w:r>
              <w:t>0.2977</w:t>
            </w:r>
          </w:p>
        </w:tc>
        <w:tc>
          <w:tcPr>
            <w:tcW w:w="751" w:type="dxa"/>
            <w:vAlign w:val="center"/>
          </w:tcPr>
          <w:p w:rsidR="00E7660F" w:rsidRPr="00B95123" w:rsidRDefault="00E7660F" w:rsidP="00E5732A">
            <w:pPr>
              <w:jc w:val="center"/>
              <w:rPr>
                <w:rFonts w:ascii="??" w:hAnsi="??" w:cs="宋体" w:hint="eastAsia"/>
                <w:kern w:val="0"/>
                <w:szCs w:val="21"/>
              </w:rPr>
            </w:pPr>
            <w:r>
              <w:rPr>
                <w:rFonts w:ascii="??" w:hAnsi="??" w:cs="宋体" w:hint="eastAsia"/>
                <w:kern w:val="0"/>
                <w:szCs w:val="21"/>
              </w:rPr>
              <w:t>6</w:t>
            </w:r>
          </w:p>
        </w:tc>
      </w:tr>
      <w:tr w:rsidR="00E7660F" w:rsidRPr="00047BD8" w:rsidTr="00B644CA">
        <w:trPr>
          <w:trHeight w:val="533"/>
          <w:jc w:val="center"/>
        </w:trPr>
        <w:tc>
          <w:tcPr>
            <w:tcW w:w="2797" w:type="dxa"/>
          </w:tcPr>
          <w:p w:rsidR="00E7660F" w:rsidRPr="00056372" w:rsidRDefault="00E7660F" w:rsidP="00E5732A">
            <w:pPr>
              <w:rPr>
                <w:rFonts w:hint="eastAsia"/>
              </w:rPr>
            </w:pPr>
            <w:r w:rsidRPr="00056372">
              <w:rPr>
                <w:rFonts w:hint="eastAsia"/>
              </w:rPr>
              <w:t>富国消费主题混合型证券投资基金</w:t>
            </w:r>
          </w:p>
        </w:tc>
        <w:tc>
          <w:tcPr>
            <w:tcW w:w="1277" w:type="dxa"/>
          </w:tcPr>
          <w:p w:rsidR="00E7660F" w:rsidRPr="00B844D7" w:rsidRDefault="00E7660F" w:rsidP="00E5732A">
            <w:pPr>
              <w:rPr>
                <w:rFonts w:hint="eastAsia"/>
              </w:rPr>
            </w:pPr>
            <w:r w:rsidRPr="00B844D7">
              <w:rPr>
                <w:rFonts w:hint="eastAsia"/>
              </w:rPr>
              <w:t>天味食品</w:t>
            </w:r>
          </w:p>
        </w:tc>
        <w:tc>
          <w:tcPr>
            <w:tcW w:w="1277" w:type="dxa"/>
          </w:tcPr>
          <w:p w:rsidR="00E7660F" w:rsidRPr="006D7992" w:rsidRDefault="00E7660F" w:rsidP="00E5732A">
            <w:r w:rsidRPr="006D7992">
              <w:t>263,158.00</w:t>
            </w:r>
          </w:p>
        </w:tc>
        <w:tc>
          <w:tcPr>
            <w:tcW w:w="1419" w:type="dxa"/>
          </w:tcPr>
          <w:p w:rsidR="00E7660F" w:rsidRPr="00F93E96" w:rsidRDefault="00E7660F" w:rsidP="00E5732A">
            <w:r w:rsidRPr="00F93E96">
              <w:t>15,000,006.00</w:t>
            </w:r>
          </w:p>
        </w:tc>
        <w:tc>
          <w:tcPr>
            <w:tcW w:w="1133" w:type="dxa"/>
          </w:tcPr>
          <w:p w:rsidR="00E7660F" w:rsidRPr="004F46FD" w:rsidRDefault="00E7660F" w:rsidP="00E5732A">
            <w:r>
              <w:t>0.6978</w:t>
            </w:r>
          </w:p>
        </w:tc>
        <w:tc>
          <w:tcPr>
            <w:tcW w:w="1847" w:type="dxa"/>
          </w:tcPr>
          <w:p w:rsidR="00E7660F" w:rsidRPr="00393B05" w:rsidRDefault="00E7660F" w:rsidP="00E5732A">
            <w:r w:rsidRPr="00393B05">
              <w:t xml:space="preserve"> 15,218,427.14 </w:t>
            </w:r>
          </w:p>
        </w:tc>
        <w:tc>
          <w:tcPr>
            <w:tcW w:w="993" w:type="dxa"/>
          </w:tcPr>
          <w:p w:rsidR="00E7660F" w:rsidRPr="00E3665A" w:rsidRDefault="00E7660F" w:rsidP="00E5732A">
            <w:r>
              <w:t>0.7080</w:t>
            </w:r>
          </w:p>
        </w:tc>
        <w:tc>
          <w:tcPr>
            <w:tcW w:w="751" w:type="dxa"/>
            <w:vAlign w:val="center"/>
          </w:tcPr>
          <w:p w:rsidR="00E7660F" w:rsidRPr="00B95123" w:rsidRDefault="00E7660F" w:rsidP="00E5732A">
            <w:pPr>
              <w:jc w:val="center"/>
              <w:rPr>
                <w:rFonts w:ascii="??" w:hAnsi="??" w:cs="宋体" w:hint="eastAsia"/>
                <w:kern w:val="0"/>
                <w:szCs w:val="21"/>
              </w:rPr>
            </w:pPr>
            <w:r>
              <w:rPr>
                <w:rFonts w:ascii="??" w:hAnsi="??" w:cs="宋体" w:hint="eastAsia"/>
                <w:kern w:val="0"/>
                <w:szCs w:val="21"/>
              </w:rPr>
              <w:t>6</w:t>
            </w:r>
          </w:p>
        </w:tc>
      </w:tr>
      <w:tr w:rsidR="00E7660F" w:rsidRPr="00047BD8" w:rsidTr="00B644CA">
        <w:trPr>
          <w:trHeight w:val="533"/>
          <w:jc w:val="center"/>
        </w:trPr>
        <w:tc>
          <w:tcPr>
            <w:tcW w:w="2797" w:type="dxa"/>
          </w:tcPr>
          <w:p w:rsidR="00E7660F" w:rsidRPr="00056372" w:rsidRDefault="00E7660F" w:rsidP="00E5732A">
            <w:pPr>
              <w:rPr>
                <w:rFonts w:hint="eastAsia"/>
              </w:rPr>
            </w:pPr>
            <w:r w:rsidRPr="00056372">
              <w:rPr>
                <w:rFonts w:hint="eastAsia"/>
              </w:rPr>
              <w:t>富国中证</w:t>
            </w:r>
            <w:r w:rsidRPr="00056372">
              <w:rPr>
                <w:rFonts w:hint="eastAsia"/>
              </w:rPr>
              <w:t>500</w:t>
            </w:r>
            <w:r w:rsidRPr="00056372">
              <w:rPr>
                <w:rFonts w:hint="eastAsia"/>
              </w:rPr>
              <w:t>指数增强型证券投资基金</w:t>
            </w:r>
            <w:r w:rsidRPr="00056372">
              <w:rPr>
                <w:rFonts w:hint="eastAsia"/>
              </w:rPr>
              <w:t>(LOF)</w:t>
            </w:r>
          </w:p>
        </w:tc>
        <w:tc>
          <w:tcPr>
            <w:tcW w:w="1277" w:type="dxa"/>
          </w:tcPr>
          <w:p w:rsidR="00E7660F" w:rsidRPr="00B844D7" w:rsidRDefault="00E7660F" w:rsidP="00E5732A">
            <w:pPr>
              <w:rPr>
                <w:rFonts w:hint="eastAsia"/>
              </w:rPr>
            </w:pPr>
            <w:r w:rsidRPr="00B844D7">
              <w:rPr>
                <w:rFonts w:hint="eastAsia"/>
              </w:rPr>
              <w:t>天味食品</w:t>
            </w:r>
          </w:p>
        </w:tc>
        <w:tc>
          <w:tcPr>
            <w:tcW w:w="1277" w:type="dxa"/>
          </w:tcPr>
          <w:p w:rsidR="00E7660F" w:rsidRPr="006D7992" w:rsidRDefault="00E7660F" w:rsidP="00E5732A">
            <w:r w:rsidRPr="006D7992">
              <w:t>175,439.00</w:t>
            </w:r>
          </w:p>
        </w:tc>
        <w:tc>
          <w:tcPr>
            <w:tcW w:w="1419" w:type="dxa"/>
          </w:tcPr>
          <w:p w:rsidR="00E7660F" w:rsidRPr="00F93E96" w:rsidRDefault="00E7660F" w:rsidP="00E5732A">
            <w:r w:rsidRPr="00F93E96">
              <w:t>10,000,023.00</w:t>
            </w:r>
          </w:p>
        </w:tc>
        <w:tc>
          <w:tcPr>
            <w:tcW w:w="1133" w:type="dxa"/>
          </w:tcPr>
          <w:p w:rsidR="00E7660F" w:rsidRPr="004F46FD" w:rsidRDefault="00E7660F" w:rsidP="00E5732A">
            <w:r>
              <w:t>0.1826</w:t>
            </w:r>
          </w:p>
        </w:tc>
        <w:tc>
          <w:tcPr>
            <w:tcW w:w="1847" w:type="dxa"/>
          </w:tcPr>
          <w:p w:rsidR="00E7660F" w:rsidRPr="00393B05" w:rsidRDefault="00E7660F" w:rsidP="00E5732A">
            <w:r w:rsidRPr="00393B05">
              <w:t xml:space="preserve"> 10,145,637.37 </w:t>
            </w:r>
          </w:p>
        </w:tc>
        <w:tc>
          <w:tcPr>
            <w:tcW w:w="993" w:type="dxa"/>
          </w:tcPr>
          <w:p w:rsidR="00E7660F" w:rsidRPr="00E3665A" w:rsidRDefault="00E7660F" w:rsidP="00E5732A">
            <w:r>
              <w:t>0.1852</w:t>
            </w:r>
          </w:p>
        </w:tc>
        <w:tc>
          <w:tcPr>
            <w:tcW w:w="751" w:type="dxa"/>
            <w:vAlign w:val="center"/>
          </w:tcPr>
          <w:p w:rsidR="00E7660F" w:rsidRPr="00B95123" w:rsidRDefault="00E7660F" w:rsidP="00E5732A">
            <w:pPr>
              <w:jc w:val="center"/>
              <w:rPr>
                <w:rFonts w:ascii="??" w:hAnsi="??" w:cs="宋体" w:hint="eastAsia"/>
                <w:kern w:val="0"/>
                <w:szCs w:val="21"/>
              </w:rPr>
            </w:pPr>
            <w:r>
              <w:rPr>
                <w:rFonts w:ascii="??" w:hAnsi="??" w:cs="宋体" w:hint="eastAsia"/>
                <w:kern w:val="0"/>
                <w:szCs w:val="21"/>
              </w:rPr>
              <w:t>6</w:t>
            </w:r>
          </w:p>
        </w:tc>
      </w:tr>
      <w:tr w:rsidR="00E7660F" w:rsidRPr="00047BD8" w:rsidTr="00B644CA">
        <w:trPr>
          <w:trHeight w:val="533"/>
          <w:jc w:val="center"/>
        </w:trPr>
        <w:tc>
          <w:tcPr>
            <w:tcW w:w="2797" w:type="dxa"/>
          </w:tcPr>
          <w:p w:rsidR="00E7660F" w:rsidRDefault="00E7660F" w:rsidP="00E5732A">
            <w:r w:rsidRPr="00056372">
              <w:rPr>
                <w:rFonts w:hint="eastAsia"/>
              </w:rPr>
              <w:t>富国中证红利指数增强型证券投资基金</w:t>
            </w:r>
          </w:p>
        </w:tc>
        <w:tc>
          <w:tcPr>
            <w:tcW w:w="1277" w:type="dxa"/>
          </w:tcPr>
          <w:p w:rsidR="00E7660F" w:rsidRDefault="00E7660F" w:rsidP="00E5732A">
            <w:r w:rsidRPr="00B844D7">
              <w:rPr>
                <w:rFonts w:hint="eastAsia"/>
              </w:rPr>
              <w:t>天味食品</w:t>
            </w:r>
          </w:p>
        </w:tc>
        <w:tc>
          <w:tcPr>
            <w:tcW w:w="1277" w:type="dxa"/>
          </w:tcPr>
          <w:p w:rsidR="00E7660F" w:rsidRDefault="00E7660F" w:rsidP="00E5732A">
            <w:r w:rsidRPr="006D7992">
              <w:t>52,631.00</w:t>
            </w:r>
          </w:p>
        </w:tc>
        <w:tc>
          <w:tcPr>
            <w:tcW w:w="1419" w:type="dxa"/>
          </w:tcPr>
          <w:p w:rsidR="00E7660F" w:rsidRDefault="00E7660F" w:rsidP="00E5732A">
            <w:r w:rsidRPr="00F93E96">
              <w:t>2,999,967.00</w:t>
            </w:r>
          </w:p>
        </w:tc>
        <w:tc>
          <w:tcPr>
            <w:tcW w:w="1133" w:type="dxa"/>
          </w:tcPr>
          <w:p w:rsidR="00E7660F" w:rsidRDefault="00E7660F" w:rsidP="00E5732A">
            <w:r>
              <w:t>0.0695</w:t>
            </w:r>
          </w:p>
        </w:tc>
        <w:tc>
          <w:tcPr>
            <w:tcW w:w="1847" w:type="dxa"/>
          </w:tcPr>
          <w:p w:rsidR="00E7660F" w:rsidRDefault="00E7660F" w:rsidP="00E5732A">
            <w:r w:rsidRPr="00393B05">
              <w:t xml:space="preserve"> 3,043,650.73 </w:t>
            </w:r>
          </w:p>
        </w:tc>
        <w:tc>
          <w:tcPr>
            <w:tcW w:w="993" w:type="dxa"/>
          </w:tcPr>
          <w:p w:rsidR="00E7660F" w:rsidRDefault="00E7660F" w:rsidP="00E5732A">
            <w:r>
              <w:t>0.0705</w:t>
            </w:r>
          </w:p>
        </w:tc>
        <w:tc>
          <w:tcPr>
            <w:tcW w:w="751" w:type="dxa"/>
            <w:vAlign w:val="center"/>
          </w:tcPr>
          <w:p w:rsidR="00E7660F" w:rsidRDefault="00E7660F" w:rsidP="00E5732A">
            <w:pPr>
              <w:jc w:val="center"/>
              <w:rPr>
                <w:rFonts w:ascii="??" w:hAnsi="??" w:cs="宋体" w:hint="eastAsia"/>
                <w:kern w:val="0"/>
                <w:szCs w:val="21"/>
              </w:rPr>
            </w:pPr>
            <w:r>
              <w:rPr>
                <w:rFonts w:ascii="??" w:hAnsi="??" w:cs="宋体" w:hint="eastAsia"/>
                <w:kern w:val="0"/>
                <w:szCs w:val="21"/>
              </w:rPr>
              <w:t>6</w:t>
            </w:r>
          </w:p>
        </w:tc>
      </w:tr>
    </w:tbl>
    <w:p w:rsidR="001420EB" w:rsidRPr="00503051" w:rsidRDefault="001420EB" w:rsidP="00503051">
      <w:pPr>
        <w:pStyle w:val="Default"/>
        <w:spacing w:line="360" w:lineRule="auto"/>
        <w:ind w:firstLineChars="200" w:firstLine="480"/>
        <w:rPr>
          <w:rFonts w:ascii="宋体" w:eastAsia="宋体" w:hAnsi="宋体" w:cs="宋体"/>
          <w:color w:val="auto"/>
        </w:rPr>
      </w:pPr>
      <w:r w:rsidRPr="00503051">
        <w:rPr>
          <w:rFonts w:ascii="宋体" w:eastAsia="宋体" w:hAnsi="宋体" w:cs="宋体" w:hint="eastAsia"/>
          <w:color w:val="auto"/>
        </w:rPr>
        <w:t>注：基金资产净值、账面价值为</w:t>
      </w:r>
      <w:r w:rsidR="00BD4B84" w:rsidRPr="00503051">
        <w:rPr>
          <w:rFonts w:ascii="宋体" w:eastAsia="宋体" w:hAnsi="宋体" w:cs="宋体"/>
          <w:color w:val="auto"/>
        </w:rPr>
        <w:t>2020</w:t>
      </w:r>
      <w:r w:rsidR="00A14545" w:rsidRPr="00503051">
        <w:rPr>
          <w:rFonts w:ascii="宋体" w:eastAsia="宋体" w:hAnsi="宋体" w:cs="宋体" w:hint="eastAsia"/>
          <w:color w:val="auto"/>
        </w:rPr>
        <w:t>年</w:t>
      </w:r>
      <w:r w:rsidR="006800DC">
        <w:rPr>
          <w:rFonts w:ascii="宋体" w:eastAsia="宋体" w:hAnsi="宋体" w:cs="宋体" w:hint="eastAsia"/>
          <w:color w:val="auto"/>
        </w:rPr>
        <w:t>1</w:t>
      </w:r>
      <w:r w:rsidR="00B644CA">
        <w:rPr>
          <w:rFonts w:ascii="宋体" w:eastAsia="宋体" w:hAnsi="宋体" w:cs="宋体" w:hint="eastAsia"/>
          <w:color w:val="auto"/>
        </w:rPr>
        <w:t>2</w:t>
      </w:r>
      <w:r w:rsidR="00A14545" w:rsidRPr="00503051">
        <w:rPr>
          <w:rFonts w:ascii="宋体" w:eastAsia="宋体" w:hAnsi="宋体" w:cs="宋体" w:hint="eastAsia"/>
          <w:color w:val="auto"/>
        </w:rPr>
        <w:t>月</w:t>
      </w:r>
      <w:r w:rsidR="00B644CA">
        <w:rPr>
          <w:rFonts w:ascii="宋体" w:eastAsia="宋体" w:hAnsi="宋体" w:cs="宋体" w:hint="eastAsia"/>
          <w:color w:val="auto"/>
        </w:rPr>
        <w:t>02</w:t>
      </w:r>
      <w:r w:rsidR="00A14545" w:rsidRPr="00503051">
        <w:rPr>
          <w:rFonts w:ascii="宋体" w:eastAsia="宋体" w:hAnsi="宋体" w:cs="宋体" w:hint="eastAsia"/>
          <w:color w:val="auto"/>
        </w:rPr>
        <w:t>日</w:t>
      </w:r>
      <w:r w:rsidRPr="00503051">
        <w:rPr>
          <w:rFonts w:ascii="宋体" w:eastAsia="宋体" w:hAnsi="宋体" w:cs="宋体" w:hint="eastAsia"/>
          <w:color w:val="auto"/>
        </w:rPr>
        <w:t>数据。</w:t>
      </w:r>
    </w:p>
    <w:p w:rsidR="00503051" w:rsidRPr="00503051" w:rsidRDefault="00106014" w:rsidP="00503051">
      <w:pPr>
        <w:pStyle w:val="Default"/>
        <w:spacing w:line="360" w:lineRule="auto"/>
        <w:ind w:firstLineChars="200" w:firstLine="480"/>
        <w:rPr>
          <w:rFonts w:ascii="宋体" w:eastAsia="宋体" w:hAnsi="宋体" w:cs="宋体"/>
          <w:color w:val="auto"/>
        </w:rPr>
      </w:pPr>
      <w:r w:rsidRPr="00503051">
        <w:rPr>
          <w:rFonts w:ascii="宋体" w:eastAsia="宋体" w:hAnsi="宋体" w:cs="宋体" w:hint="eastAsia"/>
          <w:color w:val="auto"/>
        </w:rPr>
        <w:t>投资者可以登陆富国基金管理有限公司网站www.fullgoal.com.cn或拨打富国基金管理有限公司客户服务热线95105686、4008880688（全国统一，均免长途</w:t>
      </w:r>
      <w:r w:rsidRPr="00503051">
        <w:rPr>
          <w:rFonts w:ascii="宋体" w:eastAsia="宋体" w:hAnsi="宋体" w:cs="宋体" w:hint="eastAsia"/>
          <w:color w:val="auto"/>
        </w:rPr>
        <w:lastRenderedPageBreak/>
        <w:t>费）进行相关咨询。</w:t>
      </w:r>
    </w:p>
    <w:p w:rsidR="00106014" w:rsidRPr="00503051" w:rsidRDefault="00106014" w:rsidP="00503051">
      <w:pPr>
        <w:pStyle w:val="Default"/>
        <w:spacing w:line="360" w:lineRule="auto"/>
        <w:ind w:firstLineChars="200" w:firstLine="480"/>
        <w:rPr>
          <w:rFonts w:ascii="宋体" w:eastAsia="宋体" w:hAnsi="宋体" w:cs="宋体" w:hint="eastAsia"/>
          <w:color w:val="auto"/>
        </w:rPr>
      </w:pPr>
      <w:r w:rsidRPr="00503051">
        <w:rPr>
          <w:rFonts w:ascii="宋体" w:eastAsia="宋体" w:hAnsi="宋体" w:cs="宋体" w:hint="eastAsia"/>
          <w:color w:val="auto"/>
        </w:rPr>
        <w:t>风险提示：基金管理人承诺以诚实信用、勤勉尽责的原则管理和运用基金资产，但不保证基金一定盈利，也不保证最低收益。投资者投资于</w:t>
      </w:r>
      <w:r w:rsidR="00F1353E" w:rsidRPr="00503051">
        <w:rPr>
          <w:rFonts w:ascii="宋体" w:eastAsia="宋体" w:hAnsi="宋体" w:cs="宋体" w:hint="eastAsia"/>
          <w:color w:val="auto"/>
        </w:rPr>
        <w:t>上述</w:t>
      </w:r>
      <w:r w:rsidRPr="00503051">
        <w:rPr>
          <w:rFonts w:ascii="宋体" w:eastAsia="宋体" w:hAnsi="宋体" w:cs="宋体" w:hint="eastAsia"/>
          <w:color w:val="auto"/>
        </w:rPr>
        <w:t>基金前应认真阅读相关基金的基金合同和招募说明书。</w:t>
      </w:r>
    </w:p>
    <w:p w:rsidR="00503051" w:rsidRPr="00503051" w:rsidRDefault="001420EB" w:rsidP="00503051">
      <w:pPr>
        <w:pStyle w:val="Default"/>
        <w:spacing w:line="360" w:lineRule="auto"/>
        <w:ind w:firstLineChars="200" w:firstLine="480"/>
        <w:rPr>
          <w:rFonts w:ascii="宋体" w:eastAsia="宋体" w:hAnsi="宋体" w:cs="宋体"/>
          <w:color w:val="auto"/>
        </w:rPr>
      </w:pPr>
      <w:r w:rsidRPr="00503051">
        <w:rPr>
          <w:rFonts w:ascii="宋体" w:eastAsia="宋体" w:hAnsi="宋体" w:cs="宋体" w:hint="eastAsia"/>
          <w:color w:val="auto"/>
        </w:rPr>
        <w:t>特此公告</w:t>
      </w:r>
      <w:r w:rsidR="00106014" w:rsidRPr="00503051">
        <w:rPr>
          <w:rFonts w:ascii="宋体" w:eastAsia="宋体" w:hAnsi="宋体" w:cs="宋体" w:hint="eastAsia"/>
          <w:color w:val="auto"/>
        </w:rPr>
        <w:t>。</w:t>
      </w:r>
    </w:p>
    <w:p w:rsidR="001420EB" w:rsidRPr="00047BD8" w:rsidRDefault="001420EB" w:rsidP="00503051">
      <w:pPr>
        <w:widowControl/>
        <w:spacing w:before="100" w:beforeAutospacing="1" w:after="375"/>
        <w:ind w:firstLine="420"/>
        <w:jc w:val="right"/>
        <w:rPr>
          <w:rFonts w:ascii="宋体" w:cs="宋体"/>
          <w:kern w:val="0"/>
          <w:sz w:val="24"/>
          <w:szCs w:val="24"/>
        </w:rPr>
      </w:pPr>
      <w:r w:rsidRPr="00047BD8">
        <w:rPr>
          <w:rFonts w:ascii="宋体" w:hAnsi="宋体" w:cs="宋体" w:hint="eastAsia"/>
          <w:kern w:val="0"/>
          <w:sz w:val="24"/>
          <w:szCs w:val="24"/>
        </w:rPr>
        <w:t>富国基金管理有限公司</w:t>
      </w:r>
    </w:p>
    <w:p w:rsidR="003A394A" w:rsidRPr="00B832BF" w:rsidRDefault="00503051" w:rsidP="00503051">
      <w:pPr>
        <w:widowControl/>
        <w:spacing w:before="100" w:beforeAutospacing="1"/>
        <w:ind w:firstLine="420"/>
        <w:jc w:val="right"/>
        <w:rPr>
          <w:rFonts w:ascii="宋体" w:hAnsi="宋体" w:cs="宋体" w:hint="eastAsia"/>
          <w:color w:val="000000"/>
          <w:kern w:val="0"/>
          <w:sz w:val="24"/>
          <w:szCs w:val="24"/>
        </w:rPr>
      </w:pPr>
      <w:r>
        <w:rPr>
          <w:rFonts w:ascii="宋体" w:hAnsi="宋体" w:cs="宋体"/>
          <w:kern w:val="0"/>
          <w:sz w:val="24"/>
          <w:szCs w:val="24"/>
        </w:rPr>
        <w:t>2020</w:t>
      </w:r>
      <w:r w:rsidR="00A14545">
        <w:rPr>
          <w:rFonts w:ascii="宋体" w:hAnsi="宋体" w:cs="宋体" w:hint="eastAsia"/>
          <w:kern w:val="0"/>
          <w:sz w:val="24"/>
          <w:szCs w:val="24"/>
        </w:rPr>
        <w:t>年</w:t>
      </w:r>
      <w:r w:rsidR="00E30FF7">
        <w:rPr>
          <w:rFonts w:ascii="宋体" w:hAnsi="宋体" w:cs="宋体" w:hint="eastAsia"/>
          <w:kern w:val="0"/>
          <w:sz w:val="24"/>
          <w:szCs w:val="24"/>
        </w:rPr>
        <w:t>1</w:t>
      </w:r>
      <w:r w:rsidR="00B644CA">
        <w:rPr>
          <w:rFonts w:ascii="宋体" w:hAnsi="宋体" w:cs="宋体" w:hint="eastAsia"/>
          <w:kern w:val="0"/>
          <w:sz w:val="24"/>
          <w:szCs w:val="24"/>
        </w:rPr>
        <w:t>2</w:t>
      </w:r>
      <w:r w:rsidR="00A14545">
        <w:rPr>
          <w:rFonts w:ascii="宋体" w:hAnsi="宋体" w:cs="宋体" w:hint="eastAsia"/>
          <w:kern w:val="0"/>
          <w:sz w:val="24"/>
          <w:szCs w:val="24"/>
        </w:rPr>
        <w:t>月</w:t>
      </w:r>
      <w:r w:rsidR="00B644CA">
        <w:rPr>
          <w:rFonts w:ascii="宋体" w:hAnsi="宋体" w:cs="宋体" w:hint="eastAsia"/>
          <w:kern w:val="0"/>
          <w:sz w:val="24"/>
          <w:szCs w:val="24"/>
        </w:rPr>
        <w:t>0</w:t>
      </w:r>
      <w:r w:rsidR="00C041C7">
        <w:rPr>
          <w:rFonts w:ascii="宋体" w:hAnsi="宋体" w:cs="宋体"/>
          <w:kern w:val="0"/>
          <w:sz w:val="24"/>
          <w:szCs w:val="24"/>
        </w:rPr>
        <w:t>4</w:t>
      </w:r>
      <w:r w:rsidR="00A14545">
        <w:rPr>
          <w:rFonts w:ascii="宋体" w:hAnsi="宋体" w:cs="宋体" w:hint="eastAsia"/>
          <w:kern w:val="0"/>
          <w:sz w:val="24"/>
          <w:szCs w:val="24"/>
        </w:rPr>
        <w:t>日</w:t>
      </w:r>
      <w:r w:rsidR="001420EB" w:rsidRPr="00FD1D1E">
        <w:rPr>
          <w:rFonts w:ascii="宋体" w:hAnsi="宋体" w:cs="宋体"/>
          <w:color w:val="000000"/>
          <w:kern w:val="0"/>
          <w:sz w:val="24"/>
          <w:szCs w:val="24"/>
        </w:rPr>
        <w:t xml:space="preserve"> </w:t>
      </w:r>
    </w:p>
    <w:sectPr w:rsidR="003A394A" w:rsidRPr="00B832BF" w:rsidSect="00ED2E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D5F" w:rsidRDefault="00761D5F" w:rsidP="00CC37A0">
      <w:r>
        <w:separator/>
      </w:r>
    </w:p>
  </w:endnote>
  <w:endnote w:type="continuationSeparator" w:id="0">
    <w:p w:rsidR="00761D5F" w:rsidRDefault="00761D5F" w:rsidP="00CC3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D5F" w:rsidRDefault="00761D5F" w:rsidP="00CC37A0">
      <w:r>
        <w:separator/>
      </w:r>
    </w:p>
  </w:footnote>
  <w:footnote w:type="continuationSeparator" w:id="0">
    <w:p w:rsidR="00761D5F" w:rsidRDefault="00761D5F" w:rsidP="00CC3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37E"/>
    <w:rsid w:val="0000031F"/>
    <w:rsid w:val="000236E9"/>
    <w:rsid w:val="000315D0"/>
    <w:rsid w:val="00032568"/>
    <w:rsid w:val="000330E3"/>
    <w:rsid w:val="0004190E"/>
    <w:rsid w:val="00047BD8"/>
    <w:rsid w:val="00050070"/>
    <w:rsid w:val="0006489F"/>
    <w:rsid w:val="00072C5B"/>
    <w:rsid w:val="0008430E"/>
    <w:rsid w:val="00085976"/>
    <w:rsid w:val="000922AB"/>
    <w:rsid w:val="000A3F32"/>
    <w:rsid w:val="000B5BCE"/>
    <w:rsid w:val="000C2A1C"/>
    <w:rsid w:val="000C6BBA"/>
    <w:rsid w:val="000E31EF"/>
    <w:rsid w:val="000E44F6"/>
    <w:rsid w:val="000E5A74"/>
    <w:rsid w:val="000F23B7"/>
    <w:rsid w:val="000F42FC"/>
    <w:rsid w:val="00106014"/>
    <w:rsid w:val="00113E78"/>
    <w:rsid w:val="00137D3A"/>
    <w:rsid w:val="001420EB"/>
    <w:rsid w:val="00142BD2"/>
    <w:rsid w:val="00146EB4"/>
    <w:rsid w:val="0015261E"/>
    <w:rsid w:val="0016522E"/>
    <w:rsid w:val="0018091A"/>
    <w:rsid w:val="0019183C"/>
    <w:rsid w:val="001957B1"/>
    <w:rsid w:val="001D0144"/>
    <w:rsid w:val="001E6159"/>
    <w:rsid w:val="001F3820"/>
    <w:rsid w:val="001F535B"/>
    <w:rsid w:val="002056CB"/>
    <w:rsid w:val="00223164"/>
    <w:rsid w:val="00236FA5"/>
    <w:rsid w:val="00246F48"/>
    <w:rsid w:val="00256601"/>
    <w:rsid w:val="00261FF6"/>
    <w:rsid w:val="00265456"/>
    <w:rsid w:val="00293706"/>
    <w:rsid w:val="002950F3"/>
    <w:rsid w:val="002954E6"/>
    <w:rsid w:val="002B7691"/>
    <w:rsid w:val="002C204E"/>
    <w:rsid w:val="002D668E"/>
    <w:rsid w:val="002E69BE"/>
    <w:rsid w:val="002F471D"/>
    <w:rsid w:val="0031062B"/>
    <w:rsid w:val="00311BA8"/>
    <w:rsid w:val="0034411B"/>
    <w:rsid w:val="00377F98"/>
    <w:rsid w:val="003863AF"/>
    <w:rsid w:val="003A394A"/>
    <w:rsid w:val="003B241E"/>
    <w:rsid w:val="003B35E9"/>
    <w:rsid w:val="003B480F"/>
    <w:rsid w:val="003B6B3F"/>
    <w:rsid w:val="003C6997"/>
    <w:rsid w:val="003D11F4"/>
    <w:rsid w:val="003E3D63"/>
    <w:rsid w:val="003E5026"/>
    <w:rsid w:val="003E7ADF"/>
    <w:rsid w:val="003F3D21"/>
    <w:rsid w:val="003F5BF3"/>
    <w:rsid w:val="003F5CDF"/>
    <w:rsid w:val="004115C2"/>
    <w:rsid w:val="0041486D"/>
    <w:rsid w:val="00434648"/>
    <w:rsid w:val="004665EF"/>
    <w:rsid w:val="00475029"/>
    <w:rsid w:val="004822DE"/>
    <w:rsid w:val="00484009"/>
    <w:rsid w:val="004A08E2"/>
    <w:rsid w:val="004A60C7"/>
    <w:rsid w:val="004C28CD"/>
    <w:rsid w:val="004E07FB"/>
    <w:rsid w:val="004E673F"/>
    <w:rsid w:val="004F3F4A"/>
    <w:rsid w:val="004F7DC6"/>
    <w:rsid w:val="005021B7"/>
    <w:rsid w:val="00503051"/>
    <w:rsid w:val="005152A1"/>
    <w:rsid w:val="0052771A"/>
    <w:rsid w:val="00530E04"/>
    <w:rsid w:val="00531E6D"/>
    <w:rsid w:val="005333C9"/>
    <w:rsid w:val="005554E5"/>
    <w:rsid w:val="00564975"/>
    <w:rsid w:val="00595430"/>
    <w:rsid w:val="005B16F5"/>
    <w:rsid w:val="005C0230"/>
    <w:rsid w:val="005C2DC3"/>
    <w:rsid w:val="006027FA"/>
    <w:rsid w:val="0060444E"/>
    <w:rsid w:val="00611390"/>
    <w:rsid w:val="0063433C"/>
    <w:rsid w:val="006371CB"/>
    <w:rsid w:val="006408E8"/>
    <w:rsid w:val="00647F2B"/>
    <w:rsid w:val="0065384E"/>
    <w:rsid w:val="006627C6"/>
    <w:rsid w:val="006755EA"/>
    <w:rsid w:val="006800DC"/>
    <w:rsid w:val="00696A9B"/>
    <w:rsid w:val="006B5813"/>
    <w:rsid w:val="006C1562"/>
    <w:rsid w:val="006C166E"/>
    <w:rsid w:val="006C4626"/>
    <w:rsid w:val="006C4EE4"/>
    <w:rsid w:val="006E1683"/>
    <w:rsid w:val="006E616E"/>
    <w:rsid w:val="006F75D9"/>
    <w:rsid w:val="007037F2"/>
    <w:rsid w:val="00724134"/>
    <w:rsid w:val="00724F46"/>
    <w:rsid w:val="0073671A"/>
    <w:rsid w:val="00744C6C"/>
    <w:rsid w:val="00750345"/>
    <w:rsid w:val="007570BA"/>
    <w:rsid w:val="00761D5F"/>
    <w:rsid w:val="00764CBF"/>
    <w:rsid w:val="007779D3"/>
    <w:rsid w:val="007A021D"/>
    <w:rsid w:val="007A5AFC"/>
    <w:rsid w:val="007B2A9F"/>
    <w:rsid w:val="007B56D0"/>
    <w:rsid w:val="007B75F2"/>
    <w:rsid w:val="007C5156"/>
    <w:rsid w:val="007C75D9"/>
    <w:rsid w:val="007E1EB9"/>
    <w:rsid w:val="007E2073"/>
    <w:rsid w:val="007E30A6"/>
    <w:rsid w:val="007E4203"/>
    <w:rsid w:val="007F395E"/>
    <w:rsid w:val="007F4BAE"/>
    <w:rsid w:val="00805840"/>
    <w:rsid w:val="00810C9D"/>
    <w:rsid w:val="008179EF"/>
    <w:rsid w:val="00821D5A"/>
    <w:rsid w:val="0082227C"/>
    <w:rsid w:val="00840965"/>
    <w:rsid w:val="0084245A"/>
    <w:rsid w:val="00853C5E"/>
    <w:rsid w:val="0086164B"/>
    <w:rsid w:val="008A037E"/>
    <w:rsid w:val="008A04CA"/>
    <w:rsid w:val="008A3F03"/>
    <w:rsid w:val="008A618C"/>
    <w:rsid w:val="008D4872"/>
    <w:rsid w:val="008D4B16"/>
    <w:rsid w:val="008F3BF0"/>
    <w:rsid w:val="00901A50"/>
    <w:rsid w:val="009069A4"/>
    <w:rsid w:val="00907BD8"/>
    <w:rsid w:val="009335FF"/>
    <w:rsid w:val="00962915"/>
    <w:rsid w:val="00964D55"/>
    <w:rsid w:val="00966552"/>
    <w:rsid w:val="009668C7"/>
    <w:rsid w:val="00974A44"/>
    <w:rsid w:val="009B482D"/>
    <w:rsid w:val="009C3F12"/>
    <w:rsid w:val="009C530A"/>
    <w:rsid w:val="009E1900"/>
    <w:rsid w:val="00A06E1C"/>
    <w:rsid w:val="00A07AC3"/>
    <w:rsid w:val="00A14545"/>
    <w:rsid w:val="00A23F9F"/>
    <w:rsid w:val="00A24F1D"/>
    <w:rsid w:val="00A26F15"/>
    <w:rsid w:val="00A40848"/>
    <w:rsid w:val="00A40971"/>
    <w:rsid w:val="00A41A4A"/>
    <w:rsid w:val="00A65ABB"/>
    <w:rsid w:val="00A8189F"/>
    <w:rsid w:val="00A81FAD"/>
    <w:rsid w:val="00A9221A"/>
    <w:rsid w:val="00A94551"/>
    <w:rsid w:val="00AA0FD1"/>
    <w:rsid w:val="00AB2340"/>
    <w:rsid w:val="00AB306F"/>
    <w:rsid w:val="00AC3E8D"/>
    <w:rsid w:val="00AC7A1D"/>
    <w:rsid w:val="00AC7F56"/>
    <w:rsid w:val="00AD2A0D"/>
    <w:rsid w:val="00AE30A4"/>
    <w:rsid w:val="00B02503"/>
    <w:rsid w:val="00B13272"/>
    <w:rsid w:val="00B14051"/>
    <w:rsid w:val="00B15910"/>
    <w:rsid w:val="00B26E3A"/>
    <w:rsid w:val="00B42208"/>
    <w:rsid w:val="00B42253"/>
    <w:rsid w:val="00B431C2"/>
    <w:rsid w:val="00B5579B"/>
    <w:rsid w:val="00B607BE"/>
    <w:rsid w:val="00B62473"/>
    <w:rsid w:val="00B644CA"/>
    <w:rsid w:val="00B72BAA"/>
    <w:rsid w:val="00B753F6"/>
    <w:rsid w:val="00B832BF"/>
    <w:rsid w:val="00B85962"/>
    <w:rsid w:val="00B95123"/>
    <w:rsid w:val="00BD4B84"/>
    <w:rsid w:val="00BE10B2"/>
    <w:rsid w:val="00C041C7"/>
    <w:rsid w:val="00C122D0"/>
    <w:rsid w:val="00C237D2"/>
    <w:rsid w:val="00C255A4"/>
    <w:rsid w:val="00C40659"/>
    <w:rsid w:val="00C42CBA"/>
    <w:rsid w:val="00C444CE"/>
    <w:rsid w:val="00C47340"/>
    <w:rsid w:val="00C551B8"/>
    <w:rsid w:val="00C85ED6"/>
    <w:rsid w:val="00CA08A1"/>
    <w:rsid w:val="00CC37A0"/>
    <w:rsid w:val="00CD032D"/>
    <w:rsid w:val="00CD782C"/>
    <w:rsid w:val="00CE1881"/>
    <w:rsid w:val="00CE3D83"/>
    <w:rsid w:val="00CE56A2"/>
    <w:rsid w:val="00D10A99"/>
    <w:rsid w:val="00D112B2"/>
    <w:rsid w:val="00D1291A"/>
    <w:rsid w:val="00D26CAC"/>
    <w:rsid w:val="00D41770"/>
    <w:rsid w:val="00D42E5F"/>
    <w:rsid w:val="00D55408"/>
    <w:rsid w:val="00D619BE"/>
    <w:rsid w:val="00D66FD5"/>
    <w:rsid w:val="00D727A4"/>
    <w:rsid w:val="00D74AF2"/>
    <w:rsid w:val="00D803DC"/>
    <w:rsid w:val="00D808C7"/>
    <w:rsid w:val="00D85433"/>
    <w:rsid w:val="00D96CA2"/>
    <w:rsid w:val="00DA5013"/>
    <w:rsid w:val="00DC00EB"/>
    <w:rsid w:val="00DC0FA0"/>
    <w:rsid w:val="00DD5C27"/>
    <w:rsid w:val="00DD677F"/>
    <w:rsid w:val="00DD6D6E"/>
    <w:rsid w:val="00DE3FCD"/>
    <w:rsid w:val="00DF25D2"/>
    <w:rsid w:val="00E00DC5"/>
    <w:rsid w:val="00E01F49"/>
    <w:rsid w:val="00E07149"/>
    <w:rsid w:val="00E130CA"/>
    <w:rsid w:val="00E30FF7"/>
    <w:rsid w:val="00E31B3E"/>
    <w:rsid w:val="00E458F7"/>
    <w:rsid w:val="00E50C70"/>
    <w:rsid w:val="00E5732A"/>
    <w:rsid w:val="00E57552"/>
    <w:rsid w:val="00E7660F"/>
    <w:rsid w:val="00E8077B"/>
    <w:rsid w:val="00EB4B61"/>
    <w:rsid w:val="00EC21AA"/>
    <w:rsid w:val="00EC3C3A"/>
    <w:rsid w:val="00EC4627"/>
    <w:rsid w:val="00ED2E2E"/>
    <w:rsid w:val="00ED515D"/>
    <w:rsid w:val="00ED5B31"/>
    <w:rsid w:val="00ED69ED"/>
    <w:rsid w:val="00EE1AF3"/>
    <w:rsid w:val="00EE3160"/>
    <w:rsid w:val="00EF24FC"/>
    <w:rsid w:val="00EF4B5E"/>
    <w:rsid w:val="00EF7D90"/>
    <w:rsid w:val="00F1353E"/>
    <w:rsid w:val="00F13C6A"/>
    <w:rsid w:val="00F40A0C"/>
    <w:rsid w:val="00F45241"/>
    <w:rsid w:val="00F51BD8"/>
    <w:rsid w:val="00F565E7"/>
    <w:rsid w:val="00F605B4"/>
    <w:rsid w:val="00F72B9E"/>
    <w:rsid w:val="00F81885"/>
    <w:rsid w:val="00F85CEE"/>
    <w:rsid w:val="00F862D6"/>
    <w:rsid w:val="00F91D8D"/>
    <w:rsid w:val="00FA7BE4"/>
    <w:rsid w:val="00FB5803"/>
    <w:rsid w:val="00FD0031"/>
    <w:rsid w:val="00FD1D1E"/>
    <w:rsid w:val="00FF3C86"/>
    <w:rsid w:val="00FF47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2E"/>
    <w:pPr>
      <w:widowControl w:val="0"/>
      <w:jc w:val="both"/>
    </w:pPr>
    <w:rPr>
      <w:kern w:val="2"/>
      <w:sz w:val="21"/>
      <w:szCs w:val="22"/>
    </w:rPr>
  </w:style>
  <w:style w:type="paragraph" w:styleId="1">
    <w:name w:val="heading 1"/>
    <w:basedOn w:val="a"/>
    <w:link w:val="1Char"/>
    <w:uiPriority w:val="99"/>
    <w:qFormat/>
    <w:rsid w:val="00CC37A0"/>
    <w:pPr>
      <w:widowControl/>
      <w:spacing w:before="100" w:beforeAutospacing="1" w:after="100" w:afterAutospacing="1"/>
      <w:jc w:val="left"/>
      <w:outlineLvl w:val="0"/>
    </w:pPr>
    <w:rPr>
      <w:rFonts w:ascii="宋体" w:hAnsi="宋体"/>
      <w:b/>
      <w:bCs/>
      <w:color w:val="000000"/>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C37A0"/>
    <w:rPr>
      <w:rFonts w:ascii="宋体" w:eastAsia="宋体" w:hAnsi="宋体" w:cs="宋体"/>
      <w:b/>
      <w:bCs/>
      <w:color w:val="000000"/>
      <w:kern w:val="36"/>
      <w:sz w:val="48"/>
      <w:szCs w:val="48"/>
    </w:rPr>
  </w:style>
  <w:style w:type="paragraph" w:styleId="a3">
    <w:name w:val="header"/>
    <w:basedOn w:val="a"/>
    <w:link w:val="Char"/>
    <w:uiPriority w:val="99"/>
    <w:semiHidden/>
    <w:rsid w:val="00CC37A0"/>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semiHidden/>
    <w:locked/>
    <w:rsid w:val="00CC37A0"/>
    <w:rPr>
      <w:rFonts w:cs="Times New Roman"/>
      <w:sz w:val="18"/>
      <w:szCs w:val="18"/>
    </w:rPr>
  </w:style>
  <w:style w:type="paragraph" w:styleId="a4">
    <w:name w:val="footer"/>
    <w:basedOn w:val="a"/>
    <w:link w:val="Char0"/>
    <w:uiPriority w:val="99"/>
    <w:semiHidden/>
    <w:rsid w:val="00CC37A0"/>
    <w:pPr>
      <w:tabs>
        <w:tab w:val="center" w:pos="4153"/>
        <w:tab w:val="right" w:pos="8306"/>
      </w:tabs>
      <w:snapToGrid w:val="0"/>
      <w:jc w:val="left"/>
    </w:pPr>
    <w:rPr>
      <w:kern w:val="0"/>
      <w:sz w:val="18"/>
      <w:szCs w:val="18"/>
      <w:lang/>
    </w:rPr>
  </w:style>
  <w:style w:type="character" w:customStyle="1" w:styleId="Char0">
    <w:name w:val="页脚 Char"/>
    <w:link w:val="a4"/>
    <w:uiPriority w:val="99"/>
    <w:semiHidden/>
    <w:locked/>
    <w:rsid w:val="00CC37A0"/>
    <w:rPr>
      <w:rFonts w:cs="Times New Roman"/>
      <w:sz w:val="18"/>
      <w:szCs w:val="18"/>
    </w:rPr>
  </w:style>
  <w:style w:type="character" w:styleId="a5">
    <w:name w:val="Hyperlink"/>
    <w:uiPriority w:val="99"/>
    <w:semiHidden/>
    <w:rsid w:val="00CC37A0"/>
    <w:rPr>
      <w:rFonts w:cs="Times New Roman"/>
      <w:color w:val="000000"/>
      <w:u w:val="none"/>
      <w:effect w:val="none"/>
    </w:rPr>
  </w:style>
  <w:style w:type="character" w:customStyle="1" w:styleId="agreen">
    <w:name w:val="agreen"/>
    <w:uiPriority w:val="99"/>
    <w:rsid w:val="00CC37A0"/>
    <w:rPr>
      <w:rFonts w:cs="Times New Roman"/>
    </w:rPr>
  </w:style>
  <w:style w:type="table" w:styleId="a6">
    <w:name w:val="Table Grid"/>
    <w:basedOn w:val="a1"/>
    <w:uiPriority w:val="99"/>
    <w:rsid w:val="00CC37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Emphasis"/>
    <w:uiPriority w:val="99"/>
    <w:qFormat/>
    <w:rsid w:val="00F40A0C"/>
    <w:rPr>
      <w:rFonts w:cs="Times New Roman"/>
      <w:color w:val="CC0033"/>
    </w:rPr>
  </w:style>
  <w:style w:type="paragraph" w:styleId="a8">
    <w:name w:val="Balloon Text"/>
    <w:basedOn w:val="a"/>
    <w:link w:val="Char1"/>
    <w:uiPriority w:val="99"/>
    <w:semiHidden/>
    <w:unhideWhenUsed/>
    <w:rsid w:val="00AB2340"/>
    <w:rPr>
      <w:sz w:val="18"/>
      <w:szCs w:val="18"/>
      <w:lang/>
    </w:rPr>
  </w:style>
  <w:style w:type="character" w:customStyle="1" w:styleId="Char1">
    <w:name w:val="批注框文本 Char"/>
    <w:link w:val="a8"/>
    <w:uiPriority w:val="99"/>
    <w:semiHidden/>
    <w:rsid w:val="00AB2340"/>
    <w:rPr>
      <w:kern w:val="2"/>
      <w:sz w:val="18"/>
      <w:szCs w:val="18"/>
    </w:rPr>
  </w:style>
  <w:style w:type="character" w:styleId="a9">
    <w:name w:val="annotation reference"/>
    <w:uiPriority w:val="99"/>
    <w:semiHidden/>
    <w:unhideWhenUsed/>
    <w:rsid w:val="00AB2340"/>
    <w:rPr>
      <w:sz w:val="21"/>
      <w:szCs w:val="21"/>
    </w:rPr>
  </w:style>
  <w:style w:type="paragraph" w:styleId="aa">
    <w:name w:val="annotation text"/>
    <w:basedOn w:val="a"/>
    <w:link w:val="Char2"/>
    <w:uiPriority w:val="99"/>
    <w:semiHidden/>
    <w:unhideWhenUsed/>
    <w:rsid w:val="00AB2340"/>
    <w:pPr>
      <w:jc w:val="left"/>
    </w:pPr>
    <w:rPr>
      <w:lang/>
    </w:rPr>
  </w:style>
  <w:style w:type="character" w:customStyle="1" w:styleId="Char2">
    <w:name w:val="批注文字 Char"/>
    <w:link w:val="aa"/>
    <w:uiPriority w:val="99"/>
    <w:semiHidden/>
    <w:rsid w:val="00AB2340"/>
    <w:rPr>
      <w:kern w:val="2"/>
      <w:sz w:val="21"/>
      <w:szCs w:val="22"/>
    </w:rPr>
  </w:style>
  <w:style w:type="paragraph" w:styleId="ab">
    <w:name w:val="annotation subject"/>
    <w:basedOn w:val="aa"/>
    <w:next w:val="aa"/>
    <w:link w:val="Char3"/>
    <w:uiPriority w:val="99"/>
    <w:semiHidden/>
    <w:unhideWhenUsed/>
    <w:rsid w:val="00AB2340"/>
    <w:rPr>
      <w:b/>
      <w:bCs/>
    </w:rPr>
  </w:style>
  <w:style w:type="character" w:customStyle="1" w:styleId="Char3">
    <w:name w:val="批注主题 Char"/>
    <w:link w:val="ab"/>
    <w:uiPriority w:val="99"/>
    <w:semiHidden/>
    <w:rsid w:val="00AB2340"/>
    <w:rPr>
      <w:b/>
      <w:bCs/>
      <w:kern w:val="2"/>
      <w:sz w:val="21"/>
      <w:szCs w:val="22"/>
    </w:rPr>
  </w:style>
  <w:style w:type="paragraph" w:customStyle="1" w:styleId="Default">
    <w:name w:val="Default"/>
    <w:rsid w:val="00611390"/>
    <w:pPr>
      <w:widowControl w:val="0"/>
      <w:autoSpaceDE w:val="0"/>
      <w:autoSpaceDN w:val="0"/>
      <w:adjustRightInd w:val="0"/>
    </w:pPr>
    <w:rPr>
      <w:rFonts w:ascii="华文中宋" w:eastAsia="华文中宋" w:cs="华文中宋"/>
      <w:color w:val="000000"/>
      <w:sz w:val="24"/>
      <w:szCs w:val="24"/>
    </w:rPr>
  </w:style>
  <w:style w:type="paragraph" w:styleId="HTML">
    <w:name w:val="HTML Preformatted"/>
    <w:basedOn w:val="a"/>
    <w:link w:val="HTMLChar"/>
    <w:uiPriority w:val="99"/>
    <w:unhideWhenUsed/>
    <w:rsid w:val="00CE18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rPr>
  </w:style>
  <w:style w:type="character" w:customStyle="1" w:styleId="HTMLChar">
    <w:name w:val="HTML 预设格式 Char"/>
    <w:link w:val="HTML"/>
    <w:uiPriority w:val="99"/>
    <w:rsid w:val="00CE1881"/>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1273551">
      <w:bodyDiv w:val="1"/>
      <w:marLeft w:val="0"/>
      <w:marRight w:val="0"/>
      <w:marTop w:val="0"/>
      <w:marBottom w:val="0"/>
      <w:divBdr>
        <w:top w:val="none" w:sz="0" w:space="0" w:color="auto"/>
        <w:left w:val="none" w:sz="0" w:space="0" w:color="auto"/>
        <w:bottom w:val="none" w:sz="0" w:space="0" w:color="auto"/>
        <w:right w:val="none" w:sz="0" w:space="0" w:color="auto"/>
      </w:divBdr>
    </w:div>
    <w:div w:id="70978291">
      <w:bodyDiv w:val="1"/>
      <w:marLeft w:val="0"/>
      <w:marRight w:val="0"/>
      <w:marTop w:val="0"/>
      <w:marBottom w:val="0"/>
      <w:divBdr>
        <w:top w:val="none" w:sz="0" w:space="0" w:color="auto"/>
        <w:left w:val="none" w:sz="0" w:space="0" w:color="auto"/>
        <w:bottom w:val="none" w:sz="0" w:space="0" w:color="auto"/>
        <w:right w:val="none" w:sz="0" w:space="0" w:color="auto"/>
      </w:divBdr>
    </w:div>
    <w:div w:id="106169610">
      <w:bodyDiv w:val="1"/>
      <w:marLeft w:val="0"/>
      <w:marRight w:val="0"/>
      <w:marTop w:val="0"/>
      <w:marBottom w:val="0"/>
      <w:divBdr>
        <w:top w:val="none" w:sz="0" w:space="0" w:color="auto"/>
        <w:left w:val="none" w:sz="0" w:space="0" w:color="auto"/>
        <w:bottom w:val="none" w:sz="0" w:space="0" w:color="auto"/>
        <w:right w:val="none" w:sz="0" w:space="0" w:color="auto"/>
      </w:divBdr>
    </w:div>
    <w:div w:id="127207808">
      <w:bodyDiv w:val="1"/>
      <w:marLeft w:val="0"/>
      <w:marRight w:val="0"/>
      <w:marTop w:val="0"/>
      <w:marBottom w:val="0"/>
      <w:divBdr>
        <w:top w:val="none" w:sz="0" w:space="0" w:color="auto"/>
        <w:left w:val="none" w:sz="0" w:space="0" w:color="auto"/>
        <w:bottom w:val="none" w:sz="0" w:space="0" w:color="auto"/>
        <w:right w:val="none" w:sz="0" w:space="0" w:color="auto"/>
      </w:divBdr>
    </w:div>
    <w:div w:id="202595031">
      <w:bodyDiv w:val="1"/>
      <w:marLeft w:val="0"/>
      <w:marRight w:val="0"/>
      <w:marTop w:val="0"/>
      <w:marBottom w:val="0"/>
      <w:divBdr>
        <w:top w:val="none" w:sz="0" w:space="0" w:color="auto"/>
        <w:left w:val="none" w:sz="0" w:space="0" w:color="auto"/>
        <w:bottom w:val="none" w:sz="0" w:space="0" w:color="auto"/>
        <w:right w:val="none" w:sz="0" w:space="0" w:color="auto"/>
      </w:divBdr>
    </w:div>
    <w:div w:id="296616066">
      <w:bodyDiv w:val="1"/>
      <w:marLeft w:val="0"/>
      <w:marRight w:val="0"/>
      <w:marTop w:val="0"/>
      <w:marBottom w:val="0"/>
      <w:divBdr>
        <w:top w:val="none" w:sz="0" w:space="0" w:color="auto"/>
        <w:left w:val="none" w:sz="0" w:space="0" w:color="auto"/>
        <w:bottom w:val="none" w:sz="0" w:space="0" w:color="auto"/>
        <w:right w:val="none" w:sz="0" w:space="0" w:color="auto"/>
      </w:divBdr>
    </w:div>
    <w:div w:id="367267274">
      <w:bodyDiv w:val="1"/>
      <w:marLeft w:val="0"/>
      <w:marRight w:val="0"/>
      <w:marTop w:val="0"/>
      <w:marBottom w:val="0"/>
      <w:divBdr>
        <w:top w:val="none" w:sz="0" w:space="0" w:color="auto"/>
        <w:left w:val="none" w:sz="0" w:space="0" w:color="auto"/>
        <w:bottom w:val="none" w:sz="0" w:space="0" w:color="auto"/>
        <w:right w:val="none" w:sz="0" w:space="0" w:color="auto"/>
      </w:divBdr>
    </w:div>
    <w:div w:id="384765180">
      <w:bodyDiv w:val="1"/>
      <w:marLeft w:val="0"/>
      <w:marRight w:val="0"/>
      <w:marTop w:val="0"/>
      <w:marBottom w:val="0"/>
      <w:divBdr>
        <w:top w:val="none" w:sz="0" w:space="0" w:color="auto"/>
        <w:left w:val="none" w:sz="0" w:space="0" w:color="auto"/>
        <w:bottom w:val="none" w:sz="0" w:space="0" w:color="auto"/>
        <w:right w:val="none" w:sz="0" w:space="0" w:color="auto"/>
      </w:divBdr>
    </w:div>
    <w:div w:id="388774683">
      <w:bodyDiv w:val="1"/>
      <w:marLeft w:val="0"/>
      <w:marRight w:val="0"/>
      <w:marTop w:val="0"/>
      <w:marBottom w:val="0"/>
      <w:divBdr>
        <w:top w:val="none" w:sz="0" w:space="0" w:color="auto"/>
        <w:left w:val="none" w:sz="0" w:space="0" w:color="auto"/>
        <w:bottom w:val="none" w:sz="0" w:space="0" w:color="auto"/>
        <w:right w:val="none" w:sz="0" w:space="0" w:color="auto"/>
      </w:divBdr>
    </w:div>
    <w:div w:id="399251580">
      <w:bodyDiv w:val="1"/>
      <w:marLeft w:val="0"/>
      <w:marRight w:val="0"/>
      <w:marTop w:val="0"/>
      <w:marBottom w:val="0"/>
      <w:divBdr>
        <w:top w:val="none" w:sz="0" w:space="0" w:color="auto"/>
        <w:left w:val="none" w:sz="0" w:space="0" w:color="auto"/>
        <w:bottom w:val="none" w:sz="0" w:space="0" w:color="auto"/>
        <w:right w:val="none" w:sz="0" w:space="0" w:color="auto"/>
      </w:divBdr>
    </w:div>
    <w:div w:id="452602782">
      <w:bodyDiv w:val="1"/>
      <w:marLeft w:val="0"/>
      <w:marRight w:val="0"/>
      <w:marTop w:val="0"/>
      <w:marBottom w:val="0"/>
      <w:divBdr>
        <w:top w:val="none" w:sz="0" w:space="0" w:color="auto"/>
        <w:left w:val="none" w:sz="0" w:space="0" w:color="auto"/>
        <w:bottom w:val="none" w:sz="0" w:space="0" w:color="auto"/>
        <w:right w:val="none" w:sz="0" w:space="0" w:color="auto"/>
      </w:divBdr>
    </w:div>
    <w:div w:id="453912247">
      <w:bodyDiv w:val="1"/>
      <w:marLeft w:val="0"/>
      <w:marRight w:val="0"/>
      <w:marTop w:val="0"/>
      <w:marBottom w:val="0"/>
      <w:divBdr>
        <w:top w:val="none" w:sz="0" w:space="0" w:color="auto"/>
        <w:left w:val="none" w:sz="0" w:space="0" w:color="auto"/>
        <w:bottom w:val="none" w:sz="0" w:space="0" w:color="auto"/>
        <w:right w:val="none" w:sz="0" w:space="0" w:color="auto"/>
      </w:divBdr>
    </w:div>
    <w:div w:id="460224933">
      <w:bodyDiv w:val="1"/>
      <w:marLeft w:val="0"/>
      <w:marRight w:val="0"/>
      <w:marTop w:val="0"/>
      <w:marBottom w:val="0"/>
      <w:divBdr>
        <w:top w:val="none" w:sz="0" w:space="0" w:color="auto"/>
        <w:left w:val="none" w:sz="0" w:space="0" w:color="auto"/>
        <w:bottom w:val="none" w:sz="0" w:space="0" w:color="auto"/>
        <w:right w:val="none" w:sz="0" w:space="0" w:color="auto"/>
      </w:divBdr>
    </w:div>
    <w:div w:id="541556003">
      <w:bodyDiv w:val="1"/>
      <w:marLeft w:val="0"/>
      <w:marRight w:val="0"/>
      <w:marTop w:val="0"/>
      <w:marBottom w:val="0"/>
      <w:divBdr>
        <w:top w:val="none" w:sz="0" w:space="0" w:color="auto"/>
        <w:left w:val="none" w:sz="0" w:space="0" w:color="auto"/>
        <w:bottom w:val="none" w:sz="0" w:space="0" w:color="auto"/>
        <w:right w:val="none" w:sz="0" w:space="0" w:color="auto"/>
      </w:divBdr>
    </w:div>
    <w:div w:id="558593944">
      <w:bodyDiv w:val="1"/>
      <w:marLeft w:val="0"/>
      <w:marRight w:val="0"/>
      <w:marTop w:val="0"/>
      <w:marBottom w:val="0"/>
      <w:divBdr>
        <w:top w:val="none" w:sz="0" w:space="0" w:color="auto"/>
        <w:left w:val="none" w:sz="0" w:space="0" w:color="auto"/>
        <w:bottom w:val="none" w:sz="0" w:space="0" w:color="auto"/>
        <w:right w:val="none" w:sz="0" w:space="0" w:color="auto"/>
      </w:divBdr>
    </w:div>
    <w:div w:id="571426398">
      <w:bodyDiv w:val="1"/>
      <w:marLeft w:val="0"/>
      <w:marRight w:val="0"/>
      <w:marTop w:val="0"/>
      <w:marBottom w:val="0"/>
      <w:divBdr>
        <w:top w:val="none" w:sz="0" w:space="0" w:color="auto"/>
        <w:left w:val="none" w:sz="0" w:space="0" w:color="auto"/>
        <w:bottom w:val="none" w:sz="0" w:space="0" w:color="auto"/>
        <w:right w:val="none" w:sz="0" w:space="0" w:color="auto"/>
      </w:divBdr>
    </w:div>
    <w:div w:id="626543312">
      <w:bodyDiv w:val="1"/>
      <w:marLeft w:val="0"/>
      <w:marRight w:val="0"/>
      <w:marTop w:val="0"/>
      <w:marBottom w:val="0"/>
      <w:divBdr>
        <w:top w:val="none" w:sz="0" w:space="0" w:color="auto"/>
        <w:left w:val="none" w:sz="0" w:space="0" w:color="auto"/>
        <w:bottom w:val="none" w:sz="0" w:space="0" w:color="auto"/>
        <w:right w:val="none" w:sz="0" w:space="0" w:color="auto"/>
      </w:divBdr>
    </w:div>
    <w:div w:id="681124295">
      <w:bodyDiv w:val="1"/>
      <w:marLeft w:val="0"/>
      <w:marRight w:val="0"/>
      <w:marTop w:val="0"/>
      <w:marBottom w:val="0"/>
      <w:divBdr>
        <w:top w:val="none" w:sz="0" w:space="0" w:color="auto"/>
        <w:left w:val="none" w:sz="0" w:space="0" w:color="auto"/>
        <w:bottom w:val="none" w:sz="0" w:space="0" w:color="auto"/>
        <w:right w:val="none" w:sz="0" w:space="0" w:color="auto"/>
      </w:divBdr>
    </w:div>
    <w:div w:id="736323842">
      <w:bodyDiv w:val="1"/>
      <w:marLeft w:val="0"/>
      <w:marRight w:val="0"/>
      <w:marTop w:val="0"/>
      <w:marBottom w:val="0"/>
      <w:divBdr>
        <w:top w:val="none" w:sz="0" w:space="0" w:color="auto"/>
        <w:left w:val="none" w:sz="0" w:space="0" w:color="auto"/>
        <w:bottom w:val="none" w:sz="0" w:space="0" w:color="auto"/>
        <w:right w:val="none" w:sz="0" w:space="0" w:color="auto"/>
      </w:divBdr>
    </w:div>
    <w:div w:id="791948588">
      <w:bodyDiv w:val="1"/>
      <w:marLeft w:val="0"/>
      <w:marRight w:val="0"/>
      <w:marTop w:val="0"/>
      <w:marBottom w:val="0"/>
      <w:divBdr>
        <w:top w:val="none" w:sz="0" w:space="0" w:color="auto"/>
        <w:left w:val="none" w:sz="0" w:space="0" w:color="auto"/>
        <w:bottom w:val="none" w:sz="0" w:space="0" w:color="auto"/>
        <w:right w:val="none" w:sz="0" w:space="0" w:color="auto"/>
      </w:divBdr>
    </w:div>
    <w:div w:id="794258356">
      <w:bodyDiv w:val="1"/>
      <w:marLeft w:val="0"/>
      <w:marRight w:val="0"/>
      <w:marTop w:val="0"/>
      <w:marBottom w:val="0"/>
      <w:divBdr>
        <w:top w:val="none" w:sz="0" w:space="0" w:color="auto"/>
        <w:left w:val="none" w:sz="0" w:space="0" w:color="auto"/>
        <w:bottom w:val="none" w:sz="0" w:space="0" w:color="auto"/>
        <w:right w:val="none" w:sz="0" w:space="0" w:color="auto"/>
      </w:divBdr>
    </w:div>
    <w:div w:id="833758532">
      <w:bodyDiv w:val="1"/>
      <w:marLeft w:val="0"/>
      <w:marRight w:val="0"/>
      <w:marTop w:val="0"/>
      <w:marBottom w:val="0"/>
      <w:divBdr>
        <w:top w:val="none" w:sz="0" w:space="0" w:color="auto"/>
        <w:left w:val="none" w:sz="0" w:space="0" w:color="auto"/>
        <w:bottom w:val="none" w:sz="0" w:space="0" w:color="auto"/>
        <w:right w:val="none" w:sz="0" w:space="0" w:color="auto"/>
      </w:divBdr>
    </w:div>
    <w:div w:id="864633446">
      <w:bodyDiv w:val="1"/>
      <w:marLeft w:val="0"/>
      <w:marRight w:val="0"/>
      <w:marTop w:val="0"/>
      <w:marBottom w:val="0"/>
      <w:divBdr>
        <w:top w:val="none" w:sz="0" w:space="0" w:color="auto"/>
        <w:left w:val="none" w:sz="0" w:space="0" w:color="auto"/>
        <w:bottom w:val="none" w:sz="0" w:space="0" w:color="auto"/>
        <w:right w:val="none" w:sz="0" w:space="0" w:color="auto"/>
      </w:divBdr>
    </w:div>
    <w:div w:id="909847428">
      <w:bodyDiv w:val="1"/>
      <w:marLeft w:val="0"/>
      <w:marRight w:val="0"/>
      <w:marTop w:val="0"/>
      <w:marBottom w:val="0"/>
      <w:divBdr>
        <w:top w:val="none" w:sz="0" w:space="0" w:color="auto"/>
        <w:left w:val="none" w:sz="0" w:space="0" w:color="auto"/>
        <w:bottom w:val="none" w:sz="0" w:space="0" w:color="auto"/>
        <w:right w:val="none" w:sz="0" w:space="0" w:color="auto"/>
      </w:divBdr>
    </w:div>
    <w:div w:id="1089237465">
      <w:bodyDiv w:val="1"/>
      <w:marLeft w:val="0"/>
      <w:marRight w:val="0"/>
      <w:marTop w:val="0"/>
      <w:marBottom w:val="0"/>
      <w:divBdr>
        <w:top w:val="none" w:sz="0" w:space="0" w:color="auto"/>
        <w:left w:val="none" w:sz="0" w:space="0" w:color="auto"/>
        <w:bottom w:val="none" w:sz="0" w:space="0" w:color="auto"/>
        <w:right w:val="none" w:sz="0" w:space="0" w:color="auto"/>
      </w:divBdr>
    </w:div>
    <w:div w:id="1121190229">
      <w:bodyDiv w:val="1"/>
      <w:marLeft w:val="0"/>
      <w:marRight w:val="0"/>
      <w:marTop w:val="0"/>
      <w:marBottom w:val="0"/>
      <w:divBdr>
        <w:top w:val="none" w:sz="0" w:space="0" w:color="auto"/>
        <w:left w:val="none" w:sz="0" w:space="0" w:color="auto"/>
        <w:bottom w:val="none" w:sz="0" w:space="0" w:color="auto"/>
        <w:right w:val="none" w:sz="0" w:space="0" w:color="auto"/>
      </w:divBdr>
    </w:div>
    <w:div w:id="1130249194">
      <w:bodyDiv w:val="1"/>
      <w:marLeft w:val="0"/>
      <w:marRight w:val="0"/>
      <w:marTop w:val="0"/>
      <w:marBottom w:val="0"/>
      <w:divBdr>
        <w:top w:val="none" w:sz="0" w:space="0" w:color="auto"/>
        <w:left w:val="none" w:sz="0" w:space="0" w:color="auto"/>
        <w:bottom w:val="none" w:sz="0" w:space="0" w:color="auto"/>
        <w:right w:val="none" w:sz="0" w:space="0" w:color="auto"/>
      </w:divBdr>
    </w:div>
    <w:div w:id="1139879019">
      <w:bodyDiv w:val="1"/>
      <w:marLeft w:val="0"/>
      <w:marRight w:val="0"/>
      <w:marTop w:val="0"/>
      <w:marBottom w:val="0"/>
      <w:divBdr>
        <w:top w:val="none" w:sz="0" w:space="0" w:color="auto"/>
        <w:left w:val="none" w:sz="0" w:space="0" w:color="auto"/>
        <w:bottom w:val="none" w:sz="0" w:space="0" w:color="auto"/>
        <w:right w:val="none" w:sz="0" w:space="0" w:color="auto"/>
      </w:divBdr>
    </w:div>
    <w:div w:id="1190218756">
      <w:bodyDiv w:val="1"/>
      <w:marLeft w:val="0"/>
      <w:marRight w:val="0"/>
      <w:marTop w:val="0"/>
      <w:marBottom w:val="0"/>
      <w:divBdr>
        <w:top w:val="none" w:sz="0" w:space="0" w:color="auto"/>
        <w:left w:val="none" w:sz="0" w:space="0" w:color="auto"/>
        <w:bottom w:val="none" w:sz="0" w:space="0" w:color="auto"/>
        <w:right w:val="none" w:sz="0" w:space="0" w:color="auto"/>
      </w:divBdr>
    </w:div>
    <w:div w:id="1229803428">
      <w:bodyDiv w:val="1"/>
      <w:marLeft w:val="0"/>
      <w:marRight w:val="0"/>
      <w:marTop w:val="0"/>
      <w:marBottom w:val="0"/>
      <w:divBdr>
        <w:top w:val="none" w:sz="0" w:space="0" w:color="auto"/>
        <w:left w:val="none" w:sz="0" w:space="0" w:color="auto"/>
        <w:bottom w:val="none" w:sz="0" w:space="0" w:color="auto"/>
        <w:right w:val="none" w:sz="0" w:space="0" w:color="auto"/>
      </w:divBdr>
    </w:div>
    <w:div w:id="1250041078">
      <w:bodyDiv w:val="1"/>
      <w:marLeft w:val="0"/>
      <w:marRight w:val="0"/>
      <w:marTop w:val="0"/>
      <w:marBottom w:val="0"/>
      <w:divBdr>
        <w:top w:val="none" w:sz="0" w:space="0" w:color="auto"/>
        <w:left w:val="none" w:sz="0" w:space="0" w:color="auto"/>
        <w:bottom w:val="none" w:sz="0" w:space="0" w:color="auto"/>
        <w:right w:val="none" w:sz="0" w:space="0" w:color="auto"/>
      </w:divBdr>
    </w:div>
    <w:div w:id="1255015494">
      <w:bodyDiv w:val="1"/>
      <w:marLeft w:val="0"/>
      <w:marRight w:val="0"/>
      <w:marTop w:val="0"/>
      <w:marBottom w:val="0"/>
      <w:divBdr>
        <w:top w:val="none" w:sz="0" w:space="0" w:color="auto"/>
        <w:left w:val="none" w:sz="0" w:space="0" w:color="auto"/>
        <w:bottom w:val="none" w:sz="0" w:space="0" w:color="auto"/>
        <w:right w:val="none" w:sz="0" w:space="0" w:color="auto"/>
      </w:divBdr>
    </w:div>
    <w:div w:id="1258757287">
      <w:bodyDiv w:val="1"/>
      <w:marLeft w:val="0"/>
      <w:marRight w:val="0"/>
      <w:marTop w:val="0"/>
      <w:marBottom w:val="0"/>
      <w:divBdr>
        <w:top w:val="none" w:sz="0" w:space="0" w:color="auto"/>
        <w:left w:val="none" w:sz="0" w:space="0" w:color="auto"/>
        <w:bottom w:val="none" w:sz="0" w:space="0" w:color="auto"/>
        <w:right w:val="none" w:sz="0" w:space="0" w:color="auto"/>
      </w:divBdr>
    </w:div>
    <w:div w:id="1270508590">
      <w:bodyDiv w:val="1"/>
      <w:marLeft w:val="0"/>
      <w:marRight w:val="0"/>
      <w:marTop w:val="0"/>
      <w:marBottom w:val="0"/>
      <w:divBdr>
        <w:top w:val="none" w:sz="0" w:space="0" w:color="auto"/>
        <w:left w:val="none" w:sz="0" w:space="0" w:color="auto"/>
        <w:bottom w:val="none" w:sz="0" w:space="0" w:color="auto"/>
        <w:right w:val="none" w:sz="0" w:space="0" w:color="auto"/>
      </w:divBdr>
    </w:div>
    <w:div w:id="1293707347">
      <w:bodyDiv w:val="1"/>
      <w:marLeft w:val="0"/>
      <w:marRight w:val="0"/>
      <w:marTop w:val="0"/>
      <w:marBottom w:val="0"/>
      <w:divBdr>
        <w:top w:val="none" w:sz="0" w:space="0" w:color="auto"/>
        <w:left w:val="none" w:sz="0" w:space="0" w:color="auto"/>
        <w:bottom w:val="none" w:sz="0" w:space="0" w:color="auto"/>
        <w:right w:val="none" w:sz="0" w:space="0" w:color="auto"/>
      </w:divBdr>
    </w:div>
    <w:div w:id="1325279456">
      <w:bodyDiv w:val="1"/>
      <w:marLeft w:val="0"/>
      <w:marRight w:val="0"/>
      <w:marTop w:val="0"/>
      <w:marBottom w:val="0"/>
      <w:divBdr>
        <w:top w:val="none" w:sz="0" w:space="0" w:color="auto"/>
        <w:left w:val="none" w:sz="0" w:space="0" w:color="auto"/>
        <w:bottom w:val="none" w:sz="0" w:space="0" w:color="auto"/>
        <w:right w:val="none" w:sz="0" w:space="0" w:color="auto"/>
      </w:divBdr>
    </w:div>
    <w:div w:id="1425833665">
      <w:bodyDiv w:val="1"/>
      <w:marLeft w:val="0"/>
      <w:marRight w:val="0"/>
      <w:marTop w:val="0"/>
      <w:marBottom w:val="0"/>
      <w:divBdr>
        <w:top w:val="none" w:sz="0" w:space="0" w:color="auto"/>
        <w:left w:val="none" w:sz="0" w:space="0" w:color="auto"/>
        <w:bottom w:val="none" w:sz="0" w:space="0" w:color="auto"/>
        <w:right w:val="none" w:sz="0" w:space="0" w:color="auto"/>
      </w:divBdr>
    </w:div>
    <w:div w:id="1481728655">
      <w:bodyDiv w:val="1"/>
      <w:marLeft w:val="0"/>
      <w:marRight w:val="0"/>
      <w:marTop w:val="0"/>
      <w:marBottom w:val="0"/>
      <w:divBdr>
        <w:top w:val="none" w:sz="0" w:space="0" w:color="auto"/>
        <w:left w:val="none" w:sz="0" w:space="0" w:color="auto"/>
        <w:bottom w:val="none" w:sz="0" w:space="0" w:color="auto"/>
        <w:right w:val="none" w:sz="0" w:space="0" w:color="auto"/>
      </w:divBdr>
    </w:div>
    <w:div w:id="1552114796">
      <w:bodyDiv w:val="1"/>
      <w:marLeft w:val="0"/>
      <w:marRight w:val="0"/>
      <w:marTop w:val="0"/>
      <w:marBottom w:val="0"/>
      <w:divBdr>
        <w:top w:val="none" w:sz="0" w:space="0" w:color="auto"/>
        <w:left w:val="none" w:sz="0" w:space="0" w:color="auto"/>
        <w:bottom w:val="none" w:sz="0" w:space="0" w:color="auto"/>
        <w:right w:val="none" w:sz="0" w:space="0" w:color="auto"/>
      </w:divBdr>
    </w:div>
    <w:div w:id="1554002134">
      <w:bodyDiv w:val="1"/>
      <w:marLeft w:val="0"/>
      <w:marRight w:val="0"/>
      <w:marTop w:val="0"/>
      <w:marBottom w:val="0"/>
      <w:divBdr>
        <w:top w:val="none" w:sz="0" w:space="0" w:color="auto"/>
        <w:left w:val="none" w:sz="0" w:space="0" w:color="auto"/>
        <w:bottom w:val="none" w:sz="0" w:space="0" w:color="auto"/>
        <w:right w:val="none" w:sz="0" w:space="0" w:color="auto"/>
      </w:divBdr>
    </w:div>
    <w:div w:id="1561209212">
      <w:bodyDiv w:val="1"/>
      <w:marLeft w:val="0"/>
      <w:marRight w:val="0"/>
      <w:marTop w:val="0"/>
      <w:marBottom w:val="0"/>
      <w:divBdr>
        <w:top w:val="none" w:sz="0" w:space="0" w:color="auto"/>
        <w:left w:val="none" w:sz="0" w:space="0" w:color="auto"/>
        <w:bottom w:val="none" w:sz="0" w:space="0" w:color="auto"/>
        <w:right w:val="none" w:sz="0" w:space="0" w:color="auto"/>
      </w:divBdr>
    </w:div>
    <w:div w:id="1630745061">
      <w:bodyDiv w:val="1"/>
      <w:marLeft w:val="0"/>
      <w:marRight w:val="0"/>
      <w:marTop w:val="0"/>
      <w:marBottom w:val="0"/>
      <w:divBdr>
        <w:top w:val="none" w:sz="0" w:space="0" w:color="auto"/>
        <w:left w:val="none" w:sz="0" w:space="0" w:color="auto"/>
        <w:bottom w:val="none" w:sz="0" w:space="0" w:color="auto"/>
        <w:right w:val="none" w:sz="0" w:space="0" w:color="auto"/>
      </w:divBdr>
    </w:div>
    <w:div w:id="1652901583">
      <w:marLeft w:val="0"/>
      <w:marRight w:val="0"/>
      <w:marTop w:val="0"/>
      <w:marBottom w:val="0"/>
      <w:divBdr>
        <w:top w:val="none" w:sz="0" w:space="0" w:color="auto"/>
        <w:left w:val="none" w:sz="0" w:space="0" w:color="auto"/>
        <w:bottom w:val="none" w:sz="0" w:space="0" w:color="auto"/>
        <w:right w:val="none" w:sz="0" w:space="0" w:color="auto"/>
      </w:divBdr>
      <w:divsChild>
        <w:div w:id="1652901581">
          <w:marLeft w:val="0"/>
          <w:marRight w:val="0"/>
          <w:marTop w:val="0"/>
          <w:marBottom w:val="0"/>
          <w:divBdr>
            <w:top w:val="none" w:sz="0" w:space="0" w:color="auto"/>
            <w:left w:val="none" w:sz="0" w:space="0" w:color="auto"/>
            <w:bottom w:val="none" w:sz="0" w:space="0" w:color="auto"/>
            <w:right w:val="none" w:sz="0" w:space="0" w:color="auto"/>
          </w:divBdr>
          <w:divsChild>
            <w:div w:id="1652901585">
              <w:marLeft w:val="0"/>
              <w:marRight w:val="120"/>
              <w:marTop w:val="0"/>
              <w:marBottom w:val="0"/>
              <w:divBdr>
                <w:top w:val="none" w:sz="0" w:space="0" w:color="auto"/>
                <w:left w:val="none" w:sz="0" w:space="0" w:color="auto"/>
                <w:bottom w:val="none" w:sz="0" w:space="0" w:color="auto"/>
                <w:right w:val="none" w:sz="0" w:space="0" w:color="auto"/>
              </w:divBdr>
              <w:divsChild>
                <w:div w:id="1652901582">
                  <w:marLeft w:val="0"/>
                  <w:marRight w:val="0"/>
                  <w:marTop w:val="0"/>
                  <w:marBottom w:val="0"/>
                  <w:divBdr>
                    <w:top w:val="none" w:sz="0" w:space="0" w:color="auto"/>
                    <w:left w:val="none" w:sz="0" w:space="0" w:color="auto"/>
                    <w:bottom w:val="none" w:sz="0" w:space="0" w:color="auto"/>
                    <w:right w:val="none" w:sz="0" w:space="0" w:color="auto"/>
                  </w:divBdr>
                  <w:divsChild>
                    <w:div w:id="1652901584">
                      <w:marLeft w:val="0"/>
                      <w:marRight w:val="0"/>
                      <w:marTop w:val="300"/>
                      <w:marBottom w:val="420"/>
                      <w:divBdr>
                        <w:top w:val="none" w:sz="0" w:space="0" w:color="auto"/>
                        <w:left w:val="none" w:sz="0" w:space="0" w:color="auto"/>
                        <w:bottom w:val="none" w:sz="0" w:space="0" w:color="auto"/>
                        <w:right w:val="none" w:sz="0" w:space="0" w:color="auto"/>
                      </w:divBdr>
                    </w:div>
                  </w:divsChild>
                </w:div>
              </w:divsChild>
            </w:div>
          </w:divsChild>
        </w:div>
      </w:divsChild>
    </w:div>
    <w:div w:id="1676684293">
      <w:bodyDiv w:val="1"/>
      <w:marLeft w:val="0"/>
      <w:marRight w:val="0"/>
      <w:marTop w:val="0"/>
      <w:marBottom w:val="0"/>
      <w:divBdr>
        <w:top w:val="none" w:sz="0" w:space="0" w:color="auto"/>
        <w:left w:val="none" w:sz="0" w:space="0" w:color="auto"/>
        <w:bottom w:val="none" w:sz="0" w:space="0" w:color="auto"/>
        <w:right w:val="none" w:sz="0" w:space="0" w:color="auto"/>
      </w:divBdr>
    </w:div>
    <w:div w:id="1772310512">
      <w:bodyDiv w:val="1"/>
      <w:marLeft w:val="0"/>
      <w:marRight w:val="0"/>
      <w:marTop w:val="0"/>
      <w:marBottom w:val="0"/>
      <w:divBdr>
        <w:top w:val="none" w:sz="0" w:space="0" w:color="auto"/>
        <w:left w:val="none" w:sz="0" w:space="0" w:color="auto"/>
        <w:bottom w:val="none" w:sz="0" w:space="0" w:color="auto"/>
        <w:right w:val="none" w:sz="0" w:space="0" w:color="auto"/>
      </w:divBdr>
    </w:div>
    <w:div w:id="1784691489">
      <w:bodyDiv w:val="1"/>
      <w:marLeft w:val="0"/>
      <w:marRight w:val="0"/>
      <w:marTop w:val="0"/>
      <w:marBottom w:val="0"/>
      <w:divBdr>
        <w:top w:val="none" w:sz="0" w:space="0" w:color="auto"/>
        <w:left w:val="none" w:sz="0" w:space="0" w:color="auto"/>
        <w:bottom w:val="none" w:sz="0" w:space="0" w:color="auto"/>
        <w:right w:val="none" w:sz="0" w:space="0" w:color="auto"/>
      </w:divBdr>
    </w:div>
    <w:div w:id="1936857780">
      <w:bodyDiv w:val="1"/>
      <w:marLeft w:val="0"/>
      <w:marRight w:val="0"/>
      <w:marTop w:val="0"/>
      <w:marBottom w:val="0"/>
      <w:divBdr>
        <w:top w:val="none" w:sz="0" w:space="0" w:color="auto"/>
        <w:left w:val="none" w:sz="0" w:space="0" w:color="auto"/>
        <w:bottom w:val="none" w:sz="0" w:space="0" w:color="auto"/>
        <w:right w:val="none" w:sz="0" w:space="0" w:color="auto"/>
      </w:divBdr>
    </w:div>
    <w:div w:id="2022396393">
      <w:bodyDiv w:val="1"/>
      <w:marLeft w:val="0"/>
      <w:marRight w:val="0"/>
      <w:marTop w:val="0"/>
      <w:marBottom w:val="0"/>
      <w:divBdr>
        <w:top w:val="none" w:sz="0" w:space="0" w:color="auto"/>
        <w:left w:val="none" w:sz="0" w:space="0" w:color="auto"/>
        <w:bottom w:val="none" w:sz="0" w:space="0" w:color="auto"/>
        <w:right w:val="none" w:sz="0" w:space="0" w:color="auto"/>
      </w:divBdr>
    </w:div>
    <w:div w:id="2056544033">
      <w:bodyDiv w:val="1"/>
      <w:marLeft w:val="0"/>
      <w:marRight w:val="0"/>
      <w:marTop w:val="0"/>
      <w:marBottom w:val="0"/>
      <w:divBdr>
        <w:top w:val="none" w:sz="0" w:space="0" w:color="auto"/>
        <w:left w:val="none" w:sz="0" w:space="0" w:color="auto"/>
        <w:bottom w:val="none" w:sz="0" w:space="0" w:color="auto"/>
        <w:right w:val="none" w:sz="0" w:space="0" w:color="auto"/>
      </w:divBdr>
    </w:div>
    <w:div w:id="20658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B9CA0-40F1-4DFA-AAE8-BE6B4B50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1054</Characters>
  <Application>Microsoft Office Word</Application>
  <DocSecurity>4</DocSecurity>
  <Lines>8</Lines>
  <Paragraphs>2</Paragraphs>
  <ScaleCrop>false</ScaleCrop>
  <Company>fullgoal</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富国基金管理有限公司关于旗下基金投资非公开发行股票的</dc:title>
  <dc:subject/>
  <dc:creator>wujune</dc:creator>
  <cp:keywords/>
  <cp:lastModifiedBy>ZHONGM</cp:lastModifiedBy>
  <cp:revision>2</cp:revision>
  <cp:lastPrinted>2010-07-02T11:05:00Z</cp:lastPrinted>
  <dcterms:created xsi:type="dcterms:W3CDTF">2020-12-03T16:01:00Z</dcterms:created>
  <dcterms:modified xsi:type="dcterms:W3CDTF">2020-12-03T16:01:00Z</dcterms:modified>
</cp:coreProperties>
</file>