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E8" w:rsidRDefault="00BD0199" w:rsidP="007B7CE4">
      <w:pPr>
        <w:widowControl/>
        <w:spacing w:line="360" w:lineRule="auto"/>
        <w:jc w:val="center"/>
        <w:rPr>
          <w:rFonts w:ascii="宋体" w:hAnsi="宋体" w:cs="宋体"/>
          <w:kern w:val="0"/>
          <w:sz w:val="28"/>
          <w:szCs w:val="28"/>
        </w:rPr>
      </w:pPr>
      <w:bookmarkStart w:id="0" w:name="_GoBack"/>
      <w:bookmarkEnd w:id="0"/>
      <w:r w:rsidRPr="006C1507">
        <w:rPr>
          <w:rFonts w:ascii="宋体" w:hAnsi="宋体" w:cs="宋体" w:hint="eastAsia"/>
          <w:kern w:val="0"/>
          <w:sz w:val="28"/>
          <w:szCs w:val="28"/>
        </w:rPr>
        <w:t>工银瑞信基金管理有限公司关于旗下基金</w:t>
      </w:r>
    </w:p>
    <w:p w:rsidR="00BD0199" w:rsidRPr="00E26272" w:rsidRDefault="00C313C5" w:rsidP="00E26272">
      <w:pPr>
        <w:widowControl/>
        <w:spacing w:line="360" w:lineRule="auto"/>
        <w:jc w:val="center"/>
        <w:rPr>
          <w:rFonts w:ascii="宋体" w:hAnsi="宋体" w:cs="宋体"/>
          <w:kern w:val="0"/>
          <w:sz w:val="28"/>
          <w:szCs w:val="28"/>
        </w:rPr>
      </w:pPr>
      <w:r>
        <w:rPr>
          <w:rFonts w:ascii="宋体" w:hAnsi="宋体" w:cs="宋体" w:hint="eastAsia"/>
          <w:kern w:val="0"/>
          <w:sz w:val="28"/>
          <w:szCs w:val="28"/>
        </w:rPr>
        <w:t>投资</w:t>
      </w:r>
      <w:r w:rsidR="00307805" w:rsidRPr="00887B05">
        <w:rPr>
          <w:rFonts w:ascii="宋体" w:hAnsi="宋体" w:cs="宋体" w:hint="eastAsia"/>
          <w:kern w:val="0"/>
          <w:sz w:val="28"/>
          <w:szCs w:val="28"/>
        </w:rPr>
        <w:t>居然之家</w:t>
      </w:r>
      <w:r w:rsidR="00BD0199" w:rsidRPr="000B01E1">
        <w:rPr>
          <w:rFonts w:ascii="宋体" w:hAnsi="宋体" w:cs="宋体" w:hint="eastAsia"/>
          <w:kern w:val="0"/>
          <w:sz w:val="28"/>
          <w:szCs w:val="28"/>
        </w:rPr>
        <w:t>非公开发</w:t>
      </w:r>
      <w:r w:rsidR="00BD0199" w:rsidRPr="006C1507">
        <w:rPr>
          <w:rFonts w:ascii="宋体" w:hAnsi="宋体" w:cs="宋体" w:hint="eastAsia"/>
          <w:kern w:val="0"/>
          <w:sz w:val="28"/>
          <w:szCs w:val="28"/>
        </w:rPr>
        <w:t>行股票的公告</w:t>
      </w:r>
    </w:p>
    <w:p w:rsidR="00E26272" w:rsidRPr="00E26272" w:rsidRDefault="00BD0199" w:rsidP="00B137F6">
      <w:pPr>
        <w:tabs>
          <w:tab w:val="left" w:pos="630"/>
          <w:tab w:val="left" w:pos="735"/>
        </w:tabs>
        <w:spacing w:beforeLines="50" w:afterLines="50" w:line="360" w:lineRule="auto"/>
        <w:ind w:firstLineChars="200" w:firstLine="480"/>
        <w:jc w:val="left"/>
        <w:rPr>
          <w:rFonts w:ascii="宋体" w:hAnsi="宋体" w:cs="宋体"/>
          <w:kern w:val="0"/>
          <w:sz w:val="24"/>
          <w:szCs w:val="24"/>
        </w:rPr>
      </w:pPr>
      <w:r w:rsidRPr="009F69CE">
        <w:rPr>
          <w:rFonts w:ascii="宋体" w:hAnsi="宋体" w:cs="宋体" w:hint="eastAsia"/>
          <w:kern w:val="0"/>
          <w:sz w:val="24"/>
          <w:szCs w:val="24"/>
        </w:rPr>
        <w:t>工银瑞信基金管理有限公司（以下简称</w:t>
      </w:r>
      <w:r w:rsidRPr="000B01E1">
        <w:rPr>
          <w:rFonts w:ascii="宋体" w:hAnsi="宋体" w:cs="宋体" w:hint="eastAsia"/>
          <w:kern w:val="0"/>
          <w:sz w:val="24"/>
          <w:szCs w:val="24"/>
        </w:rPr>
        <w:t>“</w:t>
      </w:r>
      <w:r w:rsidRPr="009F69CE">
        <w:rPr>
          <w:rFonts w:ascii="宋体" w:hAnsi="宋体" w:cs="宋体" w:hint="eastAsia"/>
          <w:kern w:val="0"/>
          <w:sz w:val="24"/>
          <w:szCs w:val="24"/>
        </w:rPr>
        <w:t>本公司</w:t>
      </w:r>
      <w:r w:rsidRPr="000B01E1">
        <w:rPr>
          <w:rFonts w:ascii="宋体" w:hAnsi="宋体" w:cs="宋体" w:hint="eastAsia"/>
          <w:kern w:val="0"/>
          <w:sz w:val="24"/>
          <w:szCs w:val="24"/>
        </w:rPr>
        <w:t>”</w:t>
      </w:r>
      <w:r w:rsidRPr="009F69CE">
        <w:rPr>
          <w:rFonts w:ascii="宋体" w:hAnsi="宋体" w:cs="宋体" w:hint="eastAsia"/>
          <w:kern w:val="0"/>
          <w:sz w:val="24"/>
          <w:szCs w:val="24"/>
        </w:rPr>
        <w:t>）旗下</w:t>
      </w:r>
      <w:r w:rsidR="00C313C5">
        <w:rPr>
          <w:rFonts w:ascii="宋体" w:hAnsi="宋体" w:cs="宋体" w:hint="eastAsia"/>
          <w:kern w:val="0"/>
          <w:sz w:val="24"/>
          <w:szCs w:val="24"/>
        </w:rPr>
        <w:t>基金</w:t>
      </w:r>
      <w:r w:rsidRPr="009F69CE">
        <w:rPr>
          <w:rFonts w:ascii="宋体" w:hAnsi="宋体" w:cs="宋体" w:hint="eastAsia"/>
          <w:kern w:val="0"/>
          <w:sz w:val="24"/>
          <w:szCs w:val="24"/>
        </w:rPr>
        <w:t>参加了</w:t>
      </w:r>
      <w:r w:rsidR="00E0480E" w:rsidRPr="00887B05">
        <w:rPr>
          <w:rFonts w:ascii="宋体" w:hAnsi="宋体" w:cs="宋体" w:hint="eastAsia"/>
          <w:kern w:val="0"/>
          <w:sz w:val="24"/>
          <w:szCs w:val="24"/>
        </w:rPr>
        <w:t>居然之家新零售集团股份有限公司</w:t>
      </w:r>
      <w:r w:rsidR="00C313C5" w:rsidRPr="00887B05">
        <w:rPr>
          <w:rFonts w:ascii="宋体" w:hAnsi="宋体" w:cs="宋体" w:hint="eastAsia"/>
          <w:kern w:val="0"/>
          <w:sz w:val="24"/>
          <w:szCs w:val="24"/>
        </w:rPr>
        <w:t>（</w:t>
      </w:r>
      <w:r w:rsidR="00E0480E" w:rsidRPr="00887B05">
        <w:rPr>
          <w:rFonts w:ascii="宋体" w:hAnsi="宋体" w:cs="宋体" w:hint="eastAsia"/>
          <w:kern w:val="0"/>
          <w:sz w:val="24"/>
          <w:szCs w:val="24"/>
        </w:rPr>
        <w:t>居然之家</w:t>
      </w:r>
      <w:r w:rsidR="00C313C5" w:rsidRPr="00887B05">
        <w:rPr>
          <w:rFonts w:ascii="宋体" w:hAnsi="宋体" w:cs="宋体" w:hint="eastAsia"/>
          <w:kern w:val="0"/>
          <w:sz w:val="24"/>
          <w:szCs w:val="24"/>
        </w:rPr>
        <w:t>，代码</w:t>
      </w:r>
      <w:r w:rsidR="00E0480E" w:rsidRPr="00887B05">
        <w:rPr>
          <w:rFonts w:ascii="宋体" w:hAnsi="宋体" w:cs="宋体"/>
          <w:kern w:val="0"/>
          <w:sz w:val="24"/>
          <w:szCs w:val="24"/>
        </w:rPr>
        <w:t>000785</w:t>
      </w:r>
      <w:r w:rsidRPr="00887B05">
        <w:rPr>
          <w:rFonts w:ascii="宋体" w:hAnsi="宋体" w:cs="宋体"/>
          <w:kern w:val="0"/>
          <w:sz w:val="24"/>
          <w:szCs w:val="24"/>
        </w:rPr>
        <w:t>)</w:t>
      </w:r>
      <w:r w:rsidRPr="009F69CE">
        <w:rPr>
          <w:rFonts w:ascii="宋体" w:hAnsi="宋体" w:cs="宋体" w:hint="eastAsia"/>
          <w:kern w:val="0"/>
          <w:sz w:val="24"/>
          <w:szCs w:val="24"/>
        </w:rPr>
        <w:t>非公开发行股票的认购。根据中国证监会《关于基金投资非公开发行股票等流通受限证券有关问题的通知》等有关规定，本公司现将</w:t>
      </w:r>
      <w:r w:rsidR="00C313C5">
        <w:rPr>
          <w:rFonts w:ascii="宋体" w:hAnsi="宋体" w:cs="宋体" w:hint="eastAsia"/>
          <w:kern w:val="0"/>
          <w:sz w:val="24"/>
          <w:szCs w:val="24"/>
        </w:rPr>
        <w:t>旗下基金</w:t>
      </w:r>
      <w:r w:rsidRPr="009F69CE">
        <w:rPr>
          <w:rFonts w:ascii="宋体" w:hAnsi="宋体" w:cs="宋体" w:hint="eastAsia"/>
          <w:kern w:val="0"/>
          <w:sz w:val="24"/>
          <w:szCs w:val="24"/>
        </w:rPr>
        <w:t>投资</w:t>
      </w:r>
      <w:r w:rsidR="00456C5E" w:rsidRPr="00887B05">
        <w:rPr>
          <w:rFonts w:ascii="宋体" w:hAnsi="宋体" w:cs="宋体" w:hint="eastAsia"/>
          <w:kern w:val="0"/>
          <w:sz w:val="24"/>
          <w:szCs w:val="24"/>
        </w:rPr>
        <w:t>居然之家新零售集团股份有限公司</w:t>
      </w:r>
      <w:r w:rsidRPr="009F69CE">
        <w:rPr>
          <w:rFonts w:ascii="宋体" w:hAnsi="宋体" w:cs="宋体" w:hint="eastAsia"/>
          <w:kern w:val="0"/>
          <w:sz w:val="24"/>
          <w:szCs w:val="24"/>
        </w:rPr>
        <w:t>非公开发行股票的情况披露如下：</w:t>
      </w:r>
      <w:r w:rsidRPr="009F69CE">
        <w:rPr>
          <w:rFonts w:ascii="宋体" w:hAnsi="宋体" w:cs="宋体"/>
          <w:kern w:val="0"/>
          <w:sz w:val="24"/>
          <w:szCs w:val="24"/>
        </w:rPr>
        <w:t xml:space="preserve"> </w:t>
      </w:r>
    </w:p>
    <w:tbl>
      <w:tblPr>
        <w:tblStyle w:val="a9"/>
        <w:tblW w:w="10632" w:type="dxa"/>
        <w:tblInd w:w="-147" w:type="dxa"/>
        <w:tblLook w:val="04A0"/>
      </w:tblPr>
      <w:tblGrid>
        <w:gridCol w:w="2621"/>
        <w:gridCol w:w="1359"/>
        <w:gridCol w:w="1838"/>
        <w:gridCol w:w="1029"/>
        <w:gridCol w:w="1776"/>
        <w:gridCol w:w="1059"/>
        <w:gridCol w:w="950"/>
      </w:tblGrid>
      <w:tr w:rsidR="003174D2" w:rsidRPr="003174D2" w:rsidTr="00F2556B">
        <w:trPr>
          <w:trHeight w:val="810"/>
        </w:trPr>
        <w:tc>
          <w:tcPr>
            <w:tcW w:w="2621"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基金名称</w:t>
            </w:r>
          </w:p>
        </w:tc>
        <w:tc>
          <w:tcPr>
            <w:tcW w:w="1359"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认购数量（股）</w:t>
            </w:r>
          </w:p>
        </w:tc>
        <w:tc>
          <w:tcPr>
            <w:tcW w:w="1838"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总成本（元）</w:t>
            </w:r>
          </w:p>
        </w:tc>
        <w:tc>
          <w:tcPr>
            <w:tcW w:w="1029"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总成本占基金资产净值比例</w:t>
            </w:r>
          </w:p>
        </w:tc>
        <w:tc>
          <w:tcPr>
            <w:tcW w:w="1776"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账面价值（元）</w:t>
            </w:r>
          </w:p>
        </w:tc>
        <w:tc>
          <w:tcPr>
            <w:tcW w:w="1059"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账面价值占基金资产净值比例</w:t>
            </w:r>
          </w:p>
        </w:tc>
        <w:tc>
          <w:tcPr>
            <w:tcW w:w="95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限售期</w:t>
            </w:r>
          </w:p>
        </w:tc>
      </w:tr>
      <w:tr w:rsidR="00B43526" w:rsidRPr="003174D2" w:rsidTr="00882B7E">
        <w:trPr>
          <w:trHeight w:val="270"/>
        </w:trPr>
        <w:tc>
          <w:tcPr>
            <w:tcW w:w="2621" w:type="dxa"/>
          </w:tcPr>
          <w:p w:rsidR="00B43526" w:rsidRPr="00B43526" w:rsidRDefault="00B43526" w:rsidP="00B43526">
            <w:pPr>
              <w:rPr>
                <w:rFonts w:ascii="宋体"/>
                <w:color w:val="000000"/>
                <w:kern w:val="0"/>
                <w:szCs w:val="24"/>
              </w:rPr>
            </w:pPr>
            <w:r w:rsidRPr="00B43526">
              <w:rPr>
                <w:rFonts w:ascii="宋体" w:hint="eastAsia"/>
                <w:color w:val="000000"/>
                <w:kern w:val="0"/>
                <w:szCs w:val="24"/>
              </w:rPr>
              <w:t>工银瑞信消费行业股票型证券投资基金</w:t>
            </w:r>
          </w:p>
        </w:tc>
        <w:tc>
          <w:tcPr>
            <w:tcW w:w="1359" w:type="dxa"/>
          </w:tcPr>
          <w:p w:rsidR="00B43526" w:rsidRPr="00DC7042" w:rsidRDefault="00B43526" w:rsidP="00B43526">
            <w:r w:rsidRPr="00DC7042">
              <w:t xml:space="preserve"> 1,416,431 </w:t>
            </w:r>
          </w:p>
        </w:tc>
        <w:tc>
          <w:tcPr>
            <w:tcW w:w="1838" w:type="dxa"/>
          </w:tcPr>
          <w:p w:rsidR="00B43526" w:rsidRPr="00DC7042" w:rsidRDefault="00B43526" w:rsidP="00B43526">
            <w:r w:rsidRPr="00DC7042">
              <w:t xml:space="preserve"> 10,000,002.86 </w:t>
            </w:r>
          </w:p>
        </w:tc>
        <w:tc>
          <w:tcPr>
            <w:tcW w:w="1029" w:type="dxa"/>
          </w:tcPr>
          <w:p w:rsidR="00E93BC1" w:rsidRDefault="00E93BC1" w:rsidP="00E93BC1">
            <w:pPr>
              <w:widowControl/>
              <w:jc w:val="right"/>
              <w:rPr>
                <w:color w:val="000000"/>
                <w:kern w:val="0"/>
                <w:sz w:val="22"/>
                <w:szCs w:val="22"/>
              </w:rPr>
            </w:pPr>
            <w:r>
              <w:rPr>
                <w:rFonts w:hint="eastAsia"/>
                <w:color w:val="000000"/>
                <w:sz w:val="22"/>
                <w:szCs w:val="22"/>
              </w:rPr>
              <w:t>1.06%</w:t>
            </w:r>
          </w:p>
          <w:p w:rsidR="00B43526" w:rsidRPr="003174D2" w:rsidRDefault="00B43526" w:rsidP="00B43526">
            <w:pPr>
              <w:widowControl/>
              <w:spacing w:line="360" w:lineRule="auto"/>
              <w:jc w:val="right"/>
              <w:rPr>
                <w:rFonts w:ascii="宋体"/>
                <w:color w:val="000000"/>
                <w:kern w:val="0"/>
                <w:sz w:val="24"/>
                <w:szCs w:val="24"/>
              </w:rPr>
            </w:pPr>
          </w:p>
        </w:tc>
        <w:tc>
          <w:tcPr>
            <w:tcW w:w="1776" w:type="dxa"/>
          </w:tcPr>
          <w:p w:rsidR="002B3EEE" w:rsidRDefault="002B3EEE" w:rsidP="002B3EEE">
            <w:pPr>
              <w:widowControl/>
              <w:jc w:val="center"/>
              <w:rPr>
                <w:color w:val="000000"/>
                <w:kern w:val="0"/>
                <w:sz w:val="22"/>
                <w:szCs w:val="22"/>
              </w:rPr>
            </w:pPr>
            <w:r>
              <w:rPr>
                <w:rFonts w:hint="eastAsia"/>
                <w:color w:val="000000"/>
                <w:sz w:val="22"/>
                <w:szCs w:val="22"/>
              </w:rPr>
              <w:t>11</w:t>
            </w:r>
            <w:r w:rsidR="002615EB">
              <w:rPr>
                <w:color w:val="000000"/>
                <w:sz w:val="22"/>
                <w:szCs w:val="22"/>
              </w:rPr>
              <w:t>,</w:t>
            </w:r>
            <w:r>
              <w:rPr>
                <w:rFonts w:hint="eastAsia"/>
                <w:color w:val="000000"/>
                <w:sz w:val="22"/>
                <w:szCs w:val="22"/>
              </w:rPr>
              <w:t>373</w:t>
            </w:r>
            <w:r w:rsidR="002615EB">
              <w:rPr>
                <w:color w:val="000000"/>
                <w:sz w:val="22"/>
                <w:szCs w:val="22"/>
              </w:rPr>
              <w:t>,</w:t>
            </w:r>
            <w:r>
              <w:rPr>
                <w:rFonts w:hint="eastAsia"/>
                <w:color w:val="000000"/>
                <w:sz w:val="22"/>
                <w:szCs w:val="22"/>
              </w:rPr>
              <w:t>940.93</w:t>
            </w:r>
          </w:p>
          <w:p w:rsidR="00B43526" w:rsidRPr="00CF2A9B" w:rsidRDefault="00B43526" w:rsidP="00B43526">
            <w:pPr>
              <w:widowControl/>
              <w:spacing w:line="360" w:lineRule="auto"/>
              <w:jc w:val="center"/>
              <w:rPr>
                <w:rFonts w:asciiTheme="minorEastAsia" w:eastAsiaTheme="minorEastAsia" w:hAnsiTheme="minorEastAsia"/>
                <w:color w:val="000000"/>
                <w:kern w:val="0"/>
                <w:sz w:val="24"/>
                <w:szCs w:val="24"/>
              </w:rPr>
            </w:pPr>
          </w:p>
        </w:tc>
        <w:tc>
          <w:tcPr>
            <w:tcW w:w="1059" w:type="dxa"/>
          </w:tcPr>
          <w:p w:rsidR="00E93BC1" w:rsidRDefault="00E93BC1" w:rsidP="00E93BC1">
            <w:pPr>
              <w:widowControl/>
              <w:jc w:val="right"/>
              <w:rPr>
                <w:color w:val="000000"/>
                <w:kern w:val="0"/>
                <w:sz w:val="22"/>
                <w:szCs w:val="22"/>
              </w:rPr>
            </w:pPr>
            <w:r>
              <w:rPr>
                <w:rFonts w:hint="eastAsia"/>
                <w:color w:val="000000"/>
                <w:sz w:val="22"/>
                <w:szCs w:val="22"/>
              </w:rPr>
              <w:t>1.21%</w:t>
            </w:r>
          </w:p>
          <w:p w:rsidR="00B43526" w:rsidRPr="003174D2" w:rsidRDefault="00B43526" w:rsidP="00B43526">
            <w:pPr>
              <w:widowControl/>
              <w:spacing w:line="360" w:lineRule="auto"/>
              <w:jc w:val="right"/>
              <w:rPr>
                <w:rFonts w:ascii="宋体"/>
                <w:color w:val="000000"/>
                <w:kern w:val="0"/>
                <w:sz w:val="24"/>
                <w:szCs w:val="24"/>
              </w:rPr>
            </w:pPr>
          </w:p>
        </w:tc>
        <w:tc>
          <w:tcPr>
            <w:tcW w:w="950" w:type="dxa"/>
          </w:tcPr>
          <w:p w:rsidR="00B43526" w:rsidRPr="00AB371E" w:rsidRDefault="00B43526" w:rsidP="00B43526">
            <w:r w:rsidRPr="00AB371E">
              <w:rPr>
                <w:rFonts w:hint="eastAsia"/>
              </w:rPr>
              <w:t>6</w:t>
            </w:r>
            <w:r w:rsidRPr="00AB371E">
              <w:rPr>
                <w:rFonts w:hint="eastAsia"/>
              </w:rPr>
              <w:t>个月</w:t>
            </w:r>
          </w:p>
        </w:tc>
      </w:tr>
      <w:tr w:rsidR="00B43526" w:rsidRPr="003174D2" w:rsidTr="00882B7E">
        <w:trPr>
          <w:trHeight w:val="270"/>
        </w:trPr>
        <w:tc>
          <w:tcPr>
            <w:tcW w:w="2621" w:type="dxa"/>
          </w:tcPr>
          <w:p w:rsidR="00B43526" w:rsidRPr="00B43526" w:rsidRDefault="00B43526" w:rsidP="00B43526">
            <w:pPr>
              <w:rPr>
                <w:rFonts w:ascii="宋体"/>
                <w:color w:val="000000"/>
                <w:kern w:val="0"/>
                <w:szCs w:val="24"/>
              </w:rPr>
            </w:pPr>
            <w:r w:rsidRPr="00B43526">
              <w:rPr>
                <w:rFonts w:ascii="宋体" w:hint="eastAsia"/>
                <w:color w:val="000000"/>
                <w:kern w:val="0"/>
                <w:szCs w:val="24"/>
              </w:rPr>
              <w:t>工银瑞信互联网加股票型证券投资基金</w:t>
            </w:r>
          </w:p>
        </w:tc>
        <w:tc>
          <w:tcPr>
            <w:tcW w:w="1359" w:type="dxa"/>
          </w:tcPr>
          <w:p w:rsidR="00B43526" w:rsidRPr="00DC7042" w:rsidRDefault="00B43526" w:rsidP="00B43526">
            <w:r w:rsidRPr="00DC7042">
              <w:t xml:space="preserve"> 1,133,144 </w:t>
            </w:r>
          </w:p>
        </w:tc>
        <w:tc>
          <w:tcPr>
            <w:tcW w:w="1838" w:type="dxa"/>
          </w:tcPr>
          <w:p w:rsidR="00B43526" w:rsidRPr="00DC7042" w:rsidRDefault="00B43526" w:rsidP="00B43526">
            <w:r w:rsidRPr="00DC7042">
              <w:t xml:space="preserve"> 7,999,996.64 </w:t>
            </w:r>
          </w:p>
        </w:tc>
        <w:tc>
          <w:tcPr>
            <w:tcW w:w="1029" w:type="dxa"/>
          </w:tcPr>
          <w:p w:rsidR="00E93BC1" w:rsidRDefault="00E93BC1" w:rsidP="00E93BC1">
            <w:pPr>
              <w:widowControl/>
              <w:jc w:val="right"/>
              <w:rPr>
                <w:color w:val="000000"/>
                <w:kern w:val="0"/>
                <w:sz w:val="22"/>
                <w:szCs w:val="22"/>
              </w:rPr>
            </w:pPr>
            <w:r>
              <w:rPr>
                <w:rFonts w:hint="eastAsia"/>
                <w:color w:val="000000"/>
                <w:sz w:val="22"/>
                <w:szCs w:val="22"/>
              </w:rPr>
              <w:t>0.17%</w:t>
            </w:r>
          </w:p>
          <w:p w:rsidR="00B43526" w:rsidRPr="003174D2" w:rsidRDefault="00B43526" w:rsidP="00B43526">
            <w:pPr>
              <w:widowControl/>
              <w:spacing w:line="360" w:lineRule="auto"/>
              <w:jc w:val="right"/>
              <w:rPr>
                <w:rFonts w:ascii="宋体"/>
                <w:color w:val="000000"/>
                <w:kern w:val="0"/>
                <w:sz w:val="24"/>
                <w:szCs w:val="24"/>
              </w:rPr>
            </w:pPr>
          </w:p>
        </w:tc>
        <w:tc>
          <w:tcPr>
            <w:tcW w:w="1776" w:type="dxa"/>
          </w:tcPr>
          <w:p w:rsidR="00E93BC1" w:rsidRDefault="00E93BC1" w:rsidP="00E93BC1">
            <w:pPr>
              <w:widowControl/>
              <w:jc w:val="center"/>
              <w:rPr>
                <w:color w:val="000000"/>
                <w:kern w:val="0"/>
                <w:sz w:val="22"/>
                <w:szCs w:val="22"/>
              </w:rPr>
            </w:pPr>
            <w:r>
              <w:rPr>
                <w:rFonts w:hint="eastAsia"/>
                <w:color w:val="000000"/>
                <w:sz w:val="22"/>
                <w:szCs w:val="22"/>
              </w:rPr>
              <w:t>9</w:t>
            </w:r>
            <w:r>
              <w:rPr>
                <w:color w:val="000000"/>
                <w:sz w:val="22"/>
                <w:szCs w:val="22"/>
              </w:rPr>
              <w:t>,</w:t>
            </w:r>
            <w:r>
              <w:rPr>
                <w:rFonts w:hint="eastAsia"/>
                <w:color w:val="000000"/>
                <w:sz w:val="22"/>
                <w:szCs w:val="22"/>
              </w:rPr>
              <w:t>099</w:t>
            </w:r>
            <w:r>
              <w:rPr>
                <w:color w:val="000000"/>
                <w:sz w:val="22"/>
                <w:szCs w:val="22"/>
              </w:rPr>
              <w:t>,</w:t>
            </w:r>
            <w:r>
              <w:rPr>
                <w:rFonts w:hint="eastAsia"/>
                <w:color w:val="000000"/>
                <w:sz w:val="22"/>
                <w:szCs w:val="22"/>
              </w:rPr>
              <w:t>146.32</w:t>
            </w:r>
          </w:p>
          <w:p w:rsidR="00B43526" w:rsidRPr="00CF2A9B" w:rsidRDefault="00B43526" w:rsidP="00B43526">
            <w:pPr>
              <w:widowControl/>
              <w:spacing w:line="360" w:lineRule="auto"/>
              <w:jc w:val="center"/>
              <w:rPr>
                <w:rFonts w:asciiTheme="minorEastAsia" w:eastAsiaTheme="minorEastAsia" w:hAnsiTheme="minorEastAsia"/>
                <w:color w:val="000000"/>
                <w:kern w:val="0"/>
                <w:sz w:val="24"/>
                <w:szCs w:val="24"/>
              </w:rPr>
            </w:pPr>
          </w:p>
        </w:tc>
        <w:tc>
          <w:tcPr>
            <w:tcW w:w="1059" w:type="dxa"/>
          </w:tcPr>
          <w:p w:rsidR="00E93BC1" w:rsidRDefault="00E93BC1" w:rsidP="00E93BC1">
            <w:pPr>
              <w:widowControl/>
              <w:jc w:val="right"/>
              <w:rPr>
                <w:color w:val="000000"/>
                <w:kern w:val="0"/>
                <w:sz w:val="22"/>
                <w:szCs w:val="22"/>
              </w:rPr>
            </w:pPr>
            <w:r>
              <w:rPr>
                <w:rFonts w:hint="eastAsia"/>
                <w:color w:val="000000"/>
                <w:sz w:val="22"/>
                <w:szCs w:val="22"/>
              </w:rPr>
              <w:t>0.20%</w:t>
            </w:r>
          </w:p>
          <w:p w:rsidR="00B43526" w:rsidRPr="003174D2" w:rsidRDefault="00B43526" w:rsidP="00B43526">
            <w:pPr>
              <w:widowControl/>
              <w:spacing w:line="360" w:lineRule="auto"/>
              <w:jc w:val="right"/>
              <w:rPr>
                <w:rFonts w:ascii="宋体"/>
                <w:color w:val="000000"/>
                <w:kern w:val="0"/>
                <w:sz w:val="24"/>
                <w:szCs w:val="24"/>
              </w:rPr>
            </w:pPr>
          </w:p>
        </w:tc>
        <w:tc>
          <w:tcPr>
            <w:tcW w:w="950" w:type="dxa"/>
          </w:tcPr>
          <w:p w:rsidR="00B43526" w:rsidRPr="00AB371E" w:rsidRDefault="00B43526" w:rsidP="00B43526">
            <w:r w:rsidRPr="00AB371E">
              <w:rPr>
                <w:rFonts w:hint="eastAsia"/>
              </w:rPr>
              <w:t>6</w:t>
            </w:r>
            <w:r w:rsidRPr="00AB371E">
              <w:rPr>
                <w:rFonts w:hint="eastAsia"/>
              </w:rPr>
              <w:t>个月</w:t>
            </w:r>
          </w:p>
        </w:tc>
      </w:tr>
      <w:tr w:rsidR="00B43526" w:rsidRPr="003174D2" w:rsidTr="00CF2A9B">
        <w:trPr>
          <w:trHeight w:val="270"/>
        </w:trPr>
        <w:tc>
          <w:tcPr>
            <w:tcW w:w="2621" w:type="dxa"/>
          </w:tcPr>
          <w:p w:rsidR="00B43526" w:rsidRPr="00B43526" w:rsidRDefault="00B43526" w:rsidP="00B43526">
            <w:pPr>
              <w:rPr>
                <w:rFonts w:ascii="宋体"/>
                <w:color w:val="000000"/>
                <w:kern w:val="0"/>
                <w:szCs w:val="24"/>
              </w:rPr>
            </w:pPr>
            <w:r w:rsidRPr="00B43526">
              <w:rPr>
                <w:rFonts w:ascii="宋体" w:hint="eastAsia"/>
                <w:color w:val="000000"/>
                <w:kern w:val="0"/>
                <w:szCs w:val="24"/>
              </w:rPr>
              <w:t>工银瑞信沪港深股票型证券投资基金</w:t>
            </w:r>
          </w:p>
        </w:tc>
        <w:tc>
          <w:tcPr>
            <w:tcW w:w="1359" w:type="dxa"/>
          </w:tcPr>
          <w:p w:rsidR="00B43526" w:rsidRPr="00DC7042" w:rsidRDefault="00B43526" w:rsidP="00B43526">
            <w:r w:rsidRPr="00DC7042">
              <w:t xml:space="preserve"> 566,572 </w:t>
            </w:r>
          </w:p>
        </w:tc>
        <w:tc>
          <w:tcPr>
            <w:tcW w:w="1838" w:type="dxa"/>
          </w:tcPr>
          <w:p w:rsidR="00B43526" w:rsidRPr="00DC7042" w:rsidRDefault="00B43526" w:rsidP="00B43526">
            <w:r w:rsidRPr="00DC7042">
              <w:t xml:space="preserve"> 3,999,998.32 </w:t>
            </w:r>
          </w:p>
        </w:tc>
        <w:tc>
          <w:tcPr>
            <w:tcW w:w="1029" w:type="dxa"/>
          </w:tcPr>
          <w:p w:rsidR="00E93BC1" w:rsidRDefault="00E93BC1" w:rsidP="00E93BC1">
            <w:pPr>
              <w:widowControl/>
              <w:jc w:val="right"/>
              <w:rPr>
                <w:color w:val="000000"/>
                <w:kern w:val="0"/>
                <w:sz w:val="22"/>
                <w:szCs w:val="22"/>
              </w:rPr>
            </w:pPr>
            <w:r>
              <w:rPr>
                <w:rFonts w:hint="eastAsia"/>
                <w:color w:val="000000"/>
                <w:sz w:val="22"/>
                <w:szCs w:val="22"/>
              </w:rPr>
              <w:t>0.31%</w:t>
            </w:r>
          </w:p>
          <w:p w:rsidR="00B43526" w:rsidRPr="003174D2" w:rsidRDefault="00B43526" w:rsidP="00B43526">
            <w:pPr>
              <w:widowControl/>
              <w:spacing w:line="360" w:lineRule="auto"/>
              <w:jc w:val="right"/>
              <w:rPr>
                <w:rFonts w:ascii="宋体"/>
                <w:color w:val="000000"/>
                <w:kern w:val="0"/>
                <w:sz w:val="24"/>
                <w:szCs w:val="24"/>
              </w:rPr>
            </w:pPr>
          </w:p>
        </w:tc>
        <w:tc>
          <w:tcPr>
            <w:tcW w:w="1776" w:type="dxa"/>
          </w:tcPr>
          <w:p w:rsidR="00E93BC1" w:rsidRDefault="00E93BC1" w:rsidP="00E93BC1">
            <w:pPr>
              <w:widowControl/>
              <w:jc w:val="center"/>
              <w:rPr>
                <w:color w:val="000000"/>
                <w:kern w:val="0"/>
                <w:sz w:val="22"/>
                <w:szCs w:val="22"/>
              </w:rPr>
            </w:pPr>
            <w:r>
              <w:rPr>
                <w:rFonts w:hint="eastAsia"/>
                <w:color w:val="000000"/>
                <w:sz w:val="22"/>
                <w:szCs w:val="22"/>
              </w:rPr>
              <w:t>4</w:t>
            </w:r>
            <w:r>
              <w:rPr>
                <w:color w:val="000000"/>
                <w:sz w:val="22"/>
                <w:szCs w:val="22"/>
              </w:rPr>
              <w:t>,</w:t>
            </w:r>
            <w:r>
              <w:rPr>
                <w:rFonts w:hint="eastAsia"/>
                <w:color w:val="000000"/>
                <w:sz w:val="22"/>
                <w:szCs w:val="22"/>
              </w:rPr>
              <w:t>549</w:t>
            </w:r>
            <w:r>
              <w:rPr>
                <w:color w:val="000000"/>
                <w:sz w:val="22"/>
                <w:szCs w:val="22"/>
              </w:rPr>
              <w:t>,</w:t>
            </w:r>
            <w:r>
              <w:rPr>
                <w:rFonts w:hint="eastAsia"/>
                <w:color w:val="000000"/>
                <w:sz w:val="22"/>
                <w:szCs w:val="22"/>
              </w:rPr>
              <w:t>573.16</w:t>
            </w:r>
          </w:p>
          <w:p w:rsidR="00B43526" w:rsidRPr="00CF2A9B" w:rsidRDefault="00B43526" w:rsidP="00B43526">
            <w:pPr>
              <w:widowControl/>
              <w:spacing w:line="360" w:lineRule="auto"/>
              <w:jc w:val="center"/>
              <w:rPr>
                <w:rFonts w:asciiTheme="minorEastAsia" w:eastAsiaTheme="minorEastAsia" w:hAnsiTheme="minorEastAsia"/>
                <w:color w:val="000000"/>
                <w:kern w:val="0"/>
                <w:sz w:val="24"/>
                <w:szCs w:val="24"/>
              </w:rPr>
            </w:pPr>
          </w:p>
        </w:tc>
        <w:tc>
          <w:tcPr>
            <w:tcW w:w="1059" w:type="dxa"/>
          </w:tcPr>
          <w:p w:rsidR="00E93BC1" w:rsidRDefault="00E93BC1" w:rsidP="00E93BC1">
            <w:pPr>
              <w:widowControl/>
              <w:jc w:val="right"/>
              <w:rPr>
                <w:color w:val="000000"/>
                <w:kern w:val="0"/>
                <w:sz w:val="22"/>
                <w:szCs w:val="22"/>
              </w:rPr>
            </w:pPr>
            <w:r>
              <w:rPr>
                <w:rFonts w:hint="eastAsia"/>
                <w:color w:val="000000"/>
                <w:sz w:val="22"/>
                <w:szCs w:val="22"/>
              </w:rPr>
              <w:t>0.35%</w:t>
            </w:r>
          </w:p>
          <w:p w:rsidR="00B43526" w:rsidRPr="003174D2" w:rsidRDefault="00B43526" w:rsidP="00B43526">
            <w:pPr>
              <w:widowControl/>
              <w:spacing w:line="360" w:lineRule="auto"/>
              <w:jc w:val="right"/>
              <w:rPr>
                <w:rFonts w:ascii="宋体"/>
                <w:color w:val="000000"/>
                <w:kern w:val="0"/>
                <w:sz w:val="24"/>
                <w:szCs w:val="24"/>
              </w:rPr>
            </w:pPr>
          </w:p>
        </w:tc>
        <w:tc>
          <w:tcPr>
            <w:tcW w:w="950" w:type="dxa"/>
          </w:tcPr>
          <w:p w:rsidR="00B43526" w:rsidRPr="00AB371E" w:rsidRDefault="00B43526" w:rsidP="00B43526">
            <w:r w:rsidRPr="00AB371E">
              <w:rPr>
                <w:rFonts w:hint="eastAsia"/>
              </w:rPr>
              <w:t>6</w:t>
            </w:r>
            <w:r w:rsidRPr="00AB371E">
              <w:rPr>
                <w:rFonts w:hint="eastAsia"/>
              </w:rPr>
              <w:t>个月</w:t>
            </w:r>
          </w:p>
        </w:tc>
      </w:tr>
      <w:tr w:rsidR="00B43526" w:rsidRPr="003174D2" w:rsidTr="00CF2A9B">
        <w:trPr>
          <w:trHeight w:val="270"/>
        </w:trPr>
        <w:tc>
          <w:tcPr>
            <w:tcW w:w="2621" w:type="dxa"/>
          </w:tcPr>
          <w:p w:rsidR="00B43526" w:rsidRPr="00B43526" w:rsidRDefault="00B43526" w:rsidP="00B43526">
            <w:pPr>
              <w:rPr>
                <w:rFonts w:ascii="宋体"/>
                <w:color w:val="000000"/>
                <w:kern w:val="0"/>
                <w:szCs w:val="24"/>
              </w:rPr>
            </w:pPr>
            <w:r w:rsidRPr="00B43526">
              <w:rPr>
                <w:rFonts w:ascii="宋体" w:hint="eastAsia"/>
                <w:color w:val="000000"/>
                <w:kern w:val="0"/>
                <w:szCs w:val="24"/>
              </w:rPr>
              <w:t>工银瑞信科技创新3年封闭运作混合型证券投资基金</w:t>
            </w:r>
          </w:p>
        </w:tc>
        <w:tc>
          <w:tcPr>
            <w:tcW w:w="1359" w:type="dxa"/>
          </w:tcPr>
          <w:p w:rsidR="00B43526" w:rsidRPr="00DC7042" w:rsidRDefault="00B43526" w:rsidP="00B43526">
            <w:r w:rsidRPr="00DC7042">
              <w:t xml:space="preserve"> 1,274,787 </w:t>
            </w:r>
          </w:p>
        </w:tc>
        <w:tc>
          <w:tcPr>
            <w:tcW w:w="1838" w:type="dxa"/>
          </w:tcPr>
          <w:p w:rsidR="00B43526" w:rsidRPr="00DC7042" w:rsidRDefault="00B43526" w:rsidP="00B43526">
            <w:r w:rsidRPr="00DC7042">
              <w:t xml:space="preserve"> 8,999,996.22 </w:t>
            </w:r>
          </w:p>
        </w:tc>
        <w:tc>
          <w:tcPr>
            <w:tcW w:w="1029" w:type="dxa"/>
          </w:tcPr>
          <w:p w:rsidR="00E93BC1" w:rsidRDefault="00E93BC1" w:rsidP="00E93BC1">
            <w:pPr>
              <w:widowControl/>
              <w:jc w:val="right"/>
              <w:rPr>
                <w:color w:val="000000"/>
                <w:kern w:val="0"/>
                <w:sz w:val="22"/>
                <w:szCs w:val="22"/>
              </w:rPr>
            </w:pPr>
            <w:r>
              <w:rPr>
                <w:rFonts w:hint="eastAsia"/>
                <w:color w:val="000000"/>
                <w:sz w:val="22"/>
                <w:szCs w:val="22"/>
              </w:rPr>
              <w:t>0.47%</w:t>
            </w:r>
          </w:p>
          <w:p w:rsidR="00B43526" w:rsidRPr="003174D2" w:rsidRDefault="00B43526" w:rsidP="00B43526">
            <w:pPr>
              <w:widowControl/>
              <w:spacing w:line="360" w:lineRule="auto"/>
              <w:jc w:val="right"/>
              <w:rPr>
                <w:rFonts w:ascii="宋体"/>
                <w:color w:val="000000"/>
                <w:kern w:val="0"/>
                <w:sz w:val="24"/>
                <w:szCs w:val="24"/>
              </w:rPr>
            </w:pPr>
          </w:p>
        </w:tc>
        <w:tc>
          <w:tcPr>
            <w:tcW w:w="1776" w:type="dxa"/>
          </w:tcPr>
          <w:p w:rsidR="002B3EEE" w:rsidRDefault="002B3EEE" w:rsidP="002B3EEE">
            <w:pPr>
              <w:widowControl/>
              <w:jc w:val="center"/>
              <w:rPr>
                <w:color w:val="000000"/>
                <w:kern w:val="0"/>
                <w:sz w:val="22"/>
                <w:szCs w:val="22"/>
              </w:rPr>
            </w:pPr>
            <w:r>
              <w:rPr>
                <w:rFonts w:hint="eastAsia"/>
                <w:color w:val="000000"/>
                <w:sz w:val="22"/>
                <w:szCs w:val="22"/>
              </w:rPr>
              <w:t>10</w:t>
            </w:r>
            <w:r w:rsidR="002615EB">
              <w:rPr>
                <w:color w:val="000000"/>
                <w:sz w:val="22"/>
                <w:szCs w:val="22"/>
              </w:rPr>
              <w:t>,</w:t>
            </w:r>
            <w:r>
              <w:rPr>
                <w:rFonts w:hint="eastAsia"/>
                <w:color w:val="000000"/>
                <w:sz w:val="22"/>
                <w:szCs w:val="22"/>
              </w:rPr>
              <w:t>236</w:t>
            </w:r>
            <w:r w:rsidR="002615EB">
              <w:rPr>
                <w:color w:val="000000"/>
                <w:sz w:val="22"/>
                <w:szCs w:val="22"/>
              </w:rPr>
              <w:t>,</w:t>
            </w:r>
            <w:r>
              <w:rPr>
                <w:rFonts w:hint="eastAsia"/>
                <w:color w:val="000000"/>
                <w:sz w:val="22"/>
                <w:szCs w:val="22"/>
              </w:rPr>
              <w:t>539.61</w:t>
            </w:r>
          </w:p>
          <w:p w:rsidR="00B43526" w:rsidRPr="00CF2A9B" w:rsidRDefault="00B43526" w:rsidP="00B43526">
            <w:pPr>
              <w:widowControl/>
              <w:spacing w:line="360" w:lineRule="auto"/>
              <w:jc w:val="center"/>
              <w:rPr>
                <w:rFonts w:asciiTheme="minorEastAsia" w:eastAsiaTheme="minorEastAsia" w:hAnsiTheme="minorEastAsia"/>
                <w:color w:val="000000"/>
                <w:kern w:val="0"/>
                <w:sz w:val="24"/>
                <w:szCs w:val="24"/>
              </w:rPr>
            </w:pPr>
          </w:p>
        </w:tc>
        <w:tc>
          <w:tcPr>
            <w:tcW w:w="1059" w:type="dxa"/>
          </w:tcPr>
          <w:p w:rsidR="00E93BC1" w:rsidRDefault="00E93BC1" w:rsidP="00E93BC1">
            <w:pPr>
              <w:widowControl/>
              <w:jc w:val="right"/>
              <w:rPr>
                <w:color w:val="000000"/>
                <w:kern w:val="0"/>
                <w:sz w:val="22"/>
                <w:szCs w:val="22"/>
              </w:rPr>
            </w:pPr>
            <w:r>
              <w:rPr>
                <w:rFonts w:hint="eastAsia"/>
                <w:color w:val="000000"/>
                <w:sz w:val="22"/>
                <w:szCs w:val="22"/>
              </w:rPr>
              <w:t>0.53%</w:t>
            </w:r>
          </w:p>
          <w:p w:rsidR="00B43526" w:rsidRPr="003174D2" w:rsidRDefault="00B43526" w:rsidP="00B43526">
            <w:pPr>
              <w:widowControl/>
              <w:spacing w:line="360" w:lineRule="auto"/>
              <w:jc w:val="right"/>
              <w:rPr>
                <w:rFonts w:ascii="宋体"/>
                <w:color w:val="000000"/>
                <w:kern w:val="0"/>
                <w:sz w:val="24"/>
                <w:szCs w:val="24"/>
              </w:rPr>
            </w:pPr>
          </w:p>
        </w:tc>
        <w:tc>
          <w:tcPr>
            <w:tcW w:w="950" w:type="dxa"/>
          </w:tcPr>
          <w:p w:rsidR="00B43526" w:rsidRPr="00AB371E" w:rsidRDefault="00B43526" w:rsidP="00B43526">
            <w:r w:rsidRPr="00AB371E">
              <w:rPr>
                <w:rFonts w:hint="eastAsia"/>
              </w:rPr>
              <w:t>6</w:t>
            </w:r>
            <w:r w:rsidRPr="00AB371E">
              <w:rPr>
                <w:rFonts w:hint="eastAsia"/>
              </w:rPr>
              <w:t>个月</w:t>
            </w:r>
          </w:p>
        </w:tc>
      </w:tr>
      <w:tr w:rsidR="00B43526" w:rsidRPr="003174D2" w:rsidTr="00CF2A9B">
        <w:trPr>
          <w:trHeight w:val="270"/>
        </w:trPr>
        <w:tc>
          <w:tcPr>
            <w:tcW w:w="2621" w:type="dxa"/>
          </w:tcPr>
          <w:p w:rsidR="00B43526" w:rsidRPr="00B43526" w:rsidRDefault="00B43526" w:rsidP="00B43526">
            <w:pPr>
              <w:rPr>
                <w:rFonts w:ascii="宋体"/>
                <w:color w:val="000000"/>
                <w:kern w:val="0"/>
                <w:szCs w:val="24"/>
              </w:rPr>
            </w:pPr>
            <w:r w:rsidRPr="00B43526">
              <w:rPr>
                <w:rFonts w:ascii="宋体" w:hint="eastAsia"/>
                <w:color w:val="000000"/>
                <w:kern w:val="0"/>
                <w:szCs w:val="24"/>
              </w:rPr>
              <w:t>工银瑞信稳健成长混合型证券投资基金</w:t>
            </w:r>
          </w:p>
        </w:tc>
        <w:tc>
          <w:tcPr>
            <w:tcW w:w="1359" w:type="dxa"/>
          </w:tcPr>
          <w:p w:rsidR="00B43526" w:rsidRPr="00DC7042" w:rsidRDefault="00B43526" w:rsidP="00B43526">
            <w:r w:rsidRPr="00DC7042">
              <w:t xml:space="preserve"> 1,416,431 </w:t>
            </w:r>
          </w:p>
        </w:tc>
        <w:tc>
          <w:tcPr>
            <w:tcW w:w="1838" w:type="dxa"/>
          </w:tcPr>
          <w:p w:rsidR="00B43526" w:rsidRPr="00DC7042" w:rsidRDefault="00B43526" w:rsidP="00B43526">
            <w:r w:rsidRPr="00DC7042">
              <w:t xml:space="preserve"> 10,000,002.86 </w:t>
            </w:r>
          </w:p>
        </w:tc>
        <w:tc>
          <w:tcPr>
            <w:tcW w:w="1029" w:type="dxa"/>
          </w:tcPr>
          <w:p w:rsidR="00E93BC1" w:rsidRDefault="00E93BC1" w:rsidP="00E93BC1">
            <w:pPr>
              <w:widowControl/>
              <w:jc w:val="right"/>
              <w:rPr>
                <w:color w:val="000000"/>
                <w:kern w:val="0"/>
                <w:sz w:val="22"/>
                <w:szCs w:val="22"/>
              </w:rPr>
            </w:pPr>
            <w:r>
              <w:rPr>
                <w:rFonts w:hint="eastAsia"/>
                <w:color w:val="000000"/>
                <w:sz w:val="22"/>
                <w:szCs w:val="22"/>
              </w:rPr>
              <w:t>0.69%</w:t>
            </w:r>
          </w:p>
          <w:p w:rsidR="00B43526" w:rsidRPr="003174D2" w:rsidRDefault="00B43526" w:rsidP="00B43526">
            <w:pPr>
              <w:widowControl/>
              <w:spacing w:line="360" w:lineRule="auto"/>
              <w:jc w:val="right"/>
              <w:rPr>
                <w:rFonts w:ascii="宋体"/>
                <w:color w:val="000000"/>
                <w:kern w:val="0"/>
                <w:sz w:val="24"/>
                <w:szCs w:val="24"/>
              </w:rPr>
            </w:pPr>
          </w:p>
        </w:tc>
        <w:tc>
          <w:tcPr>
            <w:tcW w:w="1776" w:type="dxa"/>
          </w:tcPr>
          <w:p w:rsidR="002B3EEE" w:rsidRDefault="002B3EEE" w:rsidP="002B3EEE">
            <w:pPr>
              <w:widowControl/>
              <w:jc w:val="center"/>
              <w:rPr>
                <w:color w:val="000000"/>
                <w:kern w:val="0"/>
                <w:sz w:val="22"/>
                <w:szCs w:val="22"/>
              </w:rPr>
            </w:pPr>
            <w:r>
              <w:rPr>
                <w:rFonts w:hint="eastAsia"/>
                <w:color w:val="000000"/>
                <w:sz w:val="22"/>
                <w:szCs w:val="22"/>
              </w:rPr>
              <w:t>11</w:t>
            </w:r>
            <w:r w:rsidR="002615EB">
              <w:rPr>
                <w:color w:val="000000"/>
                <w:sz w:val="22"/>
                <w:szCs w:val="22"/>
              </w:rPr>
              <w:t>,</w:t>
            </w:r>
            <w:r>
              <w:rPr>
                <w:rFonts w:hint="eastAsia"/>
                <w:color w:val="000000"/>
                <w:sz w:val="22"/>
                <w:szCs w:val="22"/>
              </w:rPr>
              <w:t>373</w:t>
            </w:r>
            <w:r w:rsidR="002615EB">
              <w:rPr>
                <w:color w:val="000000"/>
                <w:sz w:val="22"/>
                <w:szCs w:val="22"/>
              </w:rPr>
              <w:t>,</w:t>
            </w:r>
            <w:r>
              <w:rPr>
                <w:rFonts w:hint="eastAsia"/>
                <w:color w:val="000000"/>
                <w:sz w:val="22"/>
                <w:szCs w:val="22"/>
              </w:rPr>
              <w:t>940.93</w:t>
            </w:r>
          </w:p>
          <w:p w:rsidR="00B43526" w:rsidRPr="00CF2A9B" w:rsidRDefault="00B43526" w:rsidP="00B43526">
            <w:pPr>
              <w:widowControl/>
              <w:spacing w:line="360" w:lineRule="auto"/>
              <w:jc w:val="center"/>
              <w:rPr>
                <w:rFonts w:asciiTheme="minorEastAsia" w:eastAsiaTheme="minorEastAsia" w:hAnsiTheme="minorEastAsia"/>
                <w:color w:val="000000"/>
                <w:kern w:val="0"/>
                <w:sz w:val="24"/>
                <w:szCs w:val="24"/>
              </w:rPr>
            </w:pPr>
          </w:p>
        </w:tc>
        <w:tc>
          <w:tcPr>
            <w:tcW w:w="1059" w:type="dxa"/>
          </w:tcPr>
          <w:p w:rsidR="00E93BC1" w:rsidRDefault="00E93BC1" w:rsidP="00E93BC1">
            <w:pPr>
              <w:widowControl/>
              <w:jc w:val="right"/>
              <w:rPr>
                <w:color w:val="000000"/>
                <w:kern w:val="0"/>
                <w:sz w:val="22"/>
                <w:szCs w:val="22"/>
              </w:rPr>
            </w:pPr>
            <w:r>
              <w:rPr>
                <w:rFonts w:hint="eastAsia"/>
                <w:color w:val="000000"/>
                <w:sz w:val="22"/>
                <w:szCs w:val="22"/>
              </w:rPr>
              <w:t>0.78%</w:t>
            </w:r>
          </w:p>
          <w:p w:rsidR="00B43526" w:rsidRPr="003174D2" w:rsidRDefault="00B43526" w:rsidP="00B43526">
            <w:pPr>
              <w:widowControl/>
              <w:spacing w:line="360" w:lineRule="auto"/>
              <w:jc w:val="right"/>
              <w:rPr>
                <w:rFonts w:ascii="宋体"/>
                <w:color w:val="000000"/>
                <w:kern w:val="0"/>
                <w:sz w:val="24"/>
                <w:szCs w:val="24"/>
              </w:rPr>
            </w:pPr>
          </w:p>
        </w:tc>
        <w:tc>
          <w:tcPr>
            <w:tcW w:w="950" w:type="dxa"/>
          </w:tcPr>
          <w:p w:rsidR="00B43526" w:rsidRPr="00AB371E" w:rsidRDefault="00B43526" w:rsidP="00B43526">
            <w:r w:rsidRPr="00AB371E">
              <w:rPr>
                <w:rFonts w:hint="eastAsia"/>
              </w:rPr>
              <w:t>6</w:t>
            </w:r>
            <w:r w:rsidRPr="00AB371E">
              <w:rPr>
                <w:rFonts w:hint="eastAsia"/>
              </w:rPr>
              <w:t>个月</w:t>
            </w:r>
          </w:p>
        </w:tc>
      </w:tr>
      <w:tr w:rsidR="00B43526" w:rsidRPr="003174D2" w:rsidTr="00CF2A9B">
        <w:trPr>
          <w:trHeight w:val="270"/>
        </w:trPr>
        <w:tc>
          <w:tcPr>
            <w:tcW w:w="2621" w:type="dxa"/>
          </w:tcPr>
          <w:p w:rsidR="00B43526" w:rsidRPr="00B43526" w:rsidRDefault="00B43526" w:rsidP="00B43526">
            <w:pPr>
              <w:rPr>
                <w:rFonts w:ascii="宋体"/>
                <w:color w:val="000000"/>
                <w:kern w:val="0"/>
                <w:szCs w:val="24"/>
              </w:rPr>
            </w:pPr>
            <w:r w:rsidRPr="00B43526">
              <w:rPr>
                <w:rFonts w:ascii="宋体" w:hint="eastAsia"/>
                <w:color w:val="000000"/>
                <w:kern w:val="0"/>
                <w:szCs w:val="24"/>
              </w:rPr>
              <w:t>工银瑞信养老产业股票型证券投资基金</w:t>
            </w:r>
          </w:p>
        </w:tc>
        <w:tc>
          <w:tcPr>
            <w:tcW w:w="1359" w:type="dxa"/>
          </w:tcPr>
          <w:p w:rsidR="00B43526" w:rsidRPr="00DC7042" w:rsidRDefault="00B43526" w:rsidP="00B43526">
            <w:r w:rsidRPr="00DC7042">
              <w:t xml:space="preserve"> 2,832,861 </w:t>
            </w:r>
          </w:p>
        </w:tc>
        <w:tc>
          <w:tcPr>
            <w:tcW w:w="1838" w:type="dxa"/>
          </w:tcPr>
          <w:p w:rsidR="00B43526" w:rsidRDefault="00B43526" w:rsidP="00B43526">
            <w:r w:rsidRPr="00DC7042">
              <w:t xml:space="preserve"> 19,999,998.66 </w:t>
            </w:r>
          </w:p>
        </w:tc>
        <w:tc>
          <w:tcPr>
            <w:tcW w:w="1029" w:type="dxa"/>
          </w:tcPr>
          <w:p w:rsidR="00E93BC1" w:rsidRDefault="00E93BC1" w:rsidP="00E93BC1">
            <w:pPr>
              <w:widowControl/>
              <w:jc w:val="right"/>
              <w:rPr>
                <w:color w:val="000000"/>
                <w:kern w:val="0"/>
                <w:sz w:val="22"/>
                <w:szCs w:val="22"/>
              </w:rPr>
            </w:pPr>
            <w:r>
              <w:rPr>
                <w:rFonts w:hint="eastAsia"/>
                <w:color w:val="000000"/>
                <w:sz w:val="22"/>
                <w:szCs w:val="22"/>
              </w:rPr>
              <w:t>0.56%</w:t>
            </w:r>
          </w:p>
          <w:p w:rsidR="00B43526" w:rsidRPr="003174D2" w:rsidRDefault="00B43526" w:rsidP="00B43526">
            <w:pPr>
              <w:widowControl/>
              <w:spacing w:line="360" w:lineRule="auto"/>
              <w:jc w:val="right"/>
              <w:rPr>
                <w:rFonts w:ascii="宋体"/>
                <w:color w:val="000000"/>
                <w:kern w:val="0"/>
                <w:sz w:val="24"/>
                <w:szCs w:val="24"/>
              </w:rPr>
            </w:pPr>
          </w:p>
        </w:tc>
        <w:tc>
          <w:tcPr>
            <w:tcW w:w="1776" w:type="dxa"/>
          </w:tcPr>
          <w:p w:rsidR="002B3EEE" w:rsidRDefault="002B3EEE" w:rsidP="002B3EEE">
            <w:pPr>
              <w:widowControl/>
              <w:jc w:val="center"/>
              <w:rPr>
                <w:color w:val="000000"/>
                <w:kern w:val="0"/>
                <w:sz w:val="22"/>
                <w:szCs w:val="22"/>
              </w:rPr>
            </w:pPr>
            <w:r>
              <w:rPr>
                <w:rFonts w:hint="eastAsia"/>
                <w:color w:val="000000"/>
                <w:sz w:val="22"/>
                <w:szCs w:val="22"/>
              </w:rPr>
              <w:t>22</w:t>
            </w:r>
            <w:r w:rsidR="002615EB">
              <w:rPr>
                <w:color w:val="000000"/>
                <w:sz w:val="22"/>
                <w:szCs w:val="22"/>
              </w:rPr>
              <w:t>,</w:t>
            </w:r>
            <w:r>
              <w:rPr>
                <w:rFonts w:hint="eastAsia"/>
                <w:color w:val="000000"/>
                <w:sz w:val="22"/>
                <w:szCs w:val="22"/>
              </w:rPr>
              <w:t>747</w:t>
            </w:r>
            <w:r w:rsidR="002615EB">
              <w:rPr>
                <w:color w:val="000000"/>
                <w:sz w:val="22"/>
                <w:szCs w:val="22"/>
              </w:rPr>
              <w:t>,</w:t>
            </w:r>
            <w:r>
              <w:rPr>
                <w:rFonts w:hint="eastAsia"/>
                <w:color w:val="000000"/>
                <w:sz w:val="22"/>
                <w:szCs w:val="22"/>
              </w:rPr>
              <w:t>873.83</w:t>
            </w:r>
          </w:p>
          <w:p w:rsidR="00B43526" w:rsidRPr="00CF2A9B" w:rsidRDefault="00B43526" w:rsidP="00B43526">
            <w:pPr>
              <w:widowControl/>
              <w:spacing w:line="360" w:lineRule="auto"/>
              <w:jc w:val="center"/>
              <w:rPr>
                <w:rFonts w:asciiTheme="minorEastAsia" w:eastAsiaTheme="minorEastAsia" w:hAnsiTheme="minorEastAsia"/>
                <w:color w:val="000000"/>
                <w:kern w:val="0"/>
                <w:sz w:val="24"/>
                <w:szCs w:val="24"/>
              </w:rPr>
            </w:pPr>
          </w:p>
        </w:tc>
        <w:tc>
          <w:tcPr>
            <w:tcW w:w="1059" w:type="dxa"/>
          </w:tcPr>
          <w:p w:rsidR="00E93BC1" w:rsidRDefault="00E93BC1" w:rsidP="00E93BC1">
            <w:pPr>
              <w:widowControl/>
              <w:jc w:val="right"/>
              <w:rPr>
                <w:color w:val="000000"/>
                <w:kern w:val="0"/>
                <w:sz w:val="22"/>
                <w:szCs w:val="22"/>
              </w:rPr>
            </w:pPr>
            <w:r>
              <w:rPr>
                <w:rFonts w:hint="eastAsia"/>
                <w:color w:val="000000"/>
                <w:sz w:val="22"/>
                <w:szCs w:val="22"/>
              </w:rPr>
              <w:t>0.63%</w:t>
            </w:r>
          </w:p>
          <w:p w:rsidR="00B43526" w:rsidRPr="003174D2" w:rsidRDefault="00B43526" w:rsidP="00B43526">
            <w:pPr>
              <w:widowControl/>
              <w:spacing w:line="360" w:lineRule="auto"/>
              <w:jc w:val="right"/>
              <w:rPr>
                <w:rFonts w:ascii="宋体"/>
                <w:color w:val="000000"/>
                <w:kern w:val="0"/>
                <w:sz w:val="24"/>
                <w:szCs w:val="24"/>
              </w:rPr>
            </w:pPr>
          </w:p>
        </w:tc>
        <w:tc>
          <w:tcPr>
            <w:tcW w:w="950" w:type="dxa"/>
          </w:tcPr>
          <w:p w:rsidR="00B43526" w:rsidRDefault="00B43526" w:rsidP="00B43526">
            <w:r w:rsidRPr="00AB371E">
              <w:rPr>
                <w:rFonts w:hint="eastAsia"/>
              </w:rPr>
              <w:t>6</w:t>
            </w:r>
            <w:r w:rsidRPr="00AB371E">
              <w:rPr>
                <w:rFonts w:hint="eastAsia"/>
              </w:rPr>
              <w:t>个月</w:t>
            </w:r>
          </w:p>
        </w:tc>
      </w:tr>
    </w:tbl>
    <w:p w:rsidR="00BD0199" w:rsidRPr="009F69CE" w:rsidRDefault="00BD0199" w:rsidP="00E26272">
      <w:pPr>
        <w:widowControl/>
        <w:spacing w:line="360" w:lineRule="auto"/>
        <w:jc w:val="left"/>
        <w:rPr>
          <w:rFonts w:ascii="宋体"/>
          <w:color w:val="000000"/>
          <w:kern w:val="0"/>
          <w:sz w:val="24"/>
          <w:szCs w:val="24"/>
        </w:rPr>
      </w:pPr>
    </w:p>
    <w:p w:rsidR="00BD0199" w:rsidRPr="00E93BC1" w:rsidRDefault="00290297" w:rsidP="009F69CE">
      <w:pPr>
        <w:widowControl/>
        <w:spacing w:line="360" w:lineRule="auto"/>
        <w:ind w:firstLineChars="200" w:firstLine="480"/>
        <w:jc w:val="left"/>
        <w:rPr>
          <w:rFonts w:ascii="宋体"/>
          <w:color w:val="000000"/>
          <w:kern w:val="0"/>
          <w:sz w:val="24"/>
          <w:szCs w:val="24"/>
        </w:rPr>
      </w:pPr>
      <w:r>
        <w:rPr>
          <w:rFonts w:ascii="宋体" w:hint="eastAsia"/>
          <w:color w:val="000000"/>
          <w:kern w:val="0"/>
          <w:sz w:val="24"/>
          <w:szCs w:val="24"/>
        </w:rPr>
        <w:t>注：基金资产净值、账面价值为</w:t>
      </w:r>
      <w:r w:rsidR="002E01FE" w:rsidRPr="00E93BC1">
        <w:rPr>
          <w:rFonts w:ascii="宋体" w:hint="eastAsia"/>
          <w:color w:val="000000"/>
          <w:kern w:val="0"/>
          <w:sz w:val="24"/>
          <w:szCs w:val="24"/>
        </w:rPr>
        <w:t>20</w:t>
      </w:r>
      <w:r w:rsidR="002E01FE" w:rsidRPr="00E93BC1">
        <w:rPr>
          <w:rFonts w:ascii="宋体"/>
          <w:color w:val="000000"/>
          <w:kern w:val="0"/>
          <w:sz w:val="24"/>
          <w:szCs w:val="24"/>
        </w:rPr>
        <w:t>20</w:t>
      </w:r>
      <w:r w:rsidRPr="00E93BC1">
        <w:rPr>
          <w:rFonts w:ascii="宋体" w:hint="eastAsia"/>
          <w:color w:val="000000"/>
          <w:kern w:val="0"/>
          <w:sz w:val="24"/>
          <w:szCs w:val="24"/>
        </w:rPr>
        <w:t>年</w:t>
      </w:r>
      <w:r w:rsidR="00E93BC1" w:rsidRPr="00E93BC1">
        <w:rPr>
          <w:rFonts w:ascii="宋体"/>
          <w:color w:val="000000"/>
          <w:kern w:val="0"/>
          <w:sz w:val="24"/>
          <w:szCs w:val="24"/>
        </w:rPr>
        <w:t>12</w:t>
      </w:r>
      <w:r w:rsidRPr="00E93BC1">
        <w:rPr>
          <w:rFonts w:ascii="宋体" w:hint="eastAsia"/>
          <w:color w:val="000000"/>
          <w:kern w:val="0"/>
          <w:sz w:val="24"/>
          <w:szCs w:val="24"/>
        </w:rPr>
        <w:t>月</w:t>
      </w:r>
      <w:r w:rsidR="00E93BC1" w:rsidRPr="00E93BC1">
        <w:rPr>
          <w:rFonts w:ascii="宋体"/>
          <w:color w:val="000000"/>
          <w:kern w:val="0"/>
          <w:sz w:val="24"/>
          <w:szCs w:val="24"/>
        </w:rPr>
        <w:t>1</w:t>
      </w:r>
      <w:r w:rsidRPr="00E93BC1">
        <w:rPr>
          <w:rFonts w:ascii="宋体" w:hint="eastAsia"/>
          <w:color w:val="000000"/>
          <w:kern w:val="0"/>
          <w:sz w:val="24"/>
          <w:szCs w:val="24"/>
        </w:rPr>
        <w:t>日数据。</w:t>
      </w:r>
    </w:p>
    <w:p w:rsidR="00BD0199" w:rsidRPr="00E93BC1" w:rsidRDefault="00BD0199" w:rsidP="009F69CE">
      <w:pPr>
        <w:widowControl/>
        <w:spacing w:line="360" w:lineRule="auto"/>
        <w:ind w:firstLineChars="200" w:firstLine="480"/>
        <w:jc w:val="left"/>
        <w:rPr>
          <w:rFonts w:ascii="宋体"/>
          <w:kern w:val="0"/>
          <w:sz w:val="24"/>
          <w:szCs w:val="24"/>
        </w:rPr>
      </w:pPr>
      <w:r w:rsidRPr="00E93BC1">
        <w:rPr>
          <w:rFonts w:ascii="宋体" w:hAnsi="宋体" w:cs="宋体" w:hint="eastAsia"/>
          <w:kern w:val="0"/>
          <w:sz w:val="24"/>
          <w:szCs w:val="24"/>
        </w:rPr>
        <w:t>特此公告。</w:t>
      </w:r>
      <w:r w:rsidRPr="00E93BC1">
        <w:rPr>
          <w:rFonts w:ascii="宋体" w:hAnsi="宋体" w:cs="宋体"/>
          <w:kern w:val="0"/>
          <w:sz w:val="24"/>
          <w:szCs w:val="24"/>
        </w:rPr>
        <w:t xml:space="preserve"> </w:t>
      </w:r>
    </w:p>
    <w:p w:rsidR="00BD0199" w:rsidRPr="00E93BC1" w:rsidRDefault="00BD0199" w:rsidP="009F69CE">
      <w:pPr>
        <w:widowControl/>
        <w:spacing w:line="360" w:lineRule="auto"/>
        <w:ind w:firstLineChars="200" w:firstLine="480"/>
        <w:jc w:val="left"/>
        <w:rPr>
          <w:rFonts w:ascii="宋体"/>
          <w:kern w:val="0"/>
          <w:sz w:val="24"/>
          <w:szCs w:val="24"/>
        </w:rPr>
      </w:pPr>
    </w:p>
    <w:p w:rsidR="00BD0199" w:rsidRPr="00E93BC1" w:rsidRDefault="00BD0199" w:rsidP="009F69CE">
      <w:pPr>
        <w:widowControl/>
        <w:spacing w:line="360" w:lineRule="auto"/>
        <w:jc w:val="right"/>
        <w:rPr>
          <w:rFonts w:ascii="宋体" w:hAnsi="宋体" w:cs="宋体"/>
          <w:kern w:val="0"/>
          <w:sz w:val="24"/>
          <w:szCs w:val="24"/>
        </w:rPr>
      </w:pPr>
      <w:r w:rsidRPr="00E93BC1">
        <w:rPr>
          <w:rFonts w:ascii="宋体" w:hAnsi="宋体" w:cs="宋体" w:hint="eastAsia"/>
          <w:kern w:val="0"/>
          <w:sz w:val="24"/>
          <w:szCs w:val="24"/>
        </w:rPr>
        <w:t>工银瑞信基金管理有限公司</w:t>
      </w:r>
      <w:r w:rsidRPr="00E93BC1">
        <w:rPr>
          <w:rFonts w:ascii="宋体" w:hAnsi="宋体" w:cs="宋体"/>
          <w:kern w:val="0"/>
          <w:sz w:val="24"/>
          <w:szCs w:val="24"/>
        </w:rPr>
        <w:t xml:space="preserve"> </w:t>
      </w:r>
    </w:p>
    <w:p w:rsidR="000B01E1" w:rsidRDefault="002E01FE" w:rsidP="004E24AD">
      <w:pPr>
        <w:widowControl/>
        <w:spacing w:line="360" w:lineRule="auto"/>
        <w:jc w:val="right"/>
        <w:rPr>
          <w:rFonts w:ascii="宋体" w:hAnsi="宋体" w:cs="宋体"/>
          <w:kern w:val="0"/>
          <w:sz w:val="24"/>
          <w:szCs w:val="24"/>
        </w:rPr>
      </w:pPr>
      <w:r w:rsidRPr="00E93BC1">
        <w:rPr>
          <w:rFonts w:ascii="宋体" w:hAnsi="宋体" w:cs="宋体" w:hint="eastAsia"/>
          <w:kern w:val="0"/>
          <w:sz w:val="24"/>
          <w:szCs w:val="24"/>
        </w:rPr>
        <w:t>二零二零</w:t>
      </w:r>
      <w:r w:rsidR="00BD0199" w:rsidRPr="00E93BC1">
        <w:rPr>
          <w:rFonts w:ascii="宋体" w:hAnsi="宋体" w:cs="宋体" w:hint="eastAsia"/>
          <w:kern w:val="0"/>
          <w:sz w:val="24"/>
          <w:szCs w:val="24"/>
        </w:rPr>
        <w:t>年</w:t>
      </w:r>
      <w:r w:rsidR="00873F5C">
        <w:rPr>
          <w:rFonts w:ascii="宋体" w:hAnsi="宋体" w:cs="宋体" w:hint="eastAsia"/>
          <w:kern w:val="0"/>
          <w:sz w:val="24"/>
          <w:szCs w:val="24"/>
        </w:rPr>
        <w:t>十二</w:t>
      </w:r>
      <w:r w:rsidR="00005863" w:rsidRPr="00E93BC1">
        <w:rPr>
          <w:rFonts w:ascii="宋体" w:hAnsi="宋体" w:cs="宋体" w:hint="eastAsia"/>
          <w:kern w:val="0"/>
          <w:sz w:val="24"/>
          <w:szCs w:val="24"/>
        </w:rPr>
        <w:t>月</w:t>
      </w:r>
      <w:r w:rsidR="00873F5C">
        <w:rPr>
          <w:rFonts w:ascii="宋体" w:hAnsi="宋体" w:cs="宋体" w:hint="eastAsia"/>
          <w:kern w:val="0"/>
          <w:sz w:val="24"/>
          <w:szCs w:val="24"/>
        </w:rPr>
        <w:t>三</w:t>
      </w:r>
      <w:r w:rsidR="00653E56" w:rsidRPr="00E93BC1">
        <w:rPr>
          <w:rFonts w:ascii="宋体" w:hAnsi="宋体" w:cs="宋体" w:hint="eastAsia"/>
          <w:kern w:val="0"/>
          <w:sz w:val="24"/>
          <w:szCs w:val="24"/>
        </w:rPr>
        <w:t>日</w:t>
      </w:r>
    </w:p>
    <w:sectPr w:rsidR="000B01E1" w:rsidSect="00E26272">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005" w:rsidRDefault="004A7005" w:rsidP="00B15947">
      <w:r>
        <w:separator/>
      </w:r>
    </w:p>
  </w:endnote>
  <w:endnote w:type="continuationSeparator" w:id="0">
    <w:p w:rsidR="004A7005" w:rsidRDefault="004A7005" w:rsidP="00B15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005" w:rsidRDefault="004A7005" w:rsidP="00B15947">
      <w:r>
        <w:separator/>
      </w:r>
    </w:p>
  </w:footnote>
  <w:footnote w:type="continuationSeparator" w:id="0">
    <w:p w:rsidR="004A7005" w:rsidRDefault="004A7005" w:rsidP="00B15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edit="trackedChanges" w:enforcement="1" w:cryptProviderType="rsaAES" w:cryptAlgorithmClass="hash" w:cryptAlgorithmType="typeAny" w:cryptAlgorithmSid="14" w:cryptSpinCount="100000" w:hash="Fl1/J82YKdq9iP7hoy7BbgxBdNDosCaKyumr1lqp1RhId/TNX+v7LM5t9rSeh6AsvFQvAkbytVrt&#10;0ZreNv+fLw==" w:salt="jy24HvaN6YqgWMKYaoIhlw=="/>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ztFileName" w:val="132513431314179810NP"/>
    <w:docVar w:name="aztPrintName" w:val="000000ESAOAPRINT"/>
    <w:docVar w:name="aztPrintType" w:val="2"/>
  </w:docVars>
  <w:rsids>
    <w:rsidRoot w:val="002A0638"/>
    <w:rsid w:val="00005863"/>
    <w:rsid w:val="00033425"/>
    <w:rsid w:val="00047FF8"/>
    <w:rsid w:val="000773B1"/>
    <w:rsid w:val="000865D7"/>
    <w:rsid w:val="00090A18"/>
    <w:rsid w:val="00091A9D"/>
    <w:rsid w:val="000A1EA0"/>
    <w:rsid w:val="000B01E1"/>
    <w:rsid w:val="000B48DF"/>
    <w:rsid w:val="000B49B1"/>
    <w:rsid w:val="00182B7E"/>
    <w:rsid w:val="00190B83"/>
    <w:rsid w:val="00191D58"/>
    <w:rsid w:val="001A1444"/>
    <w:rsid w:val="001C3AB6"/>
    <w:rsid w:val="001E055D"/>
    <w:rsid w:val="0023036E"/>
    <w:rsid w:val="0023356B"/>
    <w:rsid w:val="00256E1F"/>
    <w:rsid w:val="002615EB"/>
    <w:rsid w:val="00267569"/>
    <w:rsid w:val="00272E75"/>
    <w:rsid w:val="00290297"/>
    <w:rsid w:val="002A0638"/>
    <w:rsid w:val="002B3EEE"/>
    <w:rsid w:val="002B72B2"/>
    <w:rsid w:val="002D003E"/>
    <w:rsid w:val="002E01FE"/>
    <w:rsid w:val="002F0EB5"/>
    <w:rsid w:val="002F135E"/>
    <w:rsid w:val="00302700"/>
    <w:rsid w:val="00307805"/>
    <w:rsid w:val="00315CC7"/>
    <w:rsid w:val="003174D2"/>
    <w:rsid w:val="00324290"/>
    <w:rsid w:val="00325B26"/>
    <w:rsid w:val="003277BF"/>
    <w:rsid w:val="00327989"/>
    <w:rsid w:val="003415CF"/>
    <w:rsid w:val="00342714"/>
    <w:rsid w:val="00362CAD"/>
    <w:rsid w:val="0036747D"/>
    <w:rsid w:val="003740DB"/>
    <w:rsid w:val="00387B61"/>
    <w:rsid w:val="003A2ED7"/>
    <w:rsid w:val="003B24CF"/>
    <w:rsid w:val="003C4BF4"/>
    <w:rsid w:val="003E3179"/>
    <w:rsid w:val="00401347"/>
    <w:rsid w:val="004110B6"/>
    <w:rsid w:val="0041169C"/>
    <w:rsid w:val="00447072"/>
    <w:rsid w:val="00447371"/>
    <w:rsid w:val="00447CC2"/>
    <w:rsid w:val="00456C5E"/>
    <w:rsid w:val="00480475"/>
    <w:rsid w:val="00481926"/>
    <w:rsid w:val="004A7005"/>
    <w:rsid w:val="004C4B42"/>
    <w:rsid w:val="004E1FBF"/>
    <w:rsid w:val="004E24AD"/>
    <w:rsid w:val="00510F49"/>
    <w:rsid w:val="005119B2"/>
    <w:rsid w:val="00515111"/>
    <w:rsid w:val="0053390E"/>
    <w:rsid w:val="005379D9"/>
    <w:rsid w:val="0054025D"/>
    <w:rsid w:val="005478D8"/>
    <w:rsid w:val="00547DD7"/>
    <w:rsid w:val="0055222B"/>
    <w:rsid w:val="00555AE8"/>
    <w:rsid w:val="00563E30"/>
    <w:rsid w:val="0056450F"/>
    <w:rsid w:val="0059498D"/>
    <w:rsid w:val="005B06D6"/>
    <w:rsid w:val="005B525E"/>
    <w:rsid w:val="005D578D"/>
    <w:rsid w:val="006157BF"/>
    <w:rsid w:val="0062787D"/>
    <w:rsid w:val="00634D56"/>
    <w:rsid w:val="006374C7"/>
    <w:rsid w:val="006401DC"/>
    <w:rsid w:val="00642E7B"/>
    <w:rsid w:val="006473B8"/>
    <w:rsid w:val="00653E56"/>
    <w:rsid w:val="0066024B"/>
    <w:rsid w:val="006662BF"/>
    <w:rsid w:val="00677C0E"/>
    <w:rsid w:val="006963F6"/>
    <w:rsid w:val="006A259E"/>
    <w:rsid w:val="006C1507"/>
    <w:rsid w:val="006D3803"/>
    <w:rsid w:val="006F133E"/>
    <w:rsid w:val="006F2500"/>
    <w:rsid w:val="006F27C4"/>
    <w:rsid w:val="00713C74"/>
    <w:rsid w:val="007308B9"/>
    <w:rsid w:val="007750B8"/>
    <w:rsid w:val="00776E78"/>
    <w:rsid w:val="007A64B1"/>
    <w:rsid w:val="007B7CE4"/>
    <w:rsid w:val="007C54A6"/>
    <w:rsid w:val="007D23A5"/>
    <w:rsid w:val="007D41BE"/>
    <w:rsid w:val="00804C32"/>
    <w:rsid w:val="008146C5"/>
    <w:rsid w:val="00822540"/>
    <w:rsid w:val="00862E11"/>
    <w:rsid w:val="00873F5C"/>
    <w:rsid w:val="00882B7E"/>
    <w:rsid w:val="00887B05"/>
    <w:rsid w:val="00892BD0"/>
    <w:rsid w:val="008A2E23"/>
    <w:rsid w:val="008A51A4"/>
    <w:rsid w:val="008A5D78"/>
    <w:rsid w:val="008C1083"/>
    <w:rsid w:val="008D1705"/>
    <w:rsid w:val="008D5049"/>
    <w:rsid w:val="008D50DC"/>
    <w:rsid w:val="008F2AFD"/>
    <w:rsid w:val="009161CD"/>
    <w:rsid w:val="0094081A"/>
    <w:rsid w:val="00983436"/>
    <w:rsid w:val="009A05B5"/>
    <w:rsid w:val="009A744A"/>
    <w:rsid w:val="009C261A"/>
    <w:rsid w:val="009C58BA"/>
    <w:rsid w:val="009D53DE"/>
    <w:rsid w:val="009E2A0E"/>
    <w:rsid w:val="009F69CE"/>
    <w:rsid w:val="00A01A0E"/>
    <w:rsid w:val="00A33DDF"/>
    <w:rsid w:val="00A34456"/>
    <w:rsid w:val="00A42717"/>
    <w:rsid w:val="00A63ACD"/>
    <w:rsid w:val="00A7033E"/>
    <w:rsid w:val="00A72BBE"/>
    <w:rsid w:val="00A75B21"/>
    <w:rsid w:val="00AA3ACE"/>
    <w:rsid w:val="00AC7E83"/>
    <w:rsid w:val="00AE64B4"/>
    <w:rsid w:val="00AF747A"/>
    <w:rsid w:val="00B137F6"/>
    <w:rsid w:val="00B15947"/>
    <w:rsid w:val="00B43526"/>
    <w:rsid w:val="00B71ABC"/>
    <w:rsid w:val="00B767CB"/>
    <w:rsid w:val="00B94709"/>
    <w:rsid w:val="00BA2729"/>
    <w:rsid w:val="00BB022A"/>
    <w:rsid w:val="00BD0199"/>
    <w:rsid w:val="00BE601F"/>
    <w:rsid w:val="00C039FA"/>
    <w:rsid w:val="00C12B71"/>
    <w:rsid w:val="00C20633"/>
    <w:rsid w:val="00C25EAD"/>
    <w:rsid w:val="00C313C5"/>
    <w:rsid w:val="00C31DA4"/>
    <w:rsid w:val="00C65F6A"/>
    <w:rsid w:val="00C71FAC"/>
    <w:rsid w:val="00CB1AE3"/>
    <w:rsid w:val="00CF2A9B"/>
    <w:rsid w:val="00D00086"/>
    <w:rsid w:val="00D04230"/>
    <w:rsid w:val="00D70B53"/>
    <w:rsid w:val="00DA765F"/>
    <w:rsid w:val="00DB3AA1"/>
    <w:rsid w:val="00DD4269"/>
    <w:rsid w:val="00DD450C"/>
    <w:rsid w:val="00DD6AFF"/>
    <w:rsid w:val="00DD6F3C"/>
    <w:rsid w:val="00DE1F74"/>
    <w:rsid w:val="00DF47D4"/>
    <w:rsid w:val="00E0480E"/>
    <w:rsid w:val="00E1019E"/>
    <w:rsid w:val="00E1328F"/>
    <w:rsid w:val="00E23344"/>
    <w:rsid w:val="00E238E4"/>
    <w:rsid w:val="00E26272"/>
    <w:rsid w:val="00E264CE"/>
    <w:rsid w:val="00E51242"/>
    <w:rsid w:val="00E56092"/>
    <w:rsid w:val="00E67D1A"/>
    <w:rsid w:val="00E7188C"/>
    <w:rsid w:val="00E76520"/>
    <w:rsid w:val="00E92D46"/>
    <w:rsid w:val="00E93BC1"/>
    <w:rsid w:val="00E97405"/>
    <w:rsid w:val="00EA3A4B"/>
    <w:rsid w:val="00EB7827"/>
    <w:rsid w:val="00EE1393"/>
    <w:rsid w:val="00F161CC"/>
    <w:rsid w:val="00F2556B"/>
    <w:rsid w:val="00F30B30"/>
    <w:rsid w:val="00F62366"/>
    <w:rsid w:val="00F8718E"/>
    <w:rsid w:val="00F905D3"/>
    <w:rsid w:val="00F92710"/>
    <w:rsid w:val="00F92ABA"/>
    <w:rsid w:val="00FB760B"/>
    <w:rsid w:val="00FF14E6"/>
    <w:rsid w:val="00FF3075"/>
    <w:rsid w:val="00FF5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6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C1507"/>
    <w:rPr>
      <w:color w:val="000000"/>
      <w:u w:val="none"/>
      <w:effect w:val="none"/>
    </w:rPr>
  </w:style>
  <w:style w:type="paragraph" w:styleId="a4">
    <w:name w:val="Normal (Web)"/>
    <w:basedOn w:val="a"/>
    <w:uiPriority w:val="99"/>
    <w:rsid w:val="006C1507"/>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FF5C8E"/>
    <w:rPr>
      <w:sz w:val="18"/>
      <w:szCs w:val="18"/>
    </w:rPr>
  </w:style>
  <w:style w:type="character" w:customStyle="1" w:styleId="Char">
    <w:name w:val="批注框文本 Char"/>
    <w:basedOn w:val="a0"/>
    <w:link w:val="a5"/>
    <w:uiPriority w:val="99"/>
    <w:semiHidden/>
    <w:rsid w:val="00DE0523"/>
    <w:rPr>
      <w:sz w:val="0"/>
      <w:szCs w:val="0"/>
    </w:rPr>
  </w:style>
  <w:style w:type="paragraph" w:styleId="a6">
    <w:name w:val="header"/>
    <w:basedOn w:val="a"/>
    <w:link w:val="Char0"/>
    <w:uiPriority w:val="99"/>
    <w:rsid w:val="00B159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B15947"/>
    <w:rPr>
      <w:kern w:val="2"/>
      <w:sz w:val="18"/>
      <w:szCs w:val="18"/>
    </w:rPr>
  </w:style>
  <w:style w:type="paragraph" w:styleId="a7">
    <w:name w:val="footer"/>
    <w:basedOn w:val="a"/>
    <w:link w:val="Char1"/>
    <w:uiPriority w:val="99"/>
    <w:rsid w:val="00B15947"/>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B15947"/>
    <w:rPr>
      <w:kern w:val="2"/>
      <w:sz w:val="18"/>
      <w:szCs w:val="18"/>
    </w:rPr>
  </w:style>
  <w:style w:type="paragraph" w:styleId="a8">
    <w:name w:val="Date"/>
    <w:basedOn w:val="a"/>
    <w:next w:val="a"/>
    <w:link w:val="Char2"/>
    <w:uiPriority w:val="99"/>
    <w:semiHidden/>
    <w:unhideWhenUsed/>
    <w:rsid w:val="005478D8"/>
    <w:pPr>
      <w:ind w:leftChars="2500" w:left="100"/>
    </w:pPr>
  </w:style>
  <w:style w:type="character" w:customStyle="1" w:styleId="Char2">
    <w:name w:val="日期 Char"/>
    <w:basedOn w:val="a0"/>
    <w:link w:val="a8"/>
    <w:uiPriority w:val="99"/>
    <w:semiHidden/>
    <w:rsid w:val="005478D8"/>
    <w:rPr>
      <w:kern w:val="2"/>
      <w:sz w:val="21"/>
      <w:szCs w:val="21"/>
    </w:rPr>
  </w:style>
  <w:style w:type="paragraph" w:customStyle="1" w:styleId="Default">
    <w:name w:val="Default"/>
    <w:rsid w:val="003B24CF"/>
    <w:pPr>
      <w:widowControl w:val="0"/>
      <w:autoSpaceDE w:val="0"/>
      <w:autoSpaceDN w:val="0"/>
      <w:adjustRightInd w:val="0"/>
    </w:pPr>
    <w:rPr>
      <w:color w:val="000000"/>
      <w:sz w:val="24"/>
      <w:szCs w:val="24"/>
    </w:rPr>
  </w:style>
  <w:style w:type="table" w:styleId="a9">
    <w:name w:val="Table Grid"/>
    <w:basedOn w:val="a1"/>
    <w:uiPriority w:val="59"/>
    <w:rsid w:val="00E26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65229">
      <w:bodyDiv w:val="1"/>
      <w:marLeft w:val="0"/>
      <w:marRight w:val="0"/>
      <w:marTop w:val="0"/>
      <w:marBottom w:val="0"/>
      <w:divBdr>
        <w:top w:val="none" w:sz="0" w:space="0" w:color="auto"/>
        <w:left w:val="none" w:sz="0" w:space="0" w:color="auto"/>
        <w:bottom w:val="none" w:sz="0" w:space="0" w:color="auto"/>
        <w:right w:val="none" w:sz="0" w:space="0" w:color="auto"/>
      </w:divBdr>
    </w:div>
    <w:div w:id="39794554">
      <w:bodyDiv w:val="1"/>
      <w:marLeft w:val="0"/>
      <w:marRight w:val="0"/>
      <w:marTop w:val="0"/>
      <w:marBottom w:val="0"/>
      <w:divBdr>
        <w:top w:val="none" w:sz="0" w:space="0" w:color="auto"/>
        <w:left w:val="none" w:sz="0" w:space="0" w:color="auto"/>
        <w:bottom w:val="none" w:sz="0" w:space="0" w:color="auto"/>
        <w:right w:val="none" w:sz="0" w:space="0" w:color="auto"/>
      </w:divBdr>
    </w:div>
    <w:div w:id="87585350">
      <w:bodyDiv w:val="1"/>
      <w:marLeft w:val="0"/>
      <w:marRight w:val="0"/>
      <w:marTop w:val="0"/>
      <w:marBottom w:val="0"/>
      <w:divBdr>
        <w:top w:val="none" w:sz="0" w:space="0" w:color="auto"/>
        <w:left w:val="none" w:sz="0" w:space="0" w:color="auto"/>
        <w:bottom w:val="none" w:sz="0" w:space="0" w:color="auto"/>
        <w:right w:val="none" w:sz="0" w:space="0" w:color="auto"/>
      </w:divBdr>
    </w:div>
    <w:div w:id="98719240">
      <w:bodyDiv w:val="1"/>
      <w:marLeft w:val="0"/>
      <w:marRight w:val="0"/>
      <w:marTop w:val="0"/>
      <w:marBottom w:val="0"/>
      <w:divBdr>
        <w:top w:val="none" w:sz="0" w:space="0" w:color="auto"/>
        <w:left w:val="none" w:sz="0" w:space="0" w:color="auto"/>
        <w:bottom w:val="none" w:sz="0" w:space="0" w:color="auto"/>
        <w:right w:val="none" w:sz="0" w:space="0" w:color="auto"/>
      </w:divBdr>
    </w:div>
    <w:div w:id="185169706">
      <w:bodyDiv w:val="1"/>
      <w:marLeft w:val="0"/>
      <w:marRight w:val="0"/>
      <w:marTop w:val="0"/>
      <w:marBottom w:val="0"/>
      <w:divBdr>
        <w:top w:val="none" w:sz="0" w:space="0" w:color="auto"/>
        <w:left w:val="none" w:sz="0" w:space="0" w:color="auto"/>
        <w:bottom w:val="none" w:sz="0" w:space="0" w:color="auto"/>
        <w:right w:val="none" w:sz="0" w:space="0" w:color="auto"/>
      </w:divBdr>
    </w:div>
    <w:div w:id="221212221">
      <w:bodyDiv w:val="1"/>
      <w:marLeft w:val="0"/>
      <w:marRight w:val="0"/>
      <w:marTop w:val="0"/>
      <w:marBottom w:val="0"/>
      <w:divBdr>
        <w:top w:val="none" w:sz="0" w:space="0" w:color="auto"/>
        <w:left w:val="none" w:sz="0" w:space="0" w:color="auto"/>
        <w:bottom w:val="none" w:sz="0" w:space="0" w:color="auto"/>
        <w:right w:val="none" w:sz="0" w:space="0" w:color="auto"/>
      </w:divBdr>
    </w:div>
    <w:div w:id="234781184">
      <w:bodyDiv w:val="1"/>
      <w:marLeft w:val="0"/>
      <w:marRight w:val="0"/>
      <w:marTop w:val="0"/>
      <w:marBottom w:val="0"/>
      <w:divBdr>
        <w:top w:val="none" w:sz="0" w:space="0" w:color="auto"/>
        <w:left w:val="none" w:sz="0" w:space="0" w:color="auto"/>
        <w:bottom w:val="none" w:sz="0" w:space="0" w:color="auto"/>
        <w:right w:val="none" w:sz="0" w:space="0" w:color="auto"/>
      </w:divBdr>
    </w:div>
    <w:div w:id="245042320">
      <w:bodyDiv w:val="1"/>
      <w:marLeft w:val="0"/>
      <w:marRight w:val="0"/>
      <w:marTop w:val="0"/>
      <w:marBottom w:val="0"/>
      <w:divBdr>
        <w:top w:val="none" w:sz="0" w:space="0" w:color="auto"/>
        <w:left w:val="none" w:sz="0" w:space="0" w:color="auto"/>
        <w:bottom w:val="none" w:sz="0" w:space="0" w:color="auto"/>
        <w:right w:val="none" w:sz="0" w:space="0" w:color="auto"/>
      </w:divBdr>
    </w:div>
    <w:div w:id="318964779">
      <w:bodyDiv w:val="1"/>
      <w:marLeft w:val="0"/>
      <w:marRight w:val="0"/>
      <w:marTop w:val="0"/>
      <w:marBottom w:val="0"/>
      <w:divBdr>
        <w:top w:val="none" w:sz="0" w:space="0" w:color="auto"/>
        <w:left w:val="none" w:sz="0" w:space="0" w:color="auto"/>
        <w:bottom w:val="none" w:sz="0" w:space="0" w:color="auto"/>
        <w:right w:val="none" w:sz="0" w:space="0" w:color="auto"/>
      </w:divBdr>
    </w:div>
    <w:div w:id="342706271">
      <w:bodyDiv w:val="1"/>
      <w:marLeft w:val="0"/>
      <w:marRight w:val="0"/>
      <w:marTop w:val="0"/>
      <w:marBottom w:val="0"/>
      <w:divBdr>
        <w:top w:val="none" w:sz="0" w:space="0" w:color="auto"/>
        <w:left w:val="none" w:sz="0" w:space="0" w:color="auto"/>
        <w:bottom w:val="none" w:sz="0" w:space="0" w:color="auto"/>
        <w:right w:val="none" w:sz="0" w:space="0" w:color="auto"/>
      </w:divBdr>
    </w:div>
    <w:div w:id="435835108">
      <w:bodyDiv w:val="1"/>
      <w:marLeft w:val="0"/>
      <w:marRight w:val="0"/>
      <w:marTop w:val="0"/>
      <w:marBottom w:val="0"/>
      <w:divBdr>
        <w:top w:val="none" w:sz="0" w:space="0" w:color="auto"/>
        <w:left w:val="none" w:sz="0" w:space="0" w:color="auto"/>
        <w:bottom w:val="none" w:sz="0" w:space="0" w:color="auto"/>
        <w:right w:val="none" w:sz="0" w:space="0" w:color="auto"/>
      </w:divBdr>
    </w:div>
    <w:div w:id="453182462">
      <w:bodyDiv w:val="1"/>
      <w:marLeft w:val="0"/>
      <w:marRight w:val="0"/>
      <w:marTop w:val="0"/>
      <w:marBottom w:val="0"/>
      <w:divBdr>
        <w:top w:val="none" w:sz="0" w:space="0" w:color="auto"/>
        <w:left w:val="none" w:sz="0" w:space="0" w:color="auto"/>
        <w:bottom w:val="none" w:sz="0" w:space="0" w:color="auto"/>
        <w:right w:val="none" w:sz="0" w:space="0" w:color="auto"/>
      </w:divBdr>
    </w:div>
    <w:div w:id="467206742">
      <w:bodyDiv w:val="1"/>
      <w:marLeft w:val="0"/>
      <w:marRight w:val="0"/>
      <w:marTop w:val="0"/>
      <w:marBottom w:val="0"/>
      <w:divBdr>
        <w:top w:val="none" w:sz="0" w:space="0" w:color="auto"/>
        <w:left w:val="none" w:sz="0" w:space="0" w:color="auto"/>
        <w:bottom w:val="none" w:sz="0" w:space="0" w:color="auto"/>
        <w:right w:val="none" w:sz="0" w:space="0" w:color="auto"/>
      </w:divBdr>
    </w:div>
    <w:div w:id="524757365">
      <w:bodyDiv w:val="1"/>
      <w:marLeft w:val="0"/>
      <w:marRight w:val="0"/>
      <w:marTop w:val="0"/>
      <w:marBottom w:val="0"/>
      <w:divBdr>
        <w:top w:val="none" w:sz="0" w:space="0" w:color="auto"/>
        <w:left w:val="none" w:sz="0" w:space="0" w:color="auto"/>
        <w:bottom w:val="none" w:sz="0" w:space="0" w:color="auto"/>
        <w:right w:val="none" w:sz="0" w:space="0" w:color="auto"/>
      </w:divBdr>
    </w:div>
    <w:div w:id="562058202">
      <w:bodyDiv w:val="1"/>
      <w:marLeft w:val="0"/>
      <w:marRight w:val="0"/>
      <w:marTop w:val="0"/>
      <w:marBottom w:val="0"/>
      <w:divBdr>
        <w:top w:val="none" w:sz="0" w:space="0" w:color="auto"/>
        <w:left w:val="none" w:sz="0" w:space="0" w:color="auto"/>
        <w:bottom w:val="none" w:sz="0" w:space="0" w:color="auto"/>
        <w:right w:val="none" w:sz="0" w:space="0" w:color="auto"/>
      </w:divBdr>
    </w:div>
    <w:div w:id="568422900">
      <w:bodyDiv w:val="1"/>
      <w:marLeft w:val="0"/>
      <w:marRight w:val="0"/>
      <w:marTop w:val="0"/>
      <w:marBottom w:val="0"/>
      <w:divBdr>
        <w:top w:val="none" w:sz="0" w:space="0" w:color="auto"/>
        <w:left w:val="none" w:sz="0" w:space="0" w:color="auto"/>
        <w:bottom w:val="none" w:sz="0" w:space="0" w:color="auto"/>
        <w:right w:val="none" w:sz="0" w:space="0" w:color="auto"/>
      </w:divBdr>
    </w:div>
    <w:div w:id="614093540">
      <w:bodyDiv w:val="1"/>
      <w:marLeft w:val="0"/>
      <w:marRight w:val="0"/>
      <w:marTop w:val="0"/>
      <w:marBottom w:val="0"/>
      <w:divBdr>
        <w:top w:val="none" w:sz="0" w:space="0" w:color="auto"/>
        <w:left w:val="none" w:sz="0" w:space="0" w:color="auto"/>
        <w:bottom w:val="none" w:sz="0" w:space="0" w:color="auto"/>
        <w:right w:val="none" w:sz="0" w:space="0" w:color="auto"/>
      </w:divBdr>
    </w:div>
    <w:div w:id="648048709">
      <w:bodyDiv w:val="1"/>
      <w:marLeft w:val="0"/>
      <w:marRight w:val="0"/>
      <w:marTop w:val="0"/>
      <w:marBottom w:val="0"/>
      <w:divBdr>
        <w:top w:val="none" w:sz="0" w:space="0" w:color="auto"/>
        <w:left w:val="none" w:sz="0" w:space="0" w:color="auto"/>
        <w:bottom w:val="none" w:sz="0" w:space="0" w:color="auto"/>
        <w:right w:val="none" w:sz="0" w:space="0" w:color="auto"/>
      </w:divBdr>
    </w:div>
    <w:div w:id="675036073">
      <w:bodyDiv w:val="1"/>
      <w:marLeft w:val="0"/>
      <w:marRight w:val="0"/>
      <w:marTop w:val="0"/>
      <w:marBottom w:val="0"/>
      <w:divBdr>
        <w:top w:val="none" w:sz="0" w:space="0" w:color="auto"/>
        <w:left w:val="none" w:sz="0" w:space="0" w:color="auto"/>
        <w:bottom w:val="none" w:sz="0" w:space="0" w:color="auto"/>
        <w:right w:val="none" w:sz="0" w:space="0" w:color="auto"/>
      </w:divBdr>
    </w:div>
    <w:div w:id="676008588">
      <w:bodyDiv w:val="1"/>
      <w:marLeft w:val="0"/>
      <w:marRight w:val="0"/>
      <w:marTop w:val="0"/>
      <w:marBottom w:val="0"/>
      <w:divBdr>
        <w:top w:val="none" w:sz="0" w:space="0" w:color="auto"/>
        <w:left w:val="none" w:sz="0" w:space="0" w:color="auto"/>
        <w:bottom w:val="none" w:sz="0" w:space="0" w:color="auto"/>
        <w:right w:val="none" w:sz="0" w:space="0" w:color="auto"/>
      </w:divBdr>
    </w:div>
    <w:div w:id="713428806">
      <w:bodyDiv w:val="1"/>
      <w:marLeft w:val="0"/>
      <w:marRight w:val="0"/>
      <w:marTop w:val="0"/>
      <w:marBottom w:val="0"/>
      <w:divBdr>
        <w:top w:val="none" w:sz="0" w:space="0" w:color="auto"/>
        <w:left w:val="none" w:sz="0" w:space="0" w:color="auto"/>
        <w:bottom w:val="none" w:sz="0" w:space="0" w:color="auto"/>
        <w:right w:val="none" w:sz="0" w:space="0" w:color="auto"/>
      </w:divBdr>
    </w:div>
    <w:div w:id="736781991">
      <w:bodyDiv w:val="1"/>
      <w:marLeft w:val="0"/>
      <w:marRight w:val="0"/>
      <w:marTop w:val="0"/>
      <w:marBottom w:val="0"/>
      <w:divBdr>
        <w:top w:val="none" w:sz="0" w:space="0" w:color="auto"/>
        <w:left w:val="none" w:sz="0" w:space="0" w:color="auto"/>
        <w:bottom w:val="none" w:sz="0" w:space="0" w:color="auto"/>
        <w:right w:val="none" w:sz="0" w:space="0" w:color="auto"/>
      </w:divBdr>
    </w:div>
    <w:div w:id="744955940">
      <w:bodyDiv w:val="1"/>
      <w:marLeft w:val="0"/>
      <w:marRight w:val="0"/>
      <w:marTop w:val="0"/>
      <w:marBottom w:val="0"/>
      <w:divBdr>
        <w:top w:val="none" w:sz="0" w:space="0" w:color="auto"/>
        <w:left w:val="none" w:sz="0" w:space="0" w:color="auto"/>
        <w:bottom w:val="none" w:sz="0" w:space="0" w:color="auto"/>
        <w:right w:val="none" w:sz="0" w:space="0" w:color="auto"/>
      </w:divBdr>
    </w:div>
    <w:div w:id="757212806">
      <w:bodyDiv w:val="1"/>
      <w:marLeft w:val="0"/>
      <w:marRight w:val="0"/>
      <w:marTop w:val="0"/>
      <w:marBottom w:val="0"/>
      <w:divBdr>
        <w:top w:val="none" w:sz="0" w:space="0" w:color="auto"/>
        <w:left w:val="none" w:sz="0" w:space="0" w:color="auto"/>
        <w:bottom w:val="none" w:sz="0" w:space="0" w:color="auto"/>
        <w:right w:val="none" w:sz="0" w:space="0" w:color="auto"/>
      </w:divBdr>
    </w:div>
    <w:div w:id="787240559">
      <w:bodyDiv w:val="1"/>
      <w:marLeft w:val="0"/>
      <w:marRight w:val="0"/>
      <w:marTop w:val="0"/>
      <w:marBottom w:val="0"/>
      <w:divBdr>
        <w:top w:val="none" w:sz="0" w:space="0" w:color="auto"/>
        <w:left w:val="none" w:sz="0" w:space="0" w:color="auto"/>
        <w:bottom w:val="none" w:sz="0" w:space="0" w:color="auto"/>
        <w:right w:val="none" w:sz="0" w:space="0" w:color="auto"/>
      </w:divBdr>
    </w:div>
    <w:div w:id="820854032">
      <w:bodyDiv w:val="1"/>
      <w:marLeft w:val="0"/>
      <w:marRight w:val="0"/>
      <w:marTop w:val="0"/>
      <w:marBottom w:val="0"/>
      <w:divBdr>
        <w:top w:val="none" w:sz="0" w:space="0" w:color="auto"/>
        <w:left w:val="none" w:sz="0" w:space="0" w:color="auto"/>
        <w:bottom w:val="none" w:sz="0" w:space="0" w:color="auto"/>
        <w:right w:val="none" w:sz="0" w:space="0" w:color="auto"/>
      </w:divBdr>
    </w:div>
    <w:div w:id="823862140">
      <w:bodyDiv w:val="1"/>
      <w:marLeft w:val="0"/>
      <w:marRight w:val="0"/>
      <w:marTop w:val="0"/>
      <w:marBottom w:val="0"/>
      <w:divBdr>
        <w:top w:val="none" w:sz="0" w:space="0" w:color="auto"/>
        <w:left w:val="none" w:sz="0" w:space="0" w:color="auto"/>
        <w:bottom w:val="none" w:sz="0" w:space="0" w:color="auto"/>
        <w:right w:val="none" w:sz="0" w:space="0" w:color="auto"/>
      </w:divBdr>
    </w:div>
    <w:div w:id="862401316">
      <w:bodyDiv w:val="1"/>
      <w:marLeft w:val="0"/>
      <w:marRight w:val="0"/>
      <w:marTop w:val="0"/>
      <w:marBottom w:val="0"/>
      <w:divBdr>
        <w:top w:val="none" w:sz="0" w:space="0" w:color="auto"/>
        <w:left w:val="none" w:sz="0" w:space="0" w:color="auto"/>
        <w:bottom w:val="none" w:sz="0" w:space="0" w:color="auto"/>
        <w:right w:val="none" w:sz="0" w:space="0" w:color="auto"/>
      </w:divBdr>
    </w:div>
    <w:div w:id="871766549">
      <w:bodyDiv w:val="1"/>
      <w:marLeft w:val="0"/>
      <w:marRight w:val="0"/>
      <w:marTop w:val="0"/>
      <w:marBottom w:val="0"/>
      <w:divBdr>
        <w:top w:val="none" w:sz="0" w:space="0" w:color="auto"/>
        <w:left w:val="none" w:sz="0" w:space="0" w:color="auto"/>
        <w:bottom w:val="none" w:sz="0" w:space="0" w:color="auto"/>
        <w:right w:val="none" w:sz="0" w:space="0" w:color="auto"/>
      </w:divBdr>
    </w:div>
    <w:div w:id="906458977">
      <w:bodyDiv w:val="1"/>
      <w:marLeft w:val="0"/>
      <w:marRight w:val="0"/>
      <w:marTop w:val="0"/>
      <w:marBottom w:val="0"/>
      <w:divBdr>
        <w:top w:val="none" w:sz="0" w:space="0" w:color="auto"/>
        <w:left w:val="none" w:sz="0" w:space="0" w:color="auto"/>
        <w:bottom w:val="none" w:sz="0" w:space="0" w:color="auto"/>
        <w:right w:val="none" w:sz="0" w:space="0" w:color="auto"/>
      </w:divBdr>
    </w:div>
    <w:div w:id="908080969">
      <w:bodyDiv w:val="1"/>
      <w:marLeft w:val="0"/>
      <w:marRight w:val="0"/>
      <w:marTop w:val="0"/>
      <w:marBottom w:val="0"/>
      <w:divBdr>
        <w:top w:val="none" w:sz="0" w:space="0" w:color="auto"/>
        <w:left w:val="none" w:sz="0" w:space="0" w:color="auto"/>
        <w:bottom w:val="none" w:sz="0" w:space="0" w:color="auto"/>
        <w:right w:val="none" w:sz="0" w:space="0" w:color="auto"/>
      </w:divBdr>
    </w:div>
    <w:div w:id="911278546">
      <w:bodyDiv w:val="1"/>
      <w:marLeft w:val="0"/>
      <w:marRight w:val="0"/>
      <w:marTop w:val="0"/>
      <w:marBottom w:val="0"/>
      <w:divBdr>
        <w:top w:val="none" w:sz="0" w:space="0" w:color="auto"/>
        <w:left w:val="none" w:sz="0" w:space="0" w:color="auto"/>
        <w:bottom w:val="none" w:sz="0" w:space="0" w:color="auto"/>
        <w:right w:val="none" w:sz="0" w:space="0" w:color="auto"/>
      </w:divBdr>
    </w:div>
    <w:div w:id="932471883">
      <w:bodyDiv w:val="1"/>
      <w:marLeft w:val="0"/>
      <w:marRight w:val="0"/>
      <w:marTop w:val="0"/>
      <w:marBottom w:val="0"/>
      <w:divBdr>
        <w:top w:val="none" w:sz="0" w:space="0" w:color="auto"/>
        <w:left w:val="none" w:sz="0" w:space="0" w:color="auto"/>
        <w:bottom w:val="none" w:sz="0" w:space="0" w:color="auto"/>
        <w:right w:val="none" w:sz="0" w:space="0" w:color="auto"/>
      </w:divBdr>
    </w:div>
    <w:div w:id="976566628">
      <w:bodyDiv w:val="1"/>
      <w:marLeft w:val="0"/>
      <w:marRight w:val="0"/>
      <w:marTop w:val="0"/>
      <w:marBottom w:val="0"/>
      <w:divBdr>
        <w:top w:val="none" w:sz="0" w:space="0" w:color="auto"/>
        <w:left w:val="none" w:sz="0" w:space="0" w:color="auto"/>
        <w:bottom w:val="none" w:sz="0" w:space="0" w:color="auto"/>
        <w:right w:val="none" w:sz="0" w:space="0" w:color="auto"/>
      </w:divBdr>
    </w:div>
    <w:div w:id="981426572">
      <w:bodyDiv w:val="1"/>
      <w:marLeft w:val="0"/>
      <w:marRight w:val="0"/>
      <w:marTop w:val="0"/>
      <w:marBottom w:val="0"/>
      <w:divBdr>
        <w:top w:val="none" w:sz="0" w:space="0" w:color="auto"/>
        <w:left w:val="none" w:sz="0" w:space="0" w:color="auto"/>
        <w:bottom w:val="none" w:sz="0" w:space="0" w:color="auto"/>
        <w:right w:val="none" w:sz="0" w:space="0" w:color="auto"/>
      </w:divBdr>
    </w:div>
    <w:div w:id="983704910">
      <w:bodyDiv w:val="1"/>
      <w:marLeft w:val="0"/>
      <w:marRight w:val="0"/>
      <w:marTop w:val="0"/>
      <w:marBottom w:val="0"/>
      <w:divBdr>
        <w:top w:val="none" w:sz="0" w:space="0" w:color="auto"/>
        <w:left w:val="none" w:sz="0" w:space="0" w:color="auto"/>
        <w:bottom w:val="none" w:sz="0" w:space="0" w:color="auto"/>
        <w:right w:val="none" w:sz="0" w:space="0" w:color="auto"/>
      </w:divBdr>
    </w:div>
    <w:div w:id="992298253">
      <w:bodyDiv w:val="1"/>
      <w:marLeft w:val="0"/>
      <w:marRight w:val="0"/>
      <w:marTop w:val="0"/>
      <w:marBottom w:val="0"/>
      <w:divBdr>
        <w:top w:val="none" w:sz="0" w:space="0" w:color="auto"/>
        <w:left w:val="none" w:sz="0" w:space="0" w:color="auto"/>
        <w:bottom w:val="none" w:sz="0" w:space="0" w:color="auto"/>
        <w:right w:val="none" w:sz="0" w:space="0" w:color="auto"/>
      </w:divBdr>
    </w:div>
    <w:div w:id="1034189758">
      <w:bodyDiv w:val="1"/>
      <w:marLeft w:val="0"/>
      <w:marRight w:val="0"/>
      <w:marTop w:val="0"/>
      <w:marBottom w:val="0"/>
      <w:divBdr>
        <w:top w:val="none" w:sz="0" w:space="0" w:color="auto"/>
        <w:left w:val="none" w:sz="0" w:space="0" w:color="auto"/>
        <w:bottom w:val="none" w:sz="0" w:space="0" w:color="auto"/>
        <w:right w:val="none" w:sz="0" w:space="0" w:color="auto"/>
      </w:divBdr>
    </w:div>
    <w:div w:id="1084648535">
      <w:bodyDiv w:val="1"/>
      <w:marLeft w:val="0"/>
      <w:marRight w:val="0"/>
      <w:marTop w:val="0"/>
      <w:marBottom w:val="0"/>
      <w:divBdr>
        <w:top w:val="none" w:sz="0" w:space="0" w:color="auto"/>
        <w:left w:val="none" w:sz="0" w:space="0" w:color="auto"/>
        <w:bottom w:val="none" w:sz="0" w:space="0" w:color="auto"/>
        <w:right w:val="none" w:sz="0" w:space="0" w:color="auto"/>
      </w:divBdr>
    </w:div>
    <w:div w:id="1112629616">
      <w:bodyDiv w:val="1"/>
      <w:marLeft w:val="0"/>
      <w:marRight w:val="0"/>
      <w:marTop w:val="0"/>
      <w:marBottom w:val="0"/>
      <w:divBdr>
        <w:top w:val="none" w:sz="0" w:space="0" w:color="auto"/>
        <w:left w:val="none" w:sz="0" w:space="0" w:color="auto"/>
        <w:bottom w:val="none" w:sz="0" w:space="0" w:color="auto"/>
        <w:right w:val="none" w:sz="0" w:space="0" w:color="auto"/>
      </w:divBdr>
    </w:div>
    <w:div w:id="1158427299">
      <w:bodyDiv w:val="1"/>
      <w:marLeft w:val="0"/>
      <w:marRight w:val="0"/>
      <w:marTop w:val="0"/>
      <w:marBottom w:val="0"/>
      <w:divBdr>
        <w:top w:val="none" w:sz="0" w:space="0" w:color="auto"/>
        <w:left w:val="none" w:sz="0" w:space="0" w:color="auto"/>
        <w:bottom w:val="none" w:sz="0" w:space="0" w:color="auto"/>
        <w:right w:val="none" w:sz="0" w:space="0" w:color="auto"/>
      </w:divBdr>
    </w:div>
    <w:div w:id="1187250932">
      <w:bodyDiv w:val="1"/>
      <w:marLeft w:val="0"/>
      <w:marRight w:val="0"/>
      <w:marTop w:val="0"/>
      <w:marBottom w:val="0"/>
      <w:divBdr>
        <w:top w:val="none" w:sz="0" w:space="0" w:color="auto"/>
        <w:left w:val="none" w:sz="0" w:space="0" w:color="auto"/>
        <w:bottom w:val="none" w:sz="0" w:space="0" w:color="auto"/>
        <w:right w:val="none" w:sz="0" w:space="0" w:color="auto"/>
      </w:divBdr>
    </w:div>
    <w:div w:id="1229223154">
      <w:bodyDiv w:val="1"/>
      <w:marLeft w:val="0"/>
      <w:marRight w:val="0"/>
      <w:marTop w:val="0"/>
      <w:marBottom w:val="0"/>
      <w:divBdr>
        <w:top w:val="none" w:sz="0" w:space="0" w:color="auto"/>
        <w:left w:val="none" w:sz="0" w:space="0" w:color="auto"/>
        <w:bottom w:val="none" w:sz="0" w:space="0" w:color="auto"/>
        <w:right w:val="none" w:sz="0" w:space="0" w:color="auto"/>
      </w:divBdr>
    </w:div>
    <w:div w:id="1229918606">
      <w:marLeft w:val="0"/>
      <w:marRight w:val="0"/>
      <w:marTop w:val="0"/>
      <w:marBottom w:val="0"/>
      <w:divBdr>
        <w:top w:val="none" w:sz="0" w:space="0" w:color="auto"/>
        <w:left w:val="none" w:sz="0" w:space="0" w:color="auto"/>
        <w:bottom w:val="none" w:sz="0" w:space="0" w:color="auto"/>
        <w:right w:val="none" w:sz="0" w:space="0" w:color="auto"/>
      </w:divBdr>
      <w:divsChild>
        <w:div w:id="1229918608">
          <w:marLeft w:val="0"/>
          <w:marRight w:val="0"/>
          <w:marTop w:val="0"/>
          <w:marBottom w:val="0"/>
          <w:divBdr>
            <w:top w:val="none" w:sz="0" w:space="0" w:color="auto"/>
            <w:left w:val="none" w:sz="0" w:space="0" w:color="auto"/>
            <w:bottom w:val="none" w:sz="0" w:space="0" w:color="auto"/>
            <w:right w:val="none" w:sz="0" w:space="0" w:color="auto"/>
          </w:divBdr>
          <w:divsChild>
            <w:div w:id="1229918605">
              <w:marLeft w:val="0"/>
              <w:marRight w:val="0"/>
              <w:marTop w:val="0"/>
              <w:marBottom w:val="0"/>
              <w:divBdr>
                <w:top w:val="none" w:sz="0" w:space="0" w:color="auto"/>
                <w:left w:val="none" w:sz="0" w:space="0" w:color="auto"/>
                <w:bottom w:val="none" w:sz="0" w:space="0" w:color="auto"/>
                <w:right w:val="none" w:sz="0" w:space="0" w:color="auto"/>
              </w:divBdr>
              <w:divsChild>
                <w:div w:id="1229918609">
                  <w:marLeft w:val="0"/>
                  <w:marRight w:val="0"/>
                  <w:marTop w:val="150"/>
                  <w:marBottom w:val="150"/>
                  <w:divBdr>
                    <w:top w:val="none" w:sz="0" w:space="0" w:color="auto"/>
                    <w:left w:val="none" w:sz="0" w:space="0" w:color="auto"/>
                    <w:bottom w:val="none" w:sz="0" w:space="0" w:color="auto"/>
                    <w:right w:val="none" w:sz="0" w:space="0" w:color="auto"/>
                  </w:divBdr>
                </w:div>
              </w:divsChild>
            </w:div>
            <w:div w:id="1229918610">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229918607">
      <w:marLeft w:val="0"/>
      <w:marRight w:val="0"/>
      <w:marTop w:val="0"/>
      <w:marBottom w:val="0"/>
      <w:divBdr>
        <w:top w:val="none" w:sz="0" w:space="0" w:color="auto"/>
        <w:left w:val="none" w:sz="0" w:space="0" w:color="auto"/>
        <w:bottom w:val="none" w:sz="0" w:space="0" w:color="auto"/>
        <w:right w:val="none" w:sz="0" w:space="0" w:color="auto"/>
      </w:divBdr>
    </w:div>
    <w:div w:id="1234774619">
      <w:bodyDiv w:val="1"/>
      <w:marLeft w:val="0"/>
      <w:marRight w:val="0"/>
      <w:marTop w:val="0"/>
      <w:marBottom w:val="0"/>
      <w:divBdr>
        <w:top w:val="none" w:sz="0" w:space="0" w:color="auto"/>
        <w:left w:val="none" w:sz="0" w:space="0" w:color="auto"/>
        <w:bottom w:val="none" w:sz="0" w:space="0" w:color="auto"/>
        <w:right w:val="none" w:sz="0" w:space="0" w:color="auto"/>
      </w:divBdr>
    </w:div>
    <w:div w:id="1258519121">
      <w:bodyDiv w:val="1"/>
      <w:marLeft w:val="0"/>
      <w:marRight w:val="0"/>
      <w:marTop w:val="0"/>
      <w:marBottom w:val="0"/>
      <w:divBdr>
        <w:top w:val="none" w:sz="0" w:space="0" w:color="auto"/>
        <w:left w:val="none" w:sz="0" w:space="0" w:color="auto"/>
        <w:bottom w:val="none" w:sz="0" w:space="0" w:color="auto"/>
        <w:right w:val="none" w:sz="0" w:space="0" w:color="auto"/>
      </w:divBdr>
    </w:div>
    <w:div w:id="1260258066">
      <w:bodyDiv w:val="1"/>
      <w:marLeft w:val="0"/>
      <w:marRight w:val="0"/>
      <w:marTop w:val="0"/>
      <w:marBottom w:val="0"/>
      <w:divBdr>
        <w:top w:val="none" w:sz="0" w:space="0" w:color="auto"/>
        <w:left w:val="none" w:sz="0" w:space="0" w:color="auto"/>
        <w:bottom w:val="none" w:sz="0" w:space="0" w:color="auto"/>
        <w:right w:val="none" w:sz="0" w:space="0" w:color="auto"/>
      </w:divBdr>
    </w:div>
    <w:div w:id="1312440999">
      <w:bodyDiv w:val="1"/>
      <w:marLeft w:val="0"/>
      <w:marRight w:val="0"/>
      <w:marTop w:val="0"/>
      <w:marBottom w:val="0"/>
      <w:divBdr>
        <w:top w:val="none" w:sz="0" w:space="0" w:color="auto"/>
        <w:left w:val="none" w:sz="0" w:space="0" w:color="auto"/>
        <w:bottom w:val="none" w:sz="0" w:space="0" w:color="auto"/>
        <w:right w:val="none" w:sz="0" w:space="0" w:color="auto"/>
      </w:divBdr>
    </w:div>
    <w:div w:id="1321881855">
      <w:bodyDiv w:val="1"/>
      <w:marLeft w:val="0"/>
      <w:marRight w:val="0"/>
      <w:marTop w:val="0"/>
      <w:marBottom w:val="0"/>
      <w:divBdr>
        <w:top w:val="none" w:sz="0" w:space="0" w:color="auto"/>
        <w:left w:val="none" w:sz="0" w:space="0" w:color="auto"/>
        <w:bottom w:val="none" w:sz="0" w:space="0" w:color="auto"/>
        <w:right w:val="none" w:sz="0" w:space="0" w:color="auto"/>
      </w:divBdr>
    </w:div>
    <w:div w:id="1337221782">
      <w:bodyDiv w:val="1"/>
      <w:marLeft w:val="0"/>
      <w:marRight w:val="0"/>
      <w:marTop w:val="0"/>
      <w:marBottom w:val="0"/>
      <w:divBdr>
        <w:top w:val="none" w:sz="0" w:space="0" w:color="auto"/>
        <w:left w:val="none" w:sz="0" w:space="0" w:color="auto"/>
        <w:bottom w:val="none" w:sz="0" w:space="0" w:color="auto"/>
        <w:right w:val="none" w:sz="0" w:space="0" w:color="auto"/>
      </w:divBdr>
    </w:div>
    <w:div w:id="1359966808">
      <w:bodyDiv w:val="1"/>
      <w:marLeft w:val="0"/>
      <w:marRight w:val="0"/>
      <w:marTop w:val="0"/>
      <w:marBottom w:val="0"/>
      <w:divBdr>
        <w:top w:val="none" w:sz="0" w:space="0" w:color="auto"/>
        <w:left w:val="none" w:sz="0" w:space="0" w:color="auto"/>
        <w:bottom w:val="none" w:sz="0" w:space="0" w:color="auto"/>
        <w:right w:val="none" w:sz="0" w:space="0" w:color="auto"/>
      </w:divBdr>
    </w:div>
    <w:div w:id="1397632699">
      <w:bodyDiv w:val="1"/>
      <w:marLeft w:val="0"/>
      <w:marRight w:val="0"/>
      <w:marTop w:val="0"/>
      <w:marBottom w:val="0"/>
      <w:divBdr>
        <w:top w:val="none" w:sz="0" w:space="0" w:color="auto"/>
        <w:left w:val="none" w:sz="0" w:space="0" w:color="auto"/>
        <w:bottom w:val="none" w:sz="0" w:space="0" w:color="auto"/>
        <w:right w:val="none" w:sz="0" w:space="0" w:color="auto"/>
      </w:divBdr>
    </w:div>
    <w:div w:id="1434126908">
      <w:bodyDiv w:val="1"/>
      <w:marLeft w:val="0"/>
      <w:marRight w:val="0"/>
      <w:marTop w:val="0"/>
      <w:marBottom w:val="0"/>
      <w:divBdr>
        <w:top w:val="none" w:sz="0" w:space="0" w:color="auto"/>
        <w:left w:val="none" w:sz="0" w:space="0" w:color="auto"/>
        <w:bottom w:val="none" w:sz="0" w:space="0" w:color="auto"/>
        <w:right w:val="none" w:sz="0" w:space="0" w:color="auto"/>
      </w:divBdr>
    </w:div>
    <w:div w:id="1440953454">
      <w:bodyDiv w:val="1"/>
      <w:marLeft w:val="0"/>
      <w:marRight w:val="0"/>
      <w:marTop w:val="0"/>
      <w:marBottom w:val="0"/>
      <w:divBdr>
        <w:top w:val="none" w:sz="0" w:space="0" w:color="auto"/>
        <w:left w:val="none" w:sz="0" w:space="0" w:color="auto"/>
        <w:bottom w:val="none" w:sz="0" w:space="0" w:color="auto"/>
        <w:right w:val="none" w:sz="0" w:space="0" w:color="auto"/>
      </w:divBdr>
    </w:div>
    <w:div w:id="1455320116">
      <w:bodyDiv w:val="1"/>
      <w:marLeft w:val="0"/>
      <w:marRight w:val="0"/>
      <w:marTop w:val="0"/>
      <w:marBottom w:val="0"/>
      <w:divBdr>
        <w:top w:val="none" w:sz="0" w:space="0" w:color="auto"/>
        <w:left w:val="none" w:sz="0" w:space="0" w:color="auto"/>
        <w:bottom w:val="none" w:sz="0" w:space="0" w:color="auto"/>
        <w:right w:val="none" w:sz="0" w:space="0" w:color="auto"/>
      </w:divBdr>
    </w:div>
    <w:div w:id="1536187093">
      <w:bodyDiv w:val="1"/>
      <w:marLeft w:val="0"/>
      <w:marRight w:val="0"/>
      <w:marTop w:val="0"/>
      <w:marBottom w:val="0"/>
      <w:divBdr>
        <w:top w:val="none" w:sz="0" w:space="0" w:color="auto"/>
        <w:left w:val="none" w:sz="0" w:space="0" w:color="auto"/>
        <w:bottom w:val="none" w:sz="0" w:space="0" w:color="auto"/>
        <w:right w:val="none" w:sz="0" w:space="0" w:color="auto"/>
      </w:divBdr>
    </w:div>
    <w:div w:id="1540974345">
      <w:bodyDiv w:val="1"/>
      <w:marLeft w:val="0"/>
      <w:marRight w:val="0"/>
      <w:marTop w:val="0"/>
      <w:marBottom w:val="0"/>
      <w:divBdr>
        <w:top w:val="none" w:sz="0" w:space="0" w:color="auto"/>
        <w:left w:val="none" w:sz="0" w:space="0" w:color="auto"/>
        <w:bottom w:val="none" w:sz="0" w:space="0" w:color="auto"/>
        <w:right w:val="none" w:sz="0" w:space="0" w:color="auto"/>
      </w:divBdr>
    </w:div>
    <w:div w:id="1565676173">
      <w:bodyDiv w:val="1"/>
      <w:marLeft w:val="0"/>
      <w:marRight w:val="0"/>
      <w:marTop w:val="0"/>
      <w:marBottom w:val="0"/>
      <w:divBdr>
        <w:top w:val="none" w:sz="0" w:space="0" w:color="auto"/>
        <w:left w:val="none" w:sz="0" w:space="0" w:color="auto"/>
        <w:bottom w:val="none" w:sz="0" w:space="0" w:color="auto"/>
        <w:right w:val="none" w:sz="0" w:space="0" w:color="auto"/>
      </w:divBdr>
    </w:div>
    <w:div w:id="1582904605">
      <w:bodyDiv w:val="1"/>
      <w:marLeft w:val="0"/>
      <w:marRight w:val="0"/>
      <w:marTop w:val="0"/>
      <w:marBottom w:val="0"/>
      <w:divBdr>
        <w:top w:val="none" w:sz="0" w:space="0" w:color="auto"/>
        <w:left w:val="none" w:sz="0" w:space="0" w:color="auto"/>
        <w:bottom w:val="none" w:sz="0" w:space="0" w:color="auto"/>
        <w:right w:val="none" w:sz="0" w:space="0" w:color="auto"/>
      </w:divBdr>
    </w:div>
    <w:div w:id="1614361213">
      <w:bodyDiv w:val="1"/>
      <w:marLeft w:val="0"/>
      <w:marRight w:val="0"/>
      <w:marTop w:val="0"/>
      <w:marBottom w:val="0"/>
      <w:divBdr>
        <w:top w:val="none" w:sz="0" w:space="0" w:color="auto"/>
        <w:left w:val="none" w:sz="0" w:space="0" w:color="auto"/>
        <w:bottom w:val="none" w:sz="0" w:space="0" w:color="auto"/>
        <w:right w:val="none" w:sz="0" w:space="0" w:color="auto"/>
      </w:divBdr>
    </w:div>
    <w:div w:id="1662809535">
      <w:bodyDiv w:val="1"/>
      <w:marLeft w:val="0"/>
      <w:marRight w:val="0"/>
      <w:marTop w:val="0"/>
      <w:marBottom w:val="0"/>
      <w:divBdr>
        <w:top w:val="none" w:sz="0" w:space="0" w:color="auto"/>
        <w:left w:val="none" w:sz="0" w:space="0" w:color="auto"/>
        <w:bottom w:val="none" w:sz="0" w:space="0" w:color="auto"/>
        <w:right w:val="none" w:sz="0" w:space="0" w:color="auto"/>
      </w:divBdr>
    </w:div>
    <w:div w:id="1691642185">
      <w:bodyDiv w:val="1"/>
      <w:marLeft w:val="0"/>
      <w:marRight w:val="0"/>
      <w:marTop w:val="0"/>
      <w:marBottom w:val="0"/>
      <w:divBdr>
        <w:top w:val="none" w:sz="0" w:space="0" w:color="auto"/>
        <w:left w:val="none" w:sz="0" w:space="0" w:color="auto"/>
        <w:bottom w:val="none" w:sz="0" w:space="0" w:color="auto"/>
        <w:right w:val="none" w:sz="0" w:space="0" w:color="auto"/>
      </w:divBdr>
    </w:div>
    <w:div w:id="1775712451">
      <w:bodyDiv w:val="1"/>
      <w:marLeft w:val="0"/>
      <w:marRight w:val="0"/>
      <w:marTop w:val="0"/>
      <w:marBottom w:val="0"/>
      <w:divBdr>
        <w:top w:val="none" w:sz="0" w:space="0" w:color="auto"/>
        <w:left w:val="none" w:sz="0" w:space="0" w:color="auto"/>
        <w:bottom w:val="none" w:sz="0" w:space="0" w:color="auto"/>
        <w:right w:val="none" w:sz="0" w:space="0" w:color="auto"/>
      </w:divBdr>
    </w:div>
    <w:div w:id="1803573996">
      <w:bodyDiv w:val="1"/>
      <w:marLeft w:val="0"/>
      <w:marRight w:val="0"/>
      <w:marTop w:val="0"/>
      <w:marBottom w:val="0"/>
      <w:divBdr>
        <w:top w:val="none" w:sz="0" w:space="0" w:color="auto"/>
        <w:left w:val="none" w:sz="0" w:space="0" w:color="auto"/>
        <w:bottom w:val="none" w:sz="0" w:space="0" w:color="auto"/>
        <w:right w:val="none" w:sz="0" w:space="0" w:color="auto"/>
      </w:divBdr>
    </w:div>
    <w:div w:id="1818840906">
      <w:bodyDiv w:val="1"/>
      <w:marLeft w:val="0"/>
      <w:marRight w:val="0"/>
      <w:marTop w:val="0"/>
      <w:marBottom w:val="0"/>
      <w:divBdr>
        <w:top w:val="none" w:sz="0" w:space="0" w:color="auto"/>
        <w:left w:val="none" w:sz="0" w:space="0" w:color="auto"/>
        <w:bottom w:val="none" w:sz="0" w:space="0" w:color="auto"/>
        <w:right w:val="none" w:sz="0" w:space="0" w:color="auto"/>
      </w:divBdr>
    </w:div>
    <w:div w:id="1824854691">
      <w:bodyDiv w:val="1"/>
      <w:marLeft w:val="0"/>
      <w:marRight w:val="0"/>
      <w:marTop w:val="0"/>
      <w:marBottom w:val="0"/>
      <w:divBdr>
        <w:top w:val="none" w:sz="0" w:space="0" w:color="auto"/>
        <w:left w:val="none" w:sz="0" w:space="0" w:color="auto"/>
        <w:bottom w:val="none" w:sz="0" w:space="0" w:color="auto"/>
        <w:right w:val="none" w:sz="0" w:space="0" w:color="auto"/>
      </w:divBdr>
    </w:div>
    <w:div w:id="1849905222">
      <w:bodyDiv w:val="1"/>
      <w:marLeft w:val="0"/>
      <w:marRight w:val="0"/>
      <w:marTop w:val="0"/>
      <w:marBottom w:val="0"/>
      <w:divBdr>
        <w:top w:val="none" w:sz="0" w:space="0" w:color="auto"/>
        <w:left w:val="none" w:sz="0" w:space="0" w:color="auto"/>
        <w:bottom w:val="none" w:sz="0" w:space="0" w:color="auto"/>
        <w:right w:val="none" w:sz="0" w:space="0" w:color="auto"/>
      </w:divBdr>
    </w:div>
    <w:div w:id="1914973681">
      <w:bodyDiv w:val="1"/>
      <w:marLeft w:val="0"/>
      <w:marRight w:val="0"/>
      <w:marTop w:val="0"/>
      <w:marBottom w:val="0"/>
      <w:divBdr>
        <w:top w:val="none" w:sz="0" w:space="0" w:color="auto"/>
        <w:left w:val="none" w:sz="0" w:space="0" w:color="auto"/>
        <w:bottom w:val="none" w:sz="0" w:space="0" w:color="auto"/>
        <w:right w:val="none" w:sz="0" w:space="0" w:color="auto"/>
      </w:divBdr>
    </w:div>
    <w:div w:id="2033454400">
      <w:bodyDiv w:val="1"/>
      <w:marLeft w:val="0"/>
      <w:marRight w:val="0"/>
      <w:marTop w:val="0"/>
      <w:marBottom w:val="0"/>
      <w:divBdr>
        <w:top w:val="none" w:sz="0" w:space="0" w:color="auto"/>
        <w:left w:val="none" w:sz="0" w:space="0" w:color="auto"/>
        <w:bottom w:val="none" w:sz="0" w:space="0" w:color="auto"/>
        <w:right w:val="none" w:sz="0" w:space="0" w:color="auto"/>
      </w:divBdr>
    </w:div>
    <w:div w:id="2062244553">
      <w:bodyDiv w:val="1"/>
      <w:marLeft w:val="0"/>
      <w:marRight w:val="0"/>
      <w:marTop w:val="0"/>
      <w:marBottom w:val="0"/>
      <w:divBdr>
        <w:top w:val="none" w:sz="0" w:space="0" w:color="auto"/>
        <w:left w:val="none" w:sz="0" w:space="0" w:color="auto"/>
        <w:bottom w:val="none" w:sz="0" w:space="0" w:color="auto"/>
        <w:right w:val="none" w:sz="0" w:space="0" w:color="auto"/>
      </w:divBdr>
    </w:div>
    <w:div w:id="2097092850">
      <w:bodyDiv w:val="1"/>
      <w:marLeft w:val="0"/>
      <w:marRight w:val="0"/>
      <w:marTop w:val="0"/>
      <w:marBottom w:val="0"/>
      <w:divBdr>
        <w:top w:val="none" w:sz="0" w:space="0" w:color="auto"/>
        <w:left w:val="none" w:sz="0" w:space="0" w:color="auto"/>
        <w:bottom w:val="none" w:sz="0" w:space="0" w:color="auto"/>
        <w:right w:val="none" w:sz="0" w:space="0" w:color="auto"/>
      </w:divBdr>
    </w:div>
    <w:div w:id="2110074981">
      <w:bodyDiv w:val="1"/>
      <w:marLeft w:val="0"/>
      <w:marRight w:val="0"/>
      <w:marTop w:val="0"/>
      <w:marBottom w:val="0"/>
      <w:divBdr>
        <w:top w:val="none" w:sz="0" w:space="0" w:color="auto"/>
        <w:left w:val="none" w:sz="0" w:space="0" w:color="auto"/>
        <w:bottom w:val="none" w:sz="0" w:space="0" w:color="auto"/>
        <w:right w:val="none" w:sz="0" w:space="0" w:color="auto"/>
      </w:divBdr>
    </w:div>
    <w:div w:id="21130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4</DocSecurity>
  <Lines>5</Lines>
  <Paragraphs>1</Paragraphs>
  <ScaleCrop>false</ScaleCrop>
  <Company>ICBCOA</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工银瑞信基金管理有限公司关于旗下基金申购天音控股股份有限公司非公开发行股票的公告 </dc:title>
  <dc:creator>GYJJ</dc:creator>
  <cp:lastModifiedBy>ZHONGM</cp:lastModifiedBy>
  <cp:revision>2</cp:revision>
  <cp:lastPrinted>2020-09-16T00:39:00Z</cp:lastPrinted>
  <dcterms:created xsi:type="dcterms:W3CDTF">2020-12-02T16:01:00Z</dcterms:created>
  <dcterms:modified xsi:type="dcterms:W3CDTF">2020-12-02T16:01:00Z</dcterms:modified>
</cp:coreProperties>
</file>