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E2" w:rsidRDefault="00C13DE2">
      <w:pPr>
        <w:jc w:val="center"/>
        <w:rPr>
          <w:rFonts w:ascii="宋体" w:hAnsi="宋体"/>
          <w:b/>
          <w:bCs/>
          <w:kern w:val="0"/>
          <w:sz w:val="28"/>
          <w:szCs w:val="28"/>
        </w:rPr>
      </w:pPr>
      <w:r>
        <w:rPr>
          <w:rFonts w:ascii="宋体" w:hAnsi="宋体" w:hint="eastAsia"/>
          <w:b/>
          <w:bCs/>
          <w:kern w:val="0"/>
          <w:sz w:val="28"/>
          <w:szCs w:val="28"/>
        </w:rPr>
        <w:t>关于</w:t>
      </w:r>
      <w:r>
        <w:rPr>
          <w:rFonts w:ascii="宋体" w:hAnsi="宋体" w:cs="宋体" w:hint="eastAsia"/>
          <w:b/>
          <w:sz w:val="28"/>
          <w:szCs w:val="28"/>
        </w:rPr>
        <w:t>银华沪深300指数分级证券投资基金</w:t>
      </w:r>
    </w:p>
    <w:p w:rsidR="00C13DE2" w:rsidRDefault="00C13DE2">
      <w:pPr>
        <w:jc w:val="center"/>
        <w:rPr>
          <w:rFonts w:ascii="宋体" w:hAnsi="宋体"/>
          <w:b/>
          <w:bCs/>
          <w:kern w:val="0"/>
          <w:sz w:val="28"/>
          <w:szCs w:val="28"/>
        </w:rPr>
      </w:pPr>
      <w:r>
        <w:rPr>
          <w:rFonts w:ascii="宋体" w:hAnsi="宋体" w:hint="eastAsia"/>
          <w:b/>
          <w:bCs/>
          <w:kern w:val="0"/>
          <w:sz w:val="28"/>
          <w:szCs w:val="28"/>
        </w:rPr>
        <w:t>基金</w:t>
      </w:r>
      <w:r>
        <w:rPr>
          <w:rFonts w:ascii="宋体" w:hAnsi="宋体"/>
          <w:b/>
          <w:bCs/>
          <w:kern w:val="0"/>
          <w:sz w:val="28"/>
          <w:szCs w:val="28"/>
        </w:rPr>
        <w:t>份额</w:t>
      </w:r>
      <w:r>
        <w:rPr>
          <w:rFonts w:ascii="宋体" w:hAnsi="宋体" w:hint="eastAsia"/>
          <w:b/>
          <w:bCs/>
          <w:kern w:val="0"/>
          <w:sz w:val="28"/>
          <w:szCs w:val="28"/>
        </w:rPr>
        <w:t>转换结果</w:t>
      </w:r>
      <w:r>
        <w:rPr>
          <w:rFonts w:ascii="宋体" w:hAnsi="宋体"/>
          <w:b/>
          <w:bCs/>
          <w:kern w:val="0"/>
          <w:sz w:val="28"/>
          <w:szCs w:val="28"/>
        </w:rPr>
        <w:t>的公告</w:t>
      </w:r>
    </w:p>
    <w:p w:rsidR="00C13DE2" w:rsidRDefault="00C13DE2"/>
    <w:p w:rsidR="00C13DE2" w:rsidRDefault="00C13DE2">
      <w:pPr>
        <w:spacing w:line="360" w:lineRule="auto"/>
        <w:ind w:firstLineChars="200" w:firstLine="480"/>
        <w:rPr>
          <w:rFonts w:ascii="宋体" w:hAnsi="宋体"/>
          <w:sz w:val="24"/>
          <w:szCs w:val="24"/>
        </w:rPr>
      </w:pPr>
      <w:r>
        <w:rPr>
          <w:rFonts w:ascii="宋体" w:hAnsi="宋体" w:hint="eastAsia"/>
          <w:sz w:val="24"/>
          <w:szCs w:val="24"/>
        </w:rPr>
        <w:t>根据《中华人民共和国证券投资基金法》、《公开募集证券投资基金运作管理办法》、《深圳证券交易所证券投资基金上市规则》的有关规定，以及《</w:t>
      </w:r>
      <w:r>
        <w:rPr>
          <w:rFonts w:ascii="宋体" w:hAnsi="宋体" w:cs="宋体" w:hint="eastAsia"/>
          <w:sz w:val="24"/>
          <w:szCs w:val="24"/>
        </w:rPr>
        <w:t>银华沪深300指数分级证券投资基金</w:t>
      </w:r>
      <w:r>
        <w:rPr>
          <w:rFonts w:ascii="宋体" w:hAnsi="宋体" w:hint="eastAsia"/>
          <w:sz w:val="24"/>
          <w:szCs w:val="24"/>
        </w:rPr>
        <w:t>基金合同》的约定，</w:t>
      </w:r>
      <w:r>
        <w:rPr>
          <w:rFonts w:ascii="宋体" w:hAnsi="宋体" w:cs="宋体" w:hint="eastAsia"/>
          <w:sz w:val="24"/>
          <w:szCs w:val="24"/>
        </w:rPr>
        <w:t>银华沪深300指数分级证券投资基金</w:t>
      </w:r>
      <w:r>
        <w:rPr>
          <w:rFonts w:ascii="宋体" w:hAnsi="宋体" w:hint="eastAsia"/>
          <w:sz w:val="24"/>
          <w:szCs w:val="24"/>
        </w:rPr>
        <w:t>（以下简称“本基金”）</w:t>
      </w:r>
      <w:r>
        <w:rPr>
          <w:rFonts w:ascii="宋体" w:hAnsi="宋体"/>
          <w:sz w:val="24"/>
          <w:szCs w:val="24"/>
        </w:rPr>
        <w:t>基金份额持有人大会</w:t>
      </w:r>
      <w:r>
        <w:rPr>
          <w:rFonts w:ascii="宋体" w:hAnsi="宋体" w:hint="eastAsia"/>
          <w:sz w:val="24"/>
          <w:szCs w:val="24"/>
        </w:rPr>
        <w:t>已</w:t>
      </w:r>
      <w:r>
        <w:rPr>
          <w:rFonts w:ascii="宋体" w:hAnsi="宋体"/>
          <w:sz w:val="24"/>
          <w:szCs w:val="24"/>
        </w:rPr>
        <w:t>于</w:t>
      </w:r>
      <w:r>
        <w:rPr>
          <w:rFonts w:ascii="宋体" w:hAnsi="宋体" w:cs="宋体" w:hint="eastAsia"/>
          <w:sz w:val="24"/>
          <w:szCs w:val="24"/>
        </w:rPr>
        <w:t>2020年10月21日至2020年10月27日</w:t>
      </w:r>
      <w:r>
        <w:rPr>
          <w:rFonts w:ascii="宋体" w:hAnsi="宋体"/>
          <w:sz w:val="24"/>
          <w:szCs w:val="24"/>
        </w:rPr>
        <w:t>以通讯方式召开，会议审议通过了</w:t>
      </w:r>
      <w:r>
        <w:rPr>
          <w:rFonts w:ascii="宋体" w:hAnsi="宋体" w:hint="eastAsia"/>
          <w:sz w:val="24"/>
          <w:szCs w:val="24"/>
        </w:rPr>
        <w:t>《</w:t>
      </w:r>
      <w:r>
        <w:rPr>
          <w:rFonts w:ascii="宋体" w:hAnsi="宋体" w:cs="宋体" w:hint="eastAsia"/>
          <w:sz w:val="24"/>
          <w:szCs w:val="24"/>
        </w:rPr>
        <w:t>关于银华沪深300指数分级证券投资基金转型有关事项的议案</w:t>
      </w:r>
      <w:r>
        <w:rPr>
          <w:rFonts w:ascii="宋体" w:hAnsi="宋体" w:hint="eastAsia"/>
          <w:sz w:val="24"/>
          <w:szCs w:val="24"/>
        </w:rPr>
        <w:t>》。基金</w:t>
      </w:r>
      <w:r>
        <w:rPr>
          <w:rFonts w:ascii="宋体" w:hAnsi="宋体"/>
          <w:sz w:val="24"/>
          <w:szCs w:val="24"/>
        </w:rPr>
        <w:t>份额</w:t>
      </w:r>
      <w:r>
        <w:rPr>
          <w:rFonts w:ascii="宋体" w:hAnsi="宋体" w:hint="eastAsia"/>
          <w:sz w:val="24"/>
          <w:szCs w:val="24"/>
        </w:rPr>
        <w:t>持有人大会决议已于2020年10月28日表决通过之日起生效。银华基金管理股份有限公司（以下简称“本</w:t>
      </w:r>
      <w:r>
        <w:rPr>
          <w:rFonts w:ascii="宋体" w:hAnsi="宋体"/>
          <w:sz w:val="24"/>
          <w:szCs w:val="24"/>
        </w:rPr>
        <w:t>基金管理人</w:t>
      </w:r>
      <w:r>
        <w:rPr>
          <w:rFonts w:ascii="宋体" w:hAnsi="宋体" w:hint="eastAsia"/>
          <w:sz w:val="24"/>
          <w:szCs w:val="24"/>
        </w:rPr>
        <w:t>”）</w:t>
      </w:r>
      <w:r>
        <w:rPr>
          <w:rFonts w:ascii="宋体" w:hAnsi="宋体"/>
          <w:sz w:val="24"/>
          <w:szCs w:val="24"/>
        </w:rPr>
        <w:t>于</w:t>
      </w:r>
      <w:r>
        <w:rPr>
          <w:rFonts w:ascii="宋体" w:hAnsi="宋体" w:hint="eastAsia"/>
          <w:sz w:val="24"/>
          <w:szCs w:val="24"/>
        </w:rPr>
        <w:t>2020年10月29日</w:t>
      </w:r>
      <w:r>
        <w:rPr>
          <w:rFonts w:ascii="宋体" w:hAnsi="宋体"/>
          <w:sz w:val="24"/>
          <w:szCs w:val="24"/>
        </w:rPr>
        <w:t>发布了《</w:t>
      </w:r>
      <w:r>
        <w:rPr>
          <w:rFonts w:ascii="宋体" w:hAnsi="宋体" w:hint="eastAsia"/>
          <w:sz w:val="24"/>
          <w:szCs w:val="24"/>
        </w:rPr>
        <w:t>关于</w:t>
      </w:r>
      <w:r>
        <w:rPr>
          <w:rFonts w:ascii="宋体" w:hAnsi="宋体" w:cs="宋体" w:hint="eastAsia"/>
          <w:sz w:val="24"/>
          <w:szCs w:val="24"/>
        </w:rPr>
        <w:t>银华沪深300指数分级证券投资基金</w:t>
      </w:r>
      <w:r>
        <w:rPr>
          <w:rFonts w:ascii="宋体" w:hAnsi="宋体" w:hint="eastAsia"/>
          <w:sz w:val="24"/>
          <w:szCs w:val="24"/>
        </w:rPr>
        <w:t>基金份额持有人大会表决结果暨决议生效公告</w:t>
      </w:r>
      <w:r>
        <w:rPr>
          <w:rFonts w:ascii="宋体" w:hAnsi="宋体"/>
          <w:sz w:val="24"/>
          <w:szCs w:val="24"/>
        </w:rPr>
        <w:t>》。</w:t>
      </w:r>
    </w:p>
    <w:p w:rsidR="00C13DE2" w:rsidRDefault="00C13DE2">
      <w:pPr>
        <w:spacing w:line="360" w:lineRule="auto"/>
        <w:ind w:firstLineChars="200" w:firstLine="480"/>
        <w:rPr>
          <w:rFonts w:ascii="宋体" w:hAnsi="宋体"/>
          <w:sz w:val="24"/>
          <w:szCs w:val="24"/>
        </w:rPr>
      </w:pPr>
      <w:r>
        <w:rPr>
          <w:rFonts w:ascii="宋体" w:hAnsi="宋体" w:hint="eastAsia"/>
          <w:sz w:val="24"/>
          <w:szCs w:val="24"/>
        </w:rPr>
        <w:t>根据《关于</w:t>
      </w:r>
      <w:r>
        <w:rPr>
          <w:rFonts w:ascii="宋体" w:hAnsi="宋体" w:cs="宋体" w:hint="eastAsia"/>
          <w:sz w:val="24"/>
          <w:szCs w:val="24"/>
        </w:rPr>
        <w:t>银华沪深300指数分级证券投资基金</w:t>
      </w:r>
      <w:r>
        <w:rPr>
          <w:rFonts w:ascii="宋体" w:hAnsi="宋体" w:hint="eastAsia"/>
          <w:sz w:val="24"/>
          <w:szCs w:val="24"/>
        </w:rPr>
        <w:t>基金份额持有人大会表决结果暨决议生效公告》及《关于</w:t>
      </w:r>
      <w:r>
        <w:rPr>
          <w:rFonts w:ascii="宋体" w:hAnsi="宋体" w:cs="宋体" w:hint="eastAsia"/>
          <w:sz w:val="24"/>
          <w:szCs w:val="24"/>
        </w:rPr>
        <w:t>银华沪深300指数分级证券投资基金</w:t>
      </w:r>
      <w:r>
        <w:rPr>
          <w:rFonts w:ascii="宋体" w:hAnsi="宋体" w:hint="eastAsia"/>
          <w:sz w:val="24"/>
          <w:szCs w:val="24"/>
        </w:rPr>
        <w:t>实施转型的提示性公告》（以下</w:t>
      </w:r>
      <w:r>
        <w:rPr>
          <w:rFonts w:ascii="宋体" w:hAnsi="宋体"/>
          <w:sz w:val="24"/>
          <w:szCs w:val="24"/>
        </w:rPr>
        <w:t>简称“</w:t>
      </w:r>
      <w:r>
        <w:rPr>
          <w:rFonts w:ascii="宋体" w:hAnsi="宋体" w:hint="eastAsia"/>
          <w:sz w:val="24"/>
          <w:szCs w:val="24"/>
        </w:rPr>
        <w:t>《转型提示性</w:t>
      </w:r>
      <w:r>
        <w:rPr>
          <w:rFonts w:ascii="宋体" w:hAnsi="宋体"/>
          <w:sz w:val="24"/>
          <w:szCs w:val="24"/>
        </w:rPr>
        <w:t>公告</w:t>
      </w:r>
      <w:r>
        <w:rPr>
          <w:rFonts w:ascii="宋体" w:hAnsi="宋体" w:hint="eastAsia"/>
          <w:sz w:val="24"/>
          <w:szCs w:val="24"/>
        </w:rPr>
        <w:t>》</w:t>
      </w:r>
      <w:r>
        <w:rPr>
          <w:rFonts w:ascii="宋体" w:hAnsi="宋体"/>
          <w:sz w:val="24"/>
          <w:szCs w:val="24"/>
        </w:rPr>
        <w:t>”</w:t>
      </w:r>
      <w:r>
        <w:rPr>
          <w:rFonts w:ascii="宋体" w:hAnsi="宋体" w:hint="eastAsia"/>
          <w:sz w:val="24"/>
          <w:szCs w:val="24"/>
        </w:rPr>
        <w:t>），本基金的</w:t>
      </w:r>
      <w:r>
        <w:rPr>
          <w:rFonts w:ascii="宋体" w:hAnsi="宋体"/>
          <w:sz w:val="24"/>
          <w:szCs w:val="24"/>
        </w:rPr>
        <w:t>转型选择期</w:t>
      </w:r>
      <w:r>
        <w:rPr>
          <w:rFonts w:ascii="宋体" w:hAnsi="宋体" w:hint="eastAsia"/>
          <w:sz w:val="24"/>
          <w:szCs w:val="24"/>
        </w:rPr>
        <w:t>为</w:t>
      </w:r>
      <w:r>
        <w:rPr>
          <w:rFonts w:ascii="宋体" w:hAnsi="宋体" w:cs="宋体" w:hint="eastAsia"/>
          <w:sz w:val="24"/>
          <w:szCs w:val="24"/>
        </w:rPr>
        <w:t>2020年10月30日至2020年11月26日</w:t>
      </w:r>
      <w:r>
        <w:rPr>
          <w:rFonts w:ascii="宋体" w:hAnsi="宋体"/>
          <w:sz w:val="24"/>
          <w:szCs w:val="24"/>
        </w:rPr>
        <w:t>。</w:t>
      </w:r>
      <w:r>
        <w:rPr>
          <w:rFonts w:ascii="宋体" w:hAnsi="宋体" w:hint="eastAsia"/>
          <w:sz w:val="24"/>
          <w:szCs w:val="24"/>
        </w:rPr>
        <w:t>本基金</w:t>
      </w:r>
      <w:r>
        <w:rPr>
          <w:rFonts w:ascii="宋体" w:hAnsi="宋体"/>
          <w:sz w:val="24"/>
          <w:szCs w:val="24"/>
        </w:rPr>
        <w:t>的转型选择期结束后，</w:t>
      </w:r>
      <w:r>
        <w:rPr>
          <w:rFonts w:ascii="宋体" w:hAnsi="宋体" w:hint="eastAsia"/>
          <w:sz w:val="24"/>
          <w:szCs w:val="24"/>
        </w:rPr>
        <w:t>本</w:t>
      </w:r>
      <w:r>
        <w:rPr>
          <w:rFonts w:ascii="宋体" w:hAnsi="宋体"/>
          <w:sz w:val="24"/>
          <w:szCs w:val="24"/>
        </w:rPr>
        <w:t>基金管理人根据《</w:t>
      </w:r>
      <w:r>
        <w:rPr>
          <w:rFonts w:ascii="宋体" w:hAnsi="宋体" w:hint="eastAsia"/>
          <w:sz w:val="24"/>
          <w:szCs w:val="24"/>
        </w:rPr>
        <w:t>转型提示性</w:t>
      </w:r>
      <w:r>
        <w:rPr>
          <w:rFonts w:ascii="宋体" w:hAnsi="宋体"/>
          <w:sz w:val="24"/>
          <w:szCs w:val="24"/>
        </w:rPr>
        <w:t>公告》</w:t>
      </w:r>
      <w:r>
        <w:rPr>
          <w:rFonts w:ascii="宋体" w:hAnsi="宋体" w:hint="eastAsia"/>
          <w:sz w:val="24"/>
          <w:szCs w:val="24"/>
        </w:rPr>
        <w:t>实施基金</w:t>
      </w:r>
      <w:r>
        <w:rPr>
          <w:rFonts w:ascii="宋体" w:hAnsi="宋体"/>
          <w:sz w:val="24"/>
          <w:szCs w:val="24"/>
        </w:rPr>
        <w:t>转型</w:t>
      </w:r>
      <w:r>
        <w:rPr>
          <w:rFonts w:ascii="宋体" w:hAnsi="宋体" w:hint="eastAsia"/>
          <w:sz w:val="24"/>
          <w:szCs w:val="24"/>
        </w:rPr>
        <w:t>，</w:t>
      </w:r>
      <w:r>
        <w:rPr>
          <w:rFonts w:ascii="宋体" w:hAnsi="宋体"/>
          <w:sz w:val="24"/>
          <w:szCs w:val="24"/>
        </w:rPr>
        <w:t>本基金的</w:t>
      </w:r>
      <w:r>
        <w:rPr>
          <w:rFonts w:ascii="宋体" w:hAnsi="宋体" w:hint="eastAsia"/>
          <w:sz w:val="24"/>
          <w:szCs w:val="24"/>
        </w:rPr>
        <w:t>份额</w:t>
      </w:r>
      <w:r>
        <w:rPr>
          <w:rFonts w:ascii="宋体" w:hAnsi="宋体"/>
          <w:sz w:val="24"/>
          <w:szCs w:val="24"/>
        </w:rPr>
        <w:t>转换基准日为</w:t>
      </w:r>
      <w:r>
        <w:rPr>
          <w:rFonts w:ascii="宋体" w:hAnsi="宋体" w:cs="宋体" w:hint="eastAsia"/>
          <w:sz w:val="24"/>
          <w:szCs w:val="24"/>
        </w:rPr>
        <w:t>2020年11月27日</w:t>
      </w:r>
      <w:r>
        <w:rPr>
          <w:rFonts w:ascii="宋体" w:hAnsi="宋体"/>
          <w:sz w:val="24"/>
          <w:szCs w:val="24"/>
        </w:rPr>
        <w:t>。</w:t>
      </w:r>
      <w:r>
        <w:rPr>
          <w:rFonts w:ascii="宋体" w:hAnsi="宋体" w:hint="eastAsia"/>
          <w:sz w:val="24"/>
          <w:szCs w:val="24"/>
        </w:rPr>
        <w:t>本基金</w:t>
      </w:r>
      <w:r>
        <w:rPr>
          <w:rFonts w:ascii="宋体" w:hAnsi="宋体"/>
          <w:sz w:val="24"/>
          <w:szCs w:val="24"/>
        </w:rPr>
        <w:t>管理人</w:t>
      </w:r>
      <w:r>
        <w:rPr>
          <w:rFonts w:ascii="宋体" w:hAnsi="宋体" w:hint="eastAsia"/>
          <w:sz w:val="24"/>
          <w:szCs w:val="24"/>
        </w:rPr>
        <w:t>自本基金</w:t>
      </w:r>
      <w:r>
        <w:rPr>
          <w:rFonts w:ascii="宋体" w:hAnsi="宋体"/>
          <w:sz w:val="24"/>
          <w:szCs w:val="24"/>
        </w:rPr>
        <w:t>的</w:t>
      </w:r>
      <w:r>
        <w:rPr>
          <w:rFonts w:ascii="宋体" w:hAnsi="宋体" w:hint="eastAsia"/>
          <w:sz w:val="24"/>
          <w:szCs w:val="24"/>
        </w:rPr>
        <w:t>份额转换基准日</w:t>
      </w:r>
      <w:r>
        <w:rPr>
          <w:rFonts w:ascii="宋体" w:hAnsi="宋体"/>
          <w:sz w:val="24"/>
          <w:szCs w:val="24"/>
        </w:rPr>
        <w:t>开始办理本基金的基金份额转换，并于</w:t>
      </w:r>
      <w:r>
        <w:rPr>
          <w:rFonts w:ascii="宋体" w:hAnsi="宋体" w:hint="eastAsia"/>
          <w:sz w:val="24"/>
          <w:szCs w:val="24"/>
        </w:rPr>
        <w:t>2020年11月30日</w:t>
      </w:r>
      <w:r>
        <w:rPr>
          <w:rFonts w:ascii="宋体" w:hAnsi="宋体"/>
          <w:sz w:val="24"/>
          <w:szCs w:val="24"/>
        </w:rPr>
        <w:t>完成了本基金的基金份额转换工作</w:t>
      </w:r>
      <w:r>
        <w:rPr>
          <w:rFonts w:ascii="宋体" w:hAnsi="宋体" w:hint="eastAsia"/>
          <w:sz w:val="24"/>
          <w:szCs w:val="24"/>
        </w:rPr>
        <w:t>,银华沪深300指数</w:t>
      </w:r>
      <w:r>
        <w:rPr>
          <w:rFonts w:ascii="宋体" w:hAnsi="宋体"/>
          <w:sz w:val="24"/>
          <w:szCs w:val="24"/>
        </w:rPr>
        <w:t>证券投资基金（</w:t>
      </w:r>
      <w:r>
        <w:rPr>
          <w:rFonts w:ascii="宋体" w:hAnsi="宋体" w:hint="eastAsia"/>
          <w:sz w:val="24"/>
          <w:szCs w:val="24"/>
        </w:rPr>
        <w:t>LOF</w:t>
      </w:r>
      <w:r>
        <w:rPr>
          <w:rFonts w:ascii="宋体" w:hAnsi="宋体"/>
          <w:sz w:val="24"/>
          <w:szCs w:val="24"/>
        </w:rPr>
        <w:t>）</w:t>
      </w:r>
      <w:r>
        <w:rPr>
          <w:rFonts w:ascii="宋体" w:hAnsi="宋体" w:hint="eastAsia"/>
          <w:sz w:val="24"/>
          <w:szCs w:val="24"/>
        </w:rPr>
        <w:t>的</w:t>
      </w:r>
      <w:r>
        <w:rPr>
          <w:rFonts w:ascii="宋体" w:hAnsi="宋体"/>
          <w:sz w:val="24"/>
          <w:szCs w:val="24"/>
        </w:rPr>
        <w:t>基金合同于</w:t>
      </w:r>
      <w:r>
        <w:rPr>
          <w:rFonts w:ascii="宋体" w:hAnsi="宋体" w:hint="eastAsia"/>
          <w:sz w:val="24"/>
          <w:szCs w:val="24"/>
        </w:rPr>
        <w:t>2020年11月30日</w:t>
      </w:r>
      <w:r>
        <w:rPr>
          <w:rFonts w:ascii="宋体" w:hAnsi="宋体"/>
          <w:sz w:val="24"/>
          <w:szCs w:val="24"/>
        </w:rPr>
        <w:t>生效。</w:t>
      </w:r>
      <w:r>
        <w:rPr>
          <w:rFonts w:ascii="宋体" w:hAnsi="宋体" w:hint="eastAsia"/>
          <w:sz w:val="24"/>
          <w:szCs w:val="24"/>
        </w:rPr>
        <w:t>在中国证券登记结算有限责任公司深圳分公司证券登记系统登记在册的</w:t>
      </w:r>
      <w:r>
        <w:rPr>
          <w:rFonts w:ascii="宋体" w:hAnsi="宋体" w:cs="宋体" w:hint="eastAsia"/>
          <w:sz w:val="24"/>
          <w:szCs w:val="24"/>
        </w:rPr>
        <w:t>银华沪深300指数分级证券投资基金</w:t>
      </w:r>
      <w:r>
        <w:rPr>
          <w:rFonts w:ascii="宋体" w:hAnsi="宋体" w:hint="eastAsia"/>
          <w:sz w:val="24"/>
          <w:szCs w:val="24"/>
        </w:rPr>
        <w:t>之基础份额（以下简称“银华300份额”，基金代码：161811）、</w:t>
      </w:r>
      <w:r>
        <w:rPr>
          <w:rFonts w:ascii="宋体" w:hAnsi="宋体" w:cs="宋体" w:hint="eastAsia"/>
          <w:sz w:val="24"/>
          <w:szCs w:val="24"/>
        </w:rPr>
        <w:t>银华沪深300指数分级证券投资基金</w:t>
      </w:r>
      <w:r>
        <w:rPr>
          <w:rFonts w:ascii="宋体" w:hAnsi="宋体" w:hint="eastAsia"/>
          <w:sz w:val="24"/>
          <w:szCs w:val="24"/>
        </w:rPr>
        <w:t>之稳健收益类份额（以下简称“银华300A份额”，基金代码：150167）、</w:t>
      </w:r>
      <w:r>
        <w:rPr>
          <w:rFonts w:ascii="宋体" w:hAnsi="宋体" w:cs="宋体" w:hint="eastAsia"/>
          <w:sz w:val="24"/>
          <w:szCs w:val="24"/>
        </w:rPr>
        <w:t>银华沪深300指数分级证券投资基金</w:t>
      </w:r>
      <w:r>
        <w:rPr>
          <w:rFonts w:ascii="宋体" w:hAnsi="宋体" w:hint="eastAsia"/>
          <w:sz w:val="24"/>
          <w:szCs w:val="24"/>
        </w:rPr>
        <w:t>之积极收益类份额（以下简称“银华300B份额”，基金代码：150168）转换为银华沪深300指数证券投资基金（LOF）场内份额，</w:t>
      </w:r>
      <w:r>
        <w:rPr>
          <w:rFonts w:ascii="宋体" w:hAnsi="宋体"/>
          <w:sz w:val="24"/>
          <w:szCs w:val="24"/>
        </w:rPr>
        <w:t>在</w:t>
      </w:r>
      <w:r>
        <w:rPr>
          <w:rFonts w:ascii="宋体" w:hAnsi="宋体" w:hint="eastAsia"/>
          <w:sz w:val="24"/>
          <w:szCs w:val="24"/>
        </w:rPr>
        <w:t>中国</w:t>
      </w:r>
      <w:r>
        <w:rPr>
          <w:rFonts w:ascii="宋体" w:hAnsi="宋体"/>
          <w:sz w:val="24"/>
          <w:szCs w:val="24"/>
        </w:rPr>
        <w:t>证券登记结算有限责任公司</w:t>
      </w:r>
      <w:r>
        <w:rPr>
          <w:rFonts w:ascii="宋体" w:hAnsi="宋体" w:hint="eastAsia"/>
          <w:sz w:val="24"/>
          <w:szCs w:val="24"/>
        </w:rPr>
        <w:t>开放式基金登记结算系统登记</w:t>
      </w:r>
      <w:r>
        <w:rPr>
          <w:rFonts w:ascii="宋体" w:hAnsi="宋体"/>
          <w:sz w:val="24"/>
          <w:szCs w:val="24"/>
        </w:rPr>
        <w:t>在册的</w:t>
      </w:r>
      <w:r>
        <w:rPr>
          <w:rFonts w:ascii="宋体" w:hAnsi="宋体" w:hint="eastAsia"/>
          <w:sz w:val="24"/>
          <w:szCs w:val="24"/>
        </w:rPr>
        <w:t>银华300份额</w:t>
      </w:r>
      <w:r>
        <w:rPr>
          <w:rFonts w:ascii="宋体" w:hAnsi="宋体"/>
          <w:sz w:val="24"/>
          <w:szCs w:val="24"/>
        </w:rPr>
        <w:t>转换为</w:t>
      </w:r>
      <w:r>
        <w:rPr>
          <w:rFonts w:ascii="宋体" w:hAnsi="宋体" w:hint="eastAsia"/>
          <w:sz w:val="24"/>
          <w:szCs w:val="24"/>
        </w:rPr>
        <w:t>银华沪深300指数证券投资基金（LOF）的</w:t>
      </w:r>
      <w:r>
        <w:rPr>
          <w:rFonts w:ascii="宋体" w:hAnsi="宋体"/>
          <w:sz w:val="24"/>
          <w:szCs w:val="24"/>
        </w:rPr>
        <w:t>场外份额</w:t>
      </w:r>
      <w:r>
        <w:rPr>
          <w:rFonts w:ascii="宋体" w:hAnsi="宋体" w:hint="eastAsia"/>
          <w:sz w:val="24"/>
          <w:szCs w:val="24"/>
        </w:rPr>
        <w:t>。现将</w:t>
      </w:r>
      <w:r>
        <w:rPr>
          <w:rFonts w:ascii="宋体" w:hAnsi="宋体"/>
          <w:sz w:val="24"/>
          <w:szCs w:val="24"/>
        </w:rPr>
        <w:t>转换结果</w:t>
      </w:r>
      <w:r>
        <w:rPr>
          <w:rFonts w:ascii="宋体" w:hAnsi="宋体" w:hint="eastAsia"/>
          <w:sz w:val="24"/>
          <w:szCs w:val="24"/>
        </w:rPr>
        <w:t>公告</w:t>
      </w:r>
      <w:r>
        <w:rPr>
          <w:rFonts w:ascii="宋体" w:hAnsi="宋体"/>
          <w:sz w:val="24"/>
          <w:szCs w:val="24"/>
        </w:rPr>
        <w:t>如下：</w:t>
      </w:r>
    </w:p>
    <w:p w:rsidR="00C13DE2" w:rsidRDefault="00C13DE2">
      <w:pPr>
        <w:spacing w:line="360" w:lineRule="auto"/>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基金</w:t>
      </w:r>
      <w:r>
        <w:rPr>
          <w:rFonts w:ascii="宋体" w:hAnsi="宋体"/>
          <w:sz w:val="24"/>
          <w:szCs w:val="24"/>
        </w:rPr>
        <w:t>份额</w:t>
      </w:r>
      <w:r>
        <w:rPr>
          <w:rFonts w:ascii="宋体" w:hAnsi="宋体" w:hint="eastAsia"/>
          <w:sz w:val="24"/>
          <w:szCs w:val="24"/>
        </w:rPr>
        <w:t>转换</w:t>
      </w:r>
      <w:r>
        <w:rPr>
          <w:rFonts w:ascii="宋体" w:hAnsi="宋体"/>
          <w:sz w:val="24"/>
          <w:szCs w:val="24"/>
        </w:rPr>
        <w:t>结果</w:t>
      </w:r>
    </w:p>
    <w:p w:rsidR="00C13DE2" w:rsidRDefault="00C13DE2">
      <w:pPr>
        <w:spacing w:line="360" w:lineRule="auto"/>
        <w:ind w:firstLineChars="200" w:firstLine="480"/>
        <w:rPr>
          <w:rFonts w:ascii="宋体" w:hAnsi="宋体"/>
          <w:sz w:val="24"/>
          <w:szCs w:val="24"/>
        </w:rPr>
      </w:pPr>
      <w:r>
        <w:rPr>
          <w:rFonts w:ascii="宋体" w:hAnsi="宋体" w:hint="eastAsia"/>
          <w:sz w:val="24"/>
          <w:szCs w:val="24"/>
        </w:rPr>
        <w:lastRenderedPageBreak/>
        <w:t>（一）银华300A</w:t>
      </w:r>
      <w:r>
        <w:rPr>
          <w:rFonts w:ascii="宋体" w:hAnsi="宋体"/>
          <w:sz w:val="24"/>
          <w:szCs w:val="24"/>
        </w:rPr>
        <w:t>份额</w:t>
      </w:r>
      <w:r>
        <w:rPr>
          <w:rFonts w:ascii="宋体" w:hAnsi="宋体" w:hint="eastAsia"/>
          <w:sz w:val="24"/>
          <w:szCs w:val="24"/>
        </w:rPr>
        <w:t>和银华300B</w:t>
      </w:r>
      <w:r>
        <w:rPr>
          <w:rFonts w:ascii="宋体" w:hAnsi="宋体"/>
          <w:sz w:val="24"/>
          <w:szCs w:val="24"/>
        </w:rPr>
        <w:t>份额</w:t>
      </w:r>
      <w:r>
        <w:rPr>
          <w:rFonts w:ascii="宋体" w:hAnsi="宋体" w:hint="eastAsia"/>
          <w:sz w:val="24"/>
          <w:szCs w:val="24"/>
        </w:rPr>
        <w:t>转换</w:t>
      </w:r>
      <w:r>
        <w:rPr>
          <w:rFonts w:ascii="宋体" w:hAnsi="宋体"/>
          <w:sz w:val="24"/>
          <w:szCs w:val="24"/>
        </w:rPr>
        <w:t>为</w:t>
      </w:r>
      <w:r>
        <w:rPr>
          <w:rFonts w:ascii="宋体" w:hAnsi="宋体" w:hint="eastAsia"/>
          <w:sz w:val="24"/>
          <w:szCs w:val="24"/>
        </w:rPr>
        <w:t>银华沪深300指数证券投资基金（LOF）场内份额，</w:t>
      </w:r>
      <w:r>
        <w:rPr>
          <w:rFonts w:ascii="宋体" w:hAnsi="宋体"/>
          <w:sz w:val="24"/>
          <w:szCs w:val="24"/>
        </w:rPr>
        <w:t>份额数取整计算（最小单位为1份），</w:t>
      </w:r>
      <w:r>
        <w:rPr>
          <w:rFonts w:ascii="宋体" w:hAnsi="宋体" w:hint="eastAsia"/>
          <w:sz w:val="24"/>
          <w:szCs w:val="24"/>
        </w:rPr>
        <w:t>小数点以后的部分舍去并</w:t>
      </w:r>
      <w:r>
        <w:rPr>
          <w:rFonts w:ascii="宋体" w:hAnsi="宋体"/>
          <w:sz w:val="24"/>
          <w:szCs w:val="24"/>
        </w:rPr>
        <w:t>计入基金财产。</w:t>
      </w:r>
      <w:r>
        <w:rPr>
          <w:rFonts w:ascii="宋体" w:hAnsi="宋体" w:hint="eastAsia"/>
          <w:sz w:val="24"/>
          <w:szCs w:val="24"/>
        </w:rPr>
        <w:t>份额转换比例按截位法精确到小数点后第</w:t>
      </w:r>
      <w:r>
        <w:rPr>
          <w:rFonts w:ascii="宋体" w:hAnsi="宋体"/>
          <w:sz w:val="24"/>
          <w:szCs w:val="24"/>
        </w:rPr>
        <w:t>9</w:t>
      </w:r>
      <w:r>
        <w:rPr>
          <w:rFonts w:ascii="宋体" w:hAnsi="宋体" w:hint="eastAsia"/>
          <w:sz w:val="24"/>
          <w:szCs w:val="24"/>
        </w:rPr>
        <w:t>位，小数点后第</w:t>
      </w:r>
      <w:r>
        <w:rPr>
          <w:rFonts w:ascii="宋体" w:hAnsi="宋体"/>
          <w:sz w:val="24"/>
          <w:szCs w:val="24"/>
        </w:rPr>
        <w:t>9</w:t>
      </w:r>
      <w:r>
        <w:rPr>
          <w:rFonts w:ascii="宋体" w:hAnsi="宋体" w:hint="eastAsia"/>
          <w:sz w:val="24"/>
          <w:szCs w:val="24"/>
        </w:rPr>
        <w:t>位以后的部分舍去。具体结果如下表所示：</w:t>
      </w:r>
    </w:p>
    <w:tbl>
      <w:tblPr>
        <w:tblW w:w="78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575"/>
        <w:gridCol w:w="1559"/>
        <w:gridCol w:w="1843"/>
        <w:gridCol w:w="1559"/>
      </w:tblGrid>
      <w:tr w:rsidR="00C13DE2">
        <w:trPr>
          <w:trHeight w:val="678"/>
          <w:jc w:val="center"/>
        </w:trPr>
        <w:tc>
          <w:tcPr>
            <w:tcW w:w="1271" w:type="dxa"/>
            <w:shd w:val="clear" w:color="auto" w:fill="FFFFFF"/>
            <w:vAlign w:val="center"/>
          </w:tcPr>
          <w:p w:rsidR="00C13DE2" w:rsidRDefault="00C13DE2">
            <w:pPr>
              <w:widowControl/>
              <w:jc w:val="center"/>
              <w:rPr>
                <w:rFonts w:ascii="宋体" w:hAnsi="宋体" w:cs="宋体"/>
                <w:kern w:val="0"/>
                <w:szCs w:val="21"/>
              </w:rPr>
            </w:pPr>
            <w:r>
              <w:rPr>
                <w:rFonts w:ascii="宋体" w:hAnsi="宋体" w:cs="宋体" w:hint="eastAsia"/>
                <w:kern w:val="0"/>
                <w:szCs w:val="21"/>
              </w:rPr>
              <w:t>转换前基金份额名称</w:t>
            </w:r>
          </w:p>
        </w:tc>
        <w:tc>
          <w:tcPr>
            <w:tcW w:w="1575" w:type="dxa"/>
            <w:vAlign w:val="center"/>
          </w:tcPr>
          <w:p w:rsidR="00C13DE2" w:rsidRDefault="00C13DE2">
            <w:pPr>
              <w:widowControl/>
              <w:jc w:val="center"/>
              <w:rPr>
                <w:rFonts w:ascii="宋体" w:hAnsi="宋体" w:cs="宋体"/>
                <w:kern w:val="0"/>
                <w:szCs w:val="21"/>
              </w:rPr>
            </w:pPr>
            <w:r>
              <w:rPr>
                <w:rFonts w:ascii="宋体" w:hAnsi="宋体" w:cs="宋体" w:hint="eastAsia"/>
                <w:kern w:val="0"/>
                <w:szCs w:val="21"/>
              </w:rPr>
              <w:t>转换前基金份额数量（份）</w:t>
            </w:r>
          </w:p>
        </w:tc>
        <w:tc>
          <w:tcPr>
            <w:tcW w:w="1559" w:type="dxa"/>
            <w:vAlign w:val="center"/>
          </w:tcPr>
          <w:p w:rsidR="00C13DE2" w:rsidRDefault="00C13DE2">
            <w:pPr>
              <w:widowControl/>
              <w:jc w:val="center"/>
              <w:rPr>
                <w:rFonts w:ascii="宋体" w:hAnsi="宋体" w:cs="宋体"/>
                <w:kern w:val="0"/>
                <w:szCs w:val="21"/>
              </w:rPr>
            </w:pPr>
            <w:r>
              <w:rPr>
                <w:rFonts w:ascii="宋体" w:hAnsi="宋体" w:cs="宋体" w:hint="eastAsia"/>
                <w:kern w:val="0"/>
                <w:szCs w:val="21"/>
              </w:rPr>
              <w:t>转换比例</w:t>
            </w:r>
          </w:p>
        </w:tc>
        <w:tc>
          <w:tcPr>
            <w:tcW w:w="1843" w:type="dxa"/>
            <w:vAlign w:val="center"/>
          </w:tcPr>
          <w:p w:rsidR="00C13DE2" w:rsidRDefault="00C13DE2">
            <w:pPr>
              <w:widowControl/>
              <w:jc w:val="center"/>
              <w:rPr>
                <w:rFonts w:ascii="宋体" w:hAnsi="宋体" w:cs="宋体" w:hint="eastAsia"/>
                <w:kern w:val="0"/>
                <w:szCs w:val="21"/>
              </w:rPr>
            </w:pPr>
            <w:r>
              <w:rPr>
                <w:rFonts w:ascii="宋体" w:hAnsi="宋体" w:cs="宋体" w:hint="eastAsia"/>
                <w:kern w:val="0"/>
                <w:szCs w:val="21"/>
              </w:rPr>
              <w:t>转换后</w:t>
            </w:r>
            <w:r>
              <w:rPr>
                <w:rFonts w:ascii="宋体" w:hAnsi="宋体" w:cs="宋体"/>
                <w:kern w:val="0"/>
                <w:szCs w:val="21"/>
              </w:rPr>
              <w:t>基金份额名称</w:t>
            </w:r>
          </w:p>
        </w:tc>
        <w:tc>
          <w:tcPr>
            <w:tcW w:w="1559" w:type="dxa"/>
            <w:vAlign w:val="center"/>
          </w:tcPr>
          <w:p w:rsidR="00C13DE2" w:rsidRDefault="00C13DE2">
            <w:pPr>
              <w:widowControl/>
              <w:jc w:val="center"/>
              <w:rPr>
                <w:rFonts w:ascii="宋体" w:hAnsi="宋体" w:cs="宋体" w:hint="eastAsia"/>
                <w:kern w:val="0"/>
                <w:szCs w:val="21"/>
              </w:rPr>
            </w:pPr>
            <w:r>
              <w:rPr>
                <w:rFonts w:ascii="宋体" w:hAnsi="宋体" w:cs="宋体" w:hint="eastAsia"/>
                <w:kern w:val="0"/>
                <w:szCs w:val="21"/>
              </w:rPr>
              <w:t>转换后</w:t>
            </w:r>
            <w:r>
              <w:rPr>
                <w:rFonts w:ascii="宋体" w:hAnsi="宋体" w:cs="宋体"/>
                <w:kern w:val="0"/>
                <w:szCs w:val="21"/>
              </w:rPr>
              <w:t>基金份额数量（</w:t>
            </w:r>
            <w:r>
              <w:rPr>
                <w:rFonts w:ascii="宋体" w:hAnsi="宋体" w:cs="宋体" w:hint="eastAsia"/>
                <w:kern w:val="0"/>
                <w:szCs w:val="21"/>
              </w:rPr>
              <w:t>份</w:t>
            </w:r>
            <w:r>
              <w:rPr>
                <w:rFonts w:ascii="宋体" w:hAnsi="宋体" w:cs="宋体"/>
                <w:kern w:val="0"/>
                <w:szCs w:val="21"/>
              </w:rPr>
              <w:t>）</w:t>
            </w:r>
          </w:p>
        </w:tc>
      </w:tr>
      <w:tr w:rsidR="00C13DE2">
        <w:trPr>
          <w:trHeight w:val="699"/>
          <w:jc w:val="center"/>
        </w:trPr>
        <w:tc>
          <w:tcPr>
            <w:tcW w:w="1271" w:type="dxa"/>
            <w:shd w:val="clear" w:color="auto" w:fill="FFFFFF"/>
            <w:vAlign w:val="center"/>
          </w:tcPr>
          <w:p w:rsidR="00C13DE2" w:rsidRDefault="00C13DE2">
            <w:pPr>
              <w:widowControl/>
              <w:jc w:val="center"/>
              <w:rPr>
                <w:rFonts w:ascii="宋体" w:hAnsi="宋体" w:cs="宋体" w:hint="eastAsia"/>
                <w:kern w:val="0"/>
                <w:szCs w:val="21"/>
              </w:rPr>
            </w:pPr>
            <w:r>
              <w:rPr>
                <w:rFonts w:ascii="宋体" w:hAnsi="宋体" w:cs="宋体" w:hint="eastAsia"/>
                <w:kern w:val="0"/>
                <w:szCs w:val="21"/>
              </w:rPr>
              <w:t>银华300A</w:t>
            </w:r>
          </w:p>
          <w:p w:rsidR="00C13DE2" w:rsidRDefault="00C13DE2">
            <w:pPr>
              <w:widowControl/>
              <w:jc w:val="center"/>
              <w:rPr>
                <w:rFonts w:ascii="宋体" w:hAnsi="宋体" w:cs="宋体"/>
                <w:kern w:val="0"/>
                <w:szCs w:val="21"/>
              </w:rPr>
            </w:pPr>
            <w:r>
              <w:rPr>
                <w:rFonts w:ascii="宋体" w:hAnsi="宋体" w:cs="宋体" w:hint="eastAsia"/>
                <w:kern w:val="0"/>
                <w:szCs w:val="21"/>
              </w:rPr>
              <w:t>份额</w:t>
            </w:r>
          </w:p>
        </w:tc>
        <w:tc>
          <w:tcPr>
            <w:tcW w:w="1575" w:type="dxa"/>
            <w:vAlign w:val="center"/>
          </w:tcPr>
          <w:p w:rsidR="00010A77" w:rsidRDefault="00010A77" w:rsidP="00010A77">
            <w:pPr>
              <w:widowControl/>
              <w:jc w:val="right"/>
              <w:rPr>
                <w:kern w:val="0"/>
                <w:sz w:val="20"/>
                <w:szCs w:val="20"/>
              </w:rPr>
            </w:pPr>
            <w:r>
              <w:rPr>
                <w:rFonts w:hint="eastAsia"/>
                <w:sz w:val="20"/>
                <w:szCs w:val="20"/>
              </w:rPr>
              <w:t xml:space="preserve">12,221,997.00 </w:t>
            </w:r>
          </w:p>
          <w:p w:rsidR="00C13DE2" w:rsidRDefault="00C13DE2">
            <w:pPr>
              <w:widowControl/>
              <w:jc w:val="right"/>
              <w:rPr>
                <w:rFonts w:ascii="宋体" w:hAnsi="宋体" w:cs="宋体" w:hint="eastAsia"/>
                <w:kern w:val="0"/>
                <w:szCs w:val="21"/>
              </w:rPr>
            </w:pPr>
          </w:p>
        </w:tc>
        <w:tc>
          <w:tcPr>
            <w:tcW w:w="1559" w:type="dxa"/>
            <w:vAlign w:val="center"/>
          </w:tcPr>
          <w:p w:rsidR="00010A77" w:rsidRDefault="00010A77" w:rsidP="00010A77">
            <w:pPr>
              <w:widowControl/>
              <w:jc w:val="right"/>
              <w:rPr>
                <w:kern w:val="0"/>
                <w:sz w:val="20"/>
                <w:szCs w:val="20"/>
              </w:rPr>
            </w:pPr>
            <w:r>
              <w:rPr>
                <w:rFonts w:hint="eastAsia"/>
                <w:sz w:val="20"/>
                <w:szCs w:val="20"/>
              </w:rPr>
              <w:t xml:space="preserve">1.049860037 </w:t>
            </w:r>
          </w:p>
          <w:p w:rsidR="00C13DE2" w:rsidRDefault="00C13DE2">
            <w:pPr>
              <w:widowControl/>
              <w:jc w:val="right"/>
              <w:rPr>
                <w:rFonts w:ascii="宋体" w:hAnsi="宋体" w:cs="宋体"/>
                <w:kern w:val="0"/>
                <w:szCs w:val="21"/>
              </w:rPr>
            </w:pPr>
          </w:p>
        </w:tc>
        <w:tc>
          <w:tcPr>
            <w:tcW w:w="1843" w:type="dxa"/>
          </w:tcPr>
          <w:p w:rsidR="00C13DE2" w:rsidRDefault="00C13DE2">
            <w:pPr>
              <w:widowControl/>
              <w:jc w:val="center"/>
              <w:rPr>
                <w:rFonts w:ascii="宋体" w:hAnsi="宋体" w:cs="宋体" w:hint="eastAsia"/>
                <w:kern w:val="0"/>
                <w:szCs w:val="21"/>
              </w:rPr>
            </w:pPr>
            <w:r>
              <w:rPr>
                <w:rFonts w:ascii="宋体" w:hAnsi="宋体" w:cs="宋体" w:hint="eastAsia"/>
                <w:kern w:val="0"/>
                <w:szCs w:val="21"/>
              </w:rPr>
              <w:t>银华沪深300指数证券投资基金（LOF）</w:t>
            </w:r>
          </w:p>
          <w:p w:rsidR="00C13DE2" w:rsidRDefault="00C13DE2">
            <w:pPr>
              <w:widowControl/>
              <w:jc w:val="center"/>
              <w:rPr>
                <w:rFonts w:ascii="宋体" w:hAnsi="宋体" w:cs="宋体" w:hint="eastAsia"/>
                <w:kern w:val="0"/>
                <w:szCs w:val="21"/>
              </w:rPr>
            </w:pPr>
            <w:r>
              <w:rPr>
                <w:rFonts w:ascii="宋体" w:hAnsi="宋体" w:cs="宋体" w:hint="eastAsia"/>
                <w:kern w:val="0"/>
                <w:szCs w:val="21"/>
              </w:rPr>
              <w:t>场内份额</w:t>
            </w:r>
          </w:p>
        </w:tc>
        <w:tc>
          <w:tcPr>
            <w:tcW w:w="1559" w:type="dxa"/>
            <w:vAlign w:val="center"/>
          </w:tcPr>
          <w:p w:rsidR="00010A77" w:rsidRDefault="00010A77" w:rsidP="00010A77">
            <w:pPr>
              <w:widowControl/>
              <w:jc w:val="center"/>
              <w:rPr>
                <w:kern w:val="0"/>
                <w:sz w:val="20"/>
                <w:szCs w:val="20"/>
              </w:rPr>
            </w:pPr>
            <w:r>
              <w:rPr>
                <w:rFonts w:hint="eastAsia"/>
                <w:sz w:val="20"/>
                <w:szCs w:val="20"/>
              </w:rPr>
              <w:t xml:space="preserve">12,831,386.00 </w:t>
            </w:r>
          </w:p>
          <w:p w:rsidR="00C13DE2" w:rsidRDefault="00C13DE2">
            <w:pPr>
              <w:widowControl/>
              <w:jc w:val="center"/>
              <w:rPr>
                <w:rFonts w:ascii="宋体" w:hAnsi="宋体" w:cs="宋体" w:hint="eastAsia"/>
                <w:kern w:val="0"/>
                <w:szCs w:val="21"/>
              </w:rPr>
            </w:pPr>
            <w:r>
              <w:rPr>
                <w:rFonts w:ascii="宋体" w:hAnsi="宋体" w:cs="宋体" w:hint="eastAsia"/>
                <w:kern w:val="0"/>
                <w:szCs w:val="21"/>
              </w:rPr>
              <w:t>（</w:t>
            </w:r>
            <w:r>
              <w:rPr>
                <w:rFonts w:ascii="宋体" w:hAnsi="宋体" w:cs="宋体"/>
                <w:kern w:val="0"/>
                <w:szCs w:val="21"/>
              </w:rPr>
              <w:t>注</w:t>
            </w:r>
            <w:r>
              <w:rPr>
                <w:rFonts w:ascii="宋体" w:hAnsi="宋体" w:cs="宋体" w:hint="eastAsia"/>
                <w:kern w:val="0"/>
                <w:szCs w:val="21"/>
              </w:rPr>
              <w:t>1）</w:t>
            </w:r>
          </w:p>
        </w:tc>
      </w:tr>
      <w:tr w:rsidR="00C13DE2">
        <w:trPr>
          <w:trHeight w:val="334"/>
          <w:jc w:val="center"/>
        </w:trPr>
        <w:tc>
          <w:tcPr>
            <w:tcW w:w="1271" w:type="dxa"/>
            <w:shd w:val="clear" w:color="auto" w:fill="FFFFFF"/>
            <w:vAlign w:val="center"/>
          </w:tcPr>
          <w:p w:rsidR="00C13DE2" w:rsidRDefault="00C13DE2">
            <w:pPr>
              <w:widowControl/>
              <w:jc w:val="center"/>
              <w:rPr>
                <w:rFonts w:ascii="宋体" w:hAnsi="宋体" w:cs="宋体" w:hint="eastAsia"/>
                <w:kern w:val="0"/>
                <w:szCs w:val="21"/>
              </w:rPr>
            </w:pPr>
            <w:r>
              <w:rPr>
                <w:rFonts w:ascii="宋体" w:hAnsi="宋体" w:cs="宋体" w:hint="eastAsia"/>
                <w:kern w:val="0"/>
                <w:szCs w:val="21"/>
              </w:rPr>
              <w:t>银华300B</w:t>
            </w:r>
          </w:p>
          <w:p w:rsidR="00C13DE2" w:rsidRDefault="00C13DE2">
            <w:pPr>
              <w:widowControl/>
              <w:jc w:val="center"/>
              <w:rPr>
                <w:rFonts w:ascii="宋体" w:hAnsi="宋体" w:cs="宋体"/>
                <w:kern w:val="0"/>
                <w:szCs w:val="21"/>
              </w:rPr>
            </w:pPr>
            <w:r>
              <w:rPr>
                <w:rFonts w:ascii="宋体" w:hAnsi="宋体" w:cs="宋体" w:hint="eastAsia"/>
                <w:kern w:val="0"/>
                <w:szCs w:val="21"/>
              </w:rPr>
              <w:t>份额</w:t>
            </w:r>
          </w:p>
        </w:tc>
        <w:tc>
          <w:tcPr>
            <w:tcW w:w="1575" w:type="dxa"/>
            <w:vAlign w:val="center"/>
          </w:tcPr>
          <w:p w:rsidR="00010A77" w:rsidRDefault="00010A77" w:rsidP="00010A77">
            <w:pPr>
              <w:widowControl/>
              <w:jc w:val="right"/>
              <w:rPr>
                <w:kern w:val="0"/>
                <w:sz w:val="20"/>
                <w:szCs w:val="20"/>
              </w:rPr>
            </w:pPr>
            <w:r>
              <w:rPr>
                <w:rFonts w:hint="eastAsia"/>
                <w:sz w:val="20"/>
                <w:szCs w:val="20"/>
              </w:rPr>
              <w:t xml:space="preserve">12,221,997.00 </w:t>
            </w:r>
          </w:p>
          <w:p w:rsidR="00C13DE2" w:rsidRDefault="00C13DE2">
            <w:pPr>
              <w:widowControl/>
              <w:jc w:val="right"/>
              <w:rPr>
                <w:rFonts w:ascii="宋体" w:hAnsi="宋体" w:cs="宋体"/>
                <w:kern w:val="0"/>
                <w:szCs w:val="21"/>
              </w:rPr>
            </w:pPr>
          </w:p>
        </w:tc>
        <w:tc>
          <w:tcPr>
            <w:tcW w:w="1559" w:type="dxa"/>
            <w:vAlign w:val="center"/>
          </w:tcPr>
          <w:p w:rsidR="00010A77" w:rsidRDefault="00010A77" w:rsidP="00010A77">
            <w:pPr>
              <w:widowControl/>
              <w:jc w:val="right"/>
              <w:rPr>
                <w:kern w:val="0"/>
                <w:sz w:val="20"/>
                <w:szCs w:val="20"/>
              </w:rPr>
            </w:pPr>
            <w:r>
              <w:rPr>
                <w:rFonts w:hint="eastAsia"/>
                <w:sz w:val="20"/>
                <w:szCs w:val="20"/>
              </w:rPr>
              <w:t xml:space="preserve">1.564784038 </w:t>
            </w:r>
          </w:p>
          <w:p w:rsidR="00C13DE2" w:rsidRDefault="00C13DE2">
            <w:pPr>
              <w:widowControl/>
              <w:jc w:val="right"/>
              <w:rPr>
                <w:rFonts w:ascii="宋体" w:hAnsi="宋体" w:cs="宋体"/>
                <w:kern w:val="0"/>
                <w:szCs w:val="21"/>
              </w:rPr>
            </w:pPr>
          </w:p>
        </w:tc>
        <w:tc>
          <w:tcPr>
            <w:tcW w:w="1843" w:type="dxa"/>
          </w:tcPr>
          <w:p w:rsidR="00C13DE2" w:rsidRDefault="00C13DE2">
            <w:pPr>
              <w:widowControl/>
              <w:jc w:val="center"/>
              <w:rPr>
                <w:rFonts w:ascii="宋体" w:hAnsi="宋体" w:cs="宋体" w:hint="eastAsia"/>
                <w:kern w:val="0"/>
                <w:szCs w:val="21"/>
              </w:rPr>
            </w:pPr>
            <w:r>
              <w:rPr>
                <w:rFonts w:ascii="宋体" w:hAnsi="宋体" w:cs="宋体" w:hint="eastAsia"/>
                <w:kern w:val="0"/>
                <w:szCs w:val="21"/>
              </w:rPr>
              <w:t>银华沪深300指数证券投资基金（LOF）</w:t>
            </w:r>
          </w:p>
          <w:p w:rsidR="00C13DE2" w:rsidRDefault="00C13DE2">
            <w:pPr>
              <w:widowControl/>
              <w:jc w:val="center"/>
              <w:rPr>
                <w:rFonts w:ascii="宋体" w:hAnsi="宋体" w:cs="宋体" w:hint="eastAsia"/>
                <w:kern w:val="0"/>
                <w:szCs w:val="21"/>
              </w:rPr>
            </w:pPr>
            <w:r>
              <w:rPr>
                <w:rFonts w:ascii="宋体" w:hAnsi="宋体" w:cs="宋体" w:hint="eastAsia"/>
                <w:kern w:val="0"/>
                <w:szCs w:val="21"/>
              </w:rPr>
              <w:t>场内份额</w:t>
            </w:r>
          </w:p>
        </w:tc>
        <w:tc>
          <w:tcPr>
            <w:tcW w:w="1559" w:type="dxa"/>
            <w:vAlign w:val="center"/>
          </w:tcPr>
          <w:p w:rsidR="00C13DE2" w:rsidRDefault="00C13DE2">
            <w:pPr>
              <w:widowControl/>
              <w:jc w:val="center"/>
              <w:rPr>
                <w:rFonts w:ascii="宋体" w:hAnsi="宋体" w:cs="宋体" w:hint="eastAsia"/>
                <w:kern w:val="0"/>
                <w:szCs w:val="21"/>
              </w:rPr>
            </w:pPr>
          </w:p>
          <w:p w:rsidR="00010A77" w:rsidRDefault="00010A77" w:rsidP="00010A77">
            <w:pPr>
              <w:widowControl/>
              <w:jc w:val="center"/>
              <w:rPr>
                <w:kern w:val="0"/>
                <w:sz w:val="20"/>
                <w:szCs w:val="20"/>
              </w:rPr>
            </w:pPr>
            <w:r>
              <w:rPr>
                <w:rFonts w:hint="eastAsia"/>
                <w:sz w:val="20"/>
                <w:szCs w:val="20"/>
              </w:rPr>
              <w:t xml:space="preserve">19,124,785.00 </w:t>
            </w:r>
          </w:p>
          <w:p w:rsidR="00C13DE2" w:rsidRDefault="00C13DE2">
            <w:pPr>
              <w:widowControl/>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注2</w:t>
            </w:r>
            <w:r>
              <w:rPr>
                <w:rFonts w:ascii="宋体" w:hAnsi="宋体" w:cs="宋体" w:hint="eastAsia"/>
                <w:kern w:val="0"/>
                <w:szCs w:val="21"/>
              </w:rPr>
              <w:t>）</w:t>
            </w:r>
          </w:p>
        </w:tc>
      </w:tr>
    </w:tbl>
    <w:p w:rsidR="00C13DE2" w:rsidRDefault="00C13DE2" w:rsidP="00751021">
      <w:pPr>
        <w:adjustRightInd w:val="0"/>
        <w:snapToGrid w:val="0"/>
        <w:spacing w:line="360" w:lineRule="auto"/>
        <w:ind w:firstLineChars="200" w:firstLine="420"/>
        <w:rPr>
          <w:rFonts w:ascii="宋体" w:hAnsi="宋体" w:cs="宋体" w:hint="eastAsia"/>
          <w:kern w:val="0"/>
          <w:szCs w:val="21"/>
        </w:rPr>
      </w:pPr>
      <w:r>
        <w:rPr>
          <w:rFonts w:ascii="宋体" w:hAnsi="宋体" w:hint="eastAsia"/>
          <w:szCs w:val="21"/>
        </w:rPr>
        <w:t>注1：此</w:t>
      </w:r>
      <w:r>
        <w:rPr>
          <w:rFonts w:ascii="宋体" w:hAnsi="宋体" w:cs="宋体" w:hint="eastAsia"/>
          <w:kern w:val="0"/>
          <w:szCs w:val="21"/>
        </w:rPr>
        <w:t>转换后</w:t>
      </w:r>
      <w:r>
        <w:rPr>
          <w:rFonts w:ascii="宋体" w:hAnsi="宋体" w:cs="宋体"/>
          <w:kern w:val="0"/>
          <w:szCs w:val="21"/>
        </w:rPr>
        <w:t>基金份额数量</w:t>
      </w:r>
      <w:r>
        <w:rPr>
          <w:rFonts w:ascii="宋体" w:hAnsi="宋体" w:cs="宋体" w:hint="eastAsia"/>
          <w:kern w:val="0"/>
          <w:szCs w:val="21"/>
        </w:rPr>
        <w:t>指银华300A份额</w:t>
      </w:r>
      <w:r>
        <w:rPr>
          <w:rFonts w:ascii="宋体" w:hAnsi="宋体" w:cs="宋体"/>
          <w:kern w:val="0"/>
          <w:szCs w:val="21"/>
        </w:rPr>
        <w:t>转换为</w:t>
      </w:r>
      <w:r>
        <w:rPr>
          <w:rFonts w:ascii="宋体" w:hAnsi="宋体" w:cs="宋体" w:hint="eastAsia"/>
          <w:kern w:val="0"/>
          <w:szCs w:val="21"/>
        </w:rPr>
        <w:t>银华沪深300指数证券投资基金（LOF）场内份额的</w:t>
      </w:r>
      <w:r>
        <w:rPr>
          <w:rFonts w:ascii="宋体" w:hAnsi="宋体" w:cs="宋体"/>
          <w:kern w:val="0"/>
          <w:szCs w:val="21"/>
        </w:rPr>
        <w:t>份额数量</w:t>
      </w:r>
      <w:r>
        <w:rPr>
          <w:rFonts w:ascii="宋体" w:hAnsi="宋体" w:cs="宋体" w:hint="eastAsia"/>
          <w:kern w:val="0"/>
          <w:szCs w:val="21"/>
        </w:rPr>
        <w:t>。</w:t>
      </w:r>
    </w:p>
    <w:p w:rsidR="00C13DE2" w:rsidRDefault="00C13DE2" w:rsidP="00751021">
      <w:pPr>
        <w:adjustRightInd w:val="0"/>
        <w:snapToGrid w:val="0"/>
        <w:spacing w:line="360" w:lineRule="auto"/>
        <w:ind w:firstLineChars="200" w:firstLine="420"/>
        <w:rPr>
          <w:rFonts w:ascii="宋体" w:hAnsi="宋体" w:cs="宋体"/>
          <w:kern w:val="0"/>
          <w:szCs w:val="21"/>
        </w:rPr>
      </w:pPr>
      <w:r>
        <w:rPr>
          <w:rFonts w:ascii="宋体" w:hAnsi="宋体" w:hint="eastAsia"/>
          <w:szCs w:val="21"/>
        </w:rPr>
        <w:t>注2：此</w:t>
      </w:r>
      <w:r>
        <w:rPr>
          <w:rFonts w:ascii="宋体" w:hAnsi="宋体" w:cs="宋体" w:hint="eastAsia"/>
          <w:kern w:val="0"/>
          <w:szCs w:val="21"/>
        </w:rPr>
        <w:t>转换后</w:t>
      </w:r>
      <w:r>
        <w:rPr>
          <w:rFonts w:ascii="宋体" w:hAnsi="宋体" w:cs="宋体"/>
          <w:kern w:val="0"/>
          <w:szCs w:val="21"/>
        </w:rPr>
        <w:t>基金份额数量</w:t>
      </w:r>
      <w:r>
        <w:rPr>
          <w:rFonts w:ascii="宋体" w:hAnsi="宋体" w:cs="宋体" w:hint="eastAsia"/>
          <w:kern w:val="0"/>
          <w:szCs w:val="21"/>
        </w:rPr>
        <w:t>指银华300B份额</w:t>
      </w:r>
      <w:r>
        <w:rPr>
          <w:rFonts w:ascii="宋体" w:hAnsi="宋体" w:cs="宋体"/>
          <w:kern w:val="0"/>
          <w:szCs w:val="21"/>
        </w:rPr>
        <w:t>转换为</w:t>
      </w:r>
      <w:r>
        <w:rPr>
          <w:rFonts w:ascii="宋体" w:hAnsi="宋体" w:cs="宋体" w:hint="eastAsia"/>
          <w:kern w:val="0"/>
          <w:szCs w:val="21"/>
        </w:rPr>
        <w:t>银华沪深300指数证券投资基金（LOF）场内份额的</w:t>
      </w:r>
      <w:r>
        <w:rPr>
          <w:rFonts w:ascii="宋体" w:hAnsi="宋体" w:cs="宋体"/>
          <w:kern w:val="0"/>
          <w:szCs w:val="21"/>
        </w:rPr>
        <w:t>份额数量</w:t>
      </w:r>
      <w:r>
        <w:rPr>
          <w:rFonts w:ascii="宋体" w:hAnsi="宋体" w:cs="宋体" w:hint="eastAsia"/>
          <w:kern w:val="0"/>
          <w:szCs w:val="21"/>
        </w:rPr>
        <w:t>。</w:t>
      </w:r>
    </w:p>
    <w:p w:rsidR="00C13DE2" w:rsidRDefault="00C13DE2" w:rsidP="00751021">
      <w:pPr>
        <w:adjustRightInd w:val="0"/>
        <w:snapToGrid w:val="0"/>
        <w:spacing w:line="360" w:lineRule="auto"/>
        <w:ind w:firstLineChars="200" w:firstLine="420"/>
        <w:rPr>
          <w:rFonts w:ascii="宋体" w:hAnsi="宋体" w:cs="宋体" w:hint="eastAsia"/>
          <w:kern w:val="0"/>
          <w:szCs w:val="21"/>
        </w:rPr>
      </w:pPr>
      <w:r>
        <w:rPr>
          <w:rFonts w:ascii="宋体" w:hAnsi="宋体" w:cs="宋体" w:hint="eastAsia"/>
          <w:kern w:val="0"/>
          <w:szCs w:val="21"/>
        </w:rPr>
        <w:t>注3：</w:t>
      </w:r>
      <w:r>
        <w:rPr>
          <w:rFonts w:ascii="宋体" w:hAnsi="宋体" w:cs="宋体"/>
          <w:kern w:val="0"/>
          <w:szCs w:val="21"/>
        </w:rPr>
        <w:t>由于本</w:t>
      </w:r>
      <w:r>
        <w:rPr>
          <w:rFonts w:ascii="宋体" w:hAnsi="宋体" w:cs="宋体" w:hint="eastAsia"/>
          <w:kern w:val="0"/>
          <w:szCs w:val="21"/>
        </w:rPr>
        <w:t>基金</w:t>
      </w:r>
      <w:r>
        <w:rPr>
          <w:rFonts w:ascii="宋体" w:hAnsi="宋体" w:cs="宋体"/>
          <w:kern w:val="0"/>
          <w:szCs w:val="21"/>
        </w:rPr>
        <w:t>本次</w:t>
      </w:r>
      <w:r>
        <w:rPr>
          <w:rFonts w:ascii="宋体" w:hAnsi="宋体" w:cs="宋体" w:hint="eastAsia"/>
          <w:kern w:val="0"/>
          <w:szCs w:val="21"/>
        </w:rPr>
        <w:t>份额</w:t>
      </w:r>
      <w:r>
        <w:rPr>
          <w:rFonts w:ascii="宋体" w:hAnsi="宋体" w:cs="宋体"/>
          <w:kern w:val="0"/>
          <w:szCs w:val="21"/>
        </w:rPr>
        <w:t>转换的</w:t>
      </w:r>
      <w:r>
        <w:rPr>
          <w:rFonts w:ascii="宋体" w:hAnsi="宋体" w:cs="宋体" w:hint="eastAsia"/>
          <w:kern w:val="0"/>
          <w:szCs w:val="21"/>
        </w:rPr>
        <w:t>份额转换</w:t>
      </w:r>
      <w:r>
        <w:rPr>
          <w:rFonts w:ascii="宋体" w:hAnsi="宋体" w:cs="宋体"/>
          <w:kern w:val="0"/>
          <w:szCs w:val="21"/>
        </w:rPr>
        <w:t>基准日</w:t>
      </w:r>
      <w:r w:rsidR="008423D4">
        <w:rPr>
          <w:rFonts w:ascii="宋体" w:hAnsi="宋体" w:cs="宋体" w:hint="eastAsia"/>
          <w:kern w:val="0"/>
          <w:szCs w:val="21"/>
        </w:rPr>
        <w:t>为</w:t>
      </w:r>
      <w:r>
        <w:rPr>
          <w:rFonts w:ascii="宋体" w:hAnsi="宋体" w:cs="宋体" w:hint="eastAsia"/>
          <w:kern w:val="0"/>
          <w:szCs w:val="21"/>
        </w:rPr>
        <w:t>2020年11月27日</w:t>
      </w:r>
      <w:r w:rsidR="008423D4">
        <w:rPr>
          <w:rFonts w:ascii="宋体" w:hAnsi="宋体" w:cs="宋体" w:hint="eastAsia"/>
          <w:kern w:val="0"/>
          <w:szCs w:val="21"/>
        </w:rPr>
        <w:t>（周五）</w:t>
      </w:r>
      <w:r>
        <w:rPr>
          <w:rFonts w:ascii="宋体" w:hAnsi="宋体" w:cs="宋体"/>
          <w:kern w:val="0"/>
          <w:szCs w:val="21"/>
        </w:rPr>
        <w:t>，</w:t>
      </w:r>
      <w:r>
        <w:rPr>
          <w:rFonts w:ascii="宋体" w:hAnsi="宋体" w:cs="宋体" w:hint="eastAsia"/>
          <w:kern w:val="0"/>
          <w:szCs w:val="21"/>
        </w:rPr>
        <w:t>且银华</w:t>
      </w:r>
      <w:r>
        <w:rPr>
          <w:rFonts w:ascii="宋体" w:hAnsi="宋体" w:cs="宋体"/>
          <w:kern w:val="0"/>
          <w:szCs w:val="21"/>
        </w:rPr>
        <w:t>沪深</w:t>
      </w:r>
      <w:r>
        <w:rPr>
          <w:rFonts w:ascii="宋体" w:hAnsi="宋体" w:cs="宋体" w:hint="eastAsia"/>
          <w:kern w:val="0"/>
          <w:szCs w:val="21"/>
        </w:rPr>
        <w:t>300指数</w:t>
      </w:r>
      <w:r>
        <w:rPr>
          <w:rFonts w:ascii="宋体" w:hAnsi="宋体" w:cs="宋体"/>
          <w:kern w:val="0"/>
          <w:szCs w:val="21"/>
        </w:rPr>
        <w:t>证券投资基金（</w:t>
      </w:r>
      <w:r>
        <w:rPr>
          <w:rFonts w:ascii="宋体" w:hAnsi="宋体" w:cs="宋体" w:hint="eastAsia"/>
          <w:kern w:val="0"/>
          <w:szCs w:val="21"/>
        </w:rPr>
        <w:t>LOF</w:t>
      </w:r>
      <w:r>
        <w:rPr>
          <w:rFonts w:ascii="宋体" w:hAnsi="宋体" w:cs="宋体"/>
          <w:kern w:val="0"/>
          <w:szCs w:val="21"/>
        </w:rPr>
        <w:t>）</w:t>
      </w:r>
      <w:r>
        <w:rPr>
          <w:rFonts w:ascii="宋体" w:hAnsi="宋体" w:cs="宋体" w:hint="eastAsia"/>
          <w:kern w:val="0"/>
          <w:szCs w:val="21"/>
        </w:rPr>
        <w:t>的基金</w:t>
      </w:r>
      <w:r>
        <w:rPr>
          <w:rFonts w:ascii="宋体" w:hAnsi="宋体" w:cs="宋体"/>
          <w:kern w:val="0"/>
          <w:szCs w:val="21"/>
        </w:rPr>
        <w:t>合同</w:t>
      </w:r>
      <w:r w:rsidR="008423D4">
        <w:rPr>
          <w:rFonts w:ascii="宋体" w:hAnsi="宋体" w:cs="宋体" w:hint="eastAsia"/>
          <w:kern w:val="0"/>
          <w:szCs w:val="21"/>
        </w:rPr>
        <w:t>生效日为</w:t>
      </w:r>
      <w:r>
        <w:rPr>
          <w:rFonts w:ascii="宋体" w:hAnsi="宋体" w:cs="宋体" w:hint="eastAsia"/>
          <w:kern w:val="0"/>
          <w:szCs w:val="21"/>
        </w:rPr>
        <w:t>2020年11月30日</w:t>
      </w:r>
      <w:r w:rsidR="008423D4">
        <w:rPr>
          <w:rFonts w:ascii="宋体" w:hAnsi="宋体" w:cs="宋体" w:hint="eastAsia"/>
          <w:kern w:val="0"/>
          <w:szCs w:val="21"/>
        </w:rPr>
        <w:t>（周一）</w:t>
      </w:r>
      <w:r>
        <w:rPr>
          <w:rFonts w:ascii="宋体" w:hAnsi="宋体" w:cs="宋体"/>
          <w:kern w:val="0"/>
          <w:szCs w:val="21"/>
        </w:rPr>
        <w:t>，因此</w:t>
      </w:r>
      <w:r>
        <w:rPr>
          <w:rFonts w:ascii="宋体" w:hAnsi="宋体" w:cs="宋体" w:hint="eastAsia"/>
          <w:kern w:val="0"/>
          <w:szCs w:val="21"/>
        </w:rPr>
        <w:t>银华300A份额</w:t>
      </w:r>
      <w:r w:rsidR="008423D4">
        <w:rPr>
          <w:rFonts w:ascii="宋体" w:hAnsi="宋体" w:cs="宋体" w:hint="eastAsia"/>
          <w:kern w:val="0"/>
          <w:szCs w:val="21"/>
        </w:rPr>
        <w:t>办理</w:t>
      </w:r>
      <w:r>
        <w:rPr>
          <w:rFonts w:ascii="宋体" w:hAnsi="宋体" w:cs="宋体" w:hint="eastAsia"/>
          <w:kern w:val="0"/>
          <w:szCs w:val="21"/>
        </w:rPr>
        <w:t>份额转换</w:t>
      </w:r>
      <w:r w:rsidR="008423D4">
        <w:rPr>
          <w:rFonts w:ascii="宋体" w:hAnsi="宋体" w:cs="宋体" w:hint="eastAsia"/>
          <w:kern w:val="0"/>
          <w:szCs w:val="21"/>
        </w:rPr>
        <w:t>的</w:t>
      </w:r>
      <w:r w:rsidR="008423D4">
        <w:rPr>
          <w:rFonts w:ascii="宋体" w:hAnsi="宋体" w:cs="宋体"/>
          <w:kern w:val="0"/>
          <w:szCs w:val="21"/>
        </w:rPr>
        <w:t>参考净值包含周末</w:t>
      </w:r>
      <w:r w:rsidR="008423D4">
        <w:rPr>
          <w:rFonts w:ascii="宋体" w:hAnsi="宋体" w:cs="宋体" w:hint="eastAsia"/>
          <w:kern w:val="0"/>
          <w:szCs w:val="21"/>
        </w:rPr>
        <w:t>两日</w:t>
      </w:r>
      <w:r w:rsidR="00997869" w:rsidRPr="00751021">
        <w:rPr>
          <w:rFonts w:ascii="宋体" w:hAnsi="宋体" w:cs="宋体" w:hint="eastAsia"/>
          <w:kern w:val="0"/>
          <w:szCs w:val="21"/>
        </w:rPr>
        <w:t>银华300A份额应享有</w:t>
      </w:r>
      <w:r>
        <w:rPr>
          <w:rFonts w:ascii="宋体" w:hAnsi="宋体" w:cs="宋体"/>
          <w:kern w:val="0"/>
          <w:szCs w:val="21"/>
        </w:rPr>
        <w:t>的约定收益。</w:t>
      </w:r>
    </w:p>
    <w:p w:rsidR="00C13DE2" w:rsidRDefault="00C13DE2">
      <w:pPr>
        <w:spacing w:line="360" w:lineRule="auto"/>
        <w:ind w:firstLineChars="200" w:firstLine="480"/>
        <w:rPr>
          <w:rFonts w:ascii="宋体" w:hAnsi="宋体"/>
          <w:sz w:val="24"/>
          <w:szCs w:val="24"/>
        </w:rPr>
      </w:pPr>
      <w:r>
        <w:rPr>
          <w:rFonts w:ascii="宋体" w:hAnsi="宋体" w:hint="eastAsia"/>
          <w:sz w:val="24"/>
          <w:szCs w:val="24"/>
        </w:rPr>
        <w:t>（二）银华300份额的</w:t>
      </w:r>
      <w:r>
        <w:rPr>
          <w:rFonts w:ascii="宋体" w:hAnsi="宋体"/>
          <w:sz w:val="24"/>
          <w:szCs w:val="24"/>
        </w:rPr>
        <w:t>场内份额、场外份额分别</w:t>
      </w:r>
      <w:r>
        <w:rPr>
          <w:rFonts w:ascii="宋体" w:hAnsi="宋体" w:hint="eastAsia"/>
          <w:sz w:val="24"/>
          <w:szCs w:val="24"/>
        </w:rPr>
        <w:t>转换为银华沪深300指数证券投资基金（LOF）场内份额、场外份额。其中，银华300份额场内份额经转换后的份额数取整计算（最小单位为1份），小数点以后的部分舍去并计入基金财产；银华300</w:t>
      </w:r>
      <w:r>
        <w:rPr>
          <w:rFonts w:ascii="宋体" w:hAnsi="宋体"/>
          <w:sz w:val="24"/>
          <w:szCs w:val="24"/>
        </w:rPr>
        <w:t>份额</w:t>
      </w:r>
      <w:r>
        <w:rPr>
          <w:rFonts w:ascii="宋体" w:hAnsi="宋体" w:hint="eastAsia"/>
          <w:sz w:val="24"/>
          <w:szCs w:val="24"/>
        </w:rPr>
        <w:t>场外份额</w:t>
      </w:r>
      <w:r>
        <w:rPr>
          <w:rFonts w:ascii="宋体" w:hAnsi="宋体"/>
          <w:sz w:val="24"/>
          <w:szCs w:val="24"/>
        </w:rPr>
        <w:t>经转换后的份额数</w:t>
      </w:r>
      <w:r>
        <w:rPr>
          <w:rFonts w:ascii="宋体" w:hAnsi="宋体" w:hint="eastAsia"/>
          <w:sz w:val="24"/>
          <w:szCs w:val="24"/>
        </w:rPr>
        <w:t>按截位法</w:t>
      </w:r>
      <w:r>
        <w:rPr>
          <w:rFonts w:ascii="宋体" w:hAnsi="宋体"/>
          <w:sz w:val="24"/>
          <w:szCs w:val="24"/>
        </w:rPr>
        <w:t>保留到小数点后两位，</w:t>
      </w:r>
      <w:r>
        <w:rPr>
          <w:rFonts w:ascii="宋体" w:hAnsi="宋体" w:hint="eastAsia"/>
          <w:sz w:val="24"/>
          <w:szCs w:val="24"/>
        </w:rPr>
        <w:t>小数点后</w:t>
      </w:r>
      <w:r>
        <w:rPr>
          <w:rFonts w:ascii="宋体" w:hAnsi="宋体"/>
          <w:sz w:val="24"/>
          <w:szCs w:val="24"/>
        </w:rPr>
        <w:t>两位</w:t>
      </w:r>
      <w:r>
        <w:rPr>
          <w:rFonts w:ascii="宋体" w:hAnsi="宋体" w:hint="eastAsia"/>
          <w:sz w:val="24"/>
          <w:szCs w:val="24"/>
        </w:rPr>
        <w:t>以后的部分舍去并</w:t>
      </w:r>
      <w:r>
        <w:rPr>
          <w:rFonts w:ascii="宋体" w:hAnsi="宋体"/>
          <w:sz w:val="24"/>
          <w:szCs w:val="24"/>
        </w:rPr>
        <w:t>计入基金财产；</w:t>
      </w:r>
      <w:r>
        <w:rPr>
          <w:rFonts w:ascii="宋体" w:hAnsi="宋体" w:hint="eastAsia"/>
          <w:sz w:val="24"/>
          <w:szCs w:val="24"/>
        </w:rPr>
        <w:t>份额转换比例按截位法精确到小数点后第</w:t>
      </w:r>
      <w:r>
        <w:rPr>
          <w:rFonts w:ascii="宋体" w:hAnsi="宋体"/>
          <w:sz w:val="24"/>
          <w:szCs w:val="24"/>
        </w:rPr>
        <w:t>9</w:t>
      </w:r>
      <w:r>
        <w:rPr>
          <w:rFonts w:ascii="宋体" w:hAnsi="宋体" w:hint="eastAsia"/>
          <w:sz w:val="24"/>
          <w:szCs w:val="24"/>
        </w:rPr>
        <w:t>位，小数点后第9位以后的部分舍去。具体结果如下表所示：</w:t>
      </w:r>
    </w:p>
    <w:tbl>
      <w:tblPr>
        <w:tblW w:w="829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699"/>
        <w:gridCol w:w="1418"/>
        <w:gridCol w:w="1996"/>
        <w:gridCol w:w="1907"/>
      </w:tblGrid>
      <w:tr w:rsidR="00C13DE2">
        <w:trPr>
          <w:trHeight w:val="678"/>
          <w:jc w:val="center"/>
        </w:trPr>
        <w:tc>
          <w:tcPr>
            <w:tcW w:w="1271" w:type="dxa"/>
            <w:shd w:val="clear" w:color="auto" w:fill="FFFFFF"/>
            <w:vAlign w:val="center"/>
          </w:tcPr>
          <w:p w:rsidR="00C13DE2" w:rsidRDefault="00C13DE2">
            <w:pPr>
              <w:widowControl/>
              <w:jc w:val="center"/>
              <w:rPr>
                <w:rFonts w:ascii="宋体" w:hAnsi="宋体" w:cs="宋体"/>
                <w:kern w:val="0"/>
                <w:szCs w:val="21"/>
              </w:rPr>
            </w:pPr>
            <w:r>
              <w:rPr>
                <w:rFonts w:ascii="宋体" w:hAnsi="宋体" w:cs="宋体" w:hint="eastAsia"/>
                <w:kern w:val="0"/>
                <w:szCs w:val="21"/>
              </w:rPr>
              <w:t>转换前基金份额名称</w:t>
            </w:r>
          </w:p>
        </w:tc>
        <w:tc>
          <w:tcPr>
            <w:tcW w:w="1699" w:type="dxa"/>
            <w:vAlign w:val="center"/>
          </w:tcPr>
          <w:p w:rsidR="00C13DE2" w:rsidRDefault="00C13DE2">
            <w:pPr>
              <w:widowControl/>
              <w:jc w:val="center"/>
              <w:rPr>
                <w:rFonts w:ascii="宋体" w:hAnsi="宋体" w:cs="宋体"/>
                <w:kern w:val="0"/>
                <w:szCs w:val="21"/>
              </w:rPr>
            </w:pPr>
            <w:r>
              <w:rPr>
                <w:rFonts w:ascii="宋体" w:hAnsi="宋体" w:cs="宋体" w:hint="eastAsia"/>
                <w:kern w:val="0"/>
                <w:szCs w:val="21"/>
              </w:rPr>
              <w:t>转换前基金份额数量（份）</w:t>
            </w:r>
          </w:p>
        </w:tc>
        <w:tc>
          <w:tcPr>
            <w:tcW w:w="1418" w:type="dxa"/>
            <w:vAlign w:val="center"/>
          </w:tcPr>
          <w:p w:rsidR="00C13DE2" w:rsidRDefault="00C13DE2">
            <w:pPr>
              <w:widowControl/>
              <w:jc w:val="center"/>
              <w:rPr>
                <w:rFonts w:ascii="宋体" w:hAnsi="宋体" w:cs="宋体"/>
                <w:kern w:val="0"/>
                <w:szCs w:val="21"/>
              </w:rPr>
            </w:pPr>
            <w:r>
              <w:rPr>
                <w:rFonts w:ascii="宋体" w:hAnsi="宋体" w:cs="宋体" w:hint="eastAsia"/>
                <w:kern w:val="0"/>
                <w:szCs w:val="21"/>
              </w:rPr>
              <w:t>转换比例</w:t>
            </w:r>
          </w:p>
        </w:tc>
        <w:tc>
          <w:tcPr>
            <w:tcW w:w="1996" w:type="dxa"/>
            <w:vAlign w:val="center"/>
          </w:tcPr>
          <w:p w:rsidR="00C13DE2" w:rsidRDefault="00C13DE2">
            <w:pPr>
              <w:widowControl/>
              <w:jc w:val="center"/>
              <w:rPr>
                <w:rFonts w:ascii="宋体" w:hAnsi="宋体" w:cs="宋体" w:hint="eastAsia"/>
                <w:kern w:val="0"/>
                <w:szCs w:val="21"/>
              </w:rPr>
            </w:pPr>
            <w:r>
              <w:rPr>
                <w:rFonts w:ascii="宋体" w:hAnsi="宋体" w:cs="宋体" w:hint="eastAsia"/>
                <w:kern w:val="0"/>
                <w:szCs w:val="21"/>
              </w:rPr>
              <w:t>转换后</w:t>
            </w:r>
            <w:r>
              <w:rPr>
                <w:rFonts w:ascii="宋体" w:hAnsi="宋体" w:cs="宋体"/>
                <w:kern w:val="0"/>
                <w:szCs w:val="21"/>
              </w:rPr>
              <w:t>基金份额名称</w:t>
            </w:r>
          </w:p>
        </w:tc>
        <w:tc>
          <w:tcPr>
            <w:tcW w:w="1907" w:type="dxa"/>
            <w:vAlign w:val="center"/>
          </w:tcPr>
          <w:p w:rsidR="00C13DE2" w:rsidRDefault="00C13DE2">
            <w:pPr>
              <w:widowControl/>
              <w:jc w:val="center"/>
              <w:rPr>
                <w:rFonts w:ascii="宋体" w:hAnsi="宋体" w:cs="宋体" w:hint="eastAsia"/>
                <w:kern w:val="0"/>
                <w:szCs w:val="21"/>
              </w:rPr>
            </w:pPr>
            <w:r>
              <w:rPr>
                <w:rFonts w:ascii="宋体" w:hAnsi="宋体" w:cs="宋体" w:hint="eastAsia"/>
                <w:kern w:val="0"/>
                <w:szCs w:val="21"/>
              </w:rPr>
              <w:t>转换后</w:t>
            </w:r>
            <w:r>
              <w:rPr>
                <w:rFonts w:ascii="宋体" w:hAnsi="宋体" w:cs="宋体"/>
                <w:kern w:val="0"/>
                <w:szCs w:val="21"/>
              </w:rPr>
              <w:t>基金份额数量（</w:t>
            </w:r>
            <w:r>
              <w:rPr>
                <w:rFonts w:ascii="宋体" w:hAnsi="宋体" w:cs="宋体" w:hint="eastAsia"/>
                <w:kern w:val="0"/>
                <w:szCs w:val="21"/>
              </w:rPr>
              <w:t>份</w:t>
            </w:r>
            <w:r>
              <w:rPr>
                <w:rFonts w:ascii="宋体" w:hAnsi="宋体" w:cs="宋体"/>
                <w:kern w:val="0"/>
                <w:szCs w:val="21"/>
              </w:rPr>
              <w:t>）</w:t>
            </w:r>
          </w:p>
        </w:tc>
      </w:tr>
      <w:tr w:rsidR="00C13DE2">
        <w:trPr>
          <w:trHeight w:val="334"/>
          <w:jc w:val="center"/>
        </w:trPr>
        <w:tc>
          <w:tcPr>
            <w:tcW w:w="1271" w:type="dxa"/>
            <w:shd w:val="clear" w:color="auto" w:fill="FFFFFF"/>
            <w:vAlign w:val="center"/>
          </w:tcPr>
          <w:p w:rsidR="00C13DE2" w:rsidRDefault="00C13DE2">
            <w:pPr>
              <w:widowControl/>
              <w:jc w:val="center"/>
              <w:rPr>
                <w:rFonts w:ascii="宋体" w:hAnsi="宋体" w:cs="宋体"/>
                <w:kern w:val="0"/>
                <w:szCs w:val="21"/>
              </w:rPr>
            </w:pPr>
            <w:r>
              <w:rPr>
                <w:rFonts w:ascii="宋体" w:hAnsi="宋体" w:cs="宋体" w:hint="eastAsia"/>
                <w:kern w:val="0"/>
                <w:szCs w:val="21"/>
              </w:rPr>
              <w:t>银华300份额场外份额</w:t>
            </w:r>
          </w:p>
        </w:tc>
        <w:tc>
          <w:tcPr>
            <w:tcW w:w="1699" w:type="dxa"/>
            <w:vAlign w:val="center"/>
          </w:tcPr>
          <w:p w:rsidR="00010A77" w:rsidRDefault="00010A77" w:rsidP="00010A77">
            <w:pPr>
              <w:widowControl/>
              <w:jc w:val="right"/>
              <w:rPr>
                <w:kern w:val="0"/>
                <w:sz w:val="20"/>
                <w:szCs w:val="20"/>
              </w:rPr>
            </w:pPr>
            <w:r>
              <w:rPr>
                <w:rFonts w:hint="eastAsia"/>
                <w:sz w:val="20"/>
                <w:szCs w:val="20"/>
              </w:rPr>
              <w:t xml:space="preserve">65,165,266.79 </w:t>
            </w:r>
          </w:p>
          <w:p w:rsidR="00C13DE2" w:rsidRDefault="00C13DE2">
            <w:pPr>
              <w:widowControl/>
              <w:jc w:val="right"/>
              <w:rPr>
                <w:rFonts w:ascii="宋体" w:hAnsi="宋体" w:cs="宋体"/>
                <w:kern w:val="0"/>
                <w:szCs w:val="21"/>
              </w:rPr>
            </w:pPr>
          </w:p>
        </w:tc>
        <w:tc>
          <w:tcPr>
            <w:tcW w:w="1418" w:type="dxa"/>
            <w:vAlign w:val="center"/>
          </w:tcPr>
          <w:p w:rsidR="00010A77" w:rsidRDefault="00010A77" w:rsidP="00010A77">
            <w:pPr>
              <w:widowControl/>
              <w:jc w:val="right"/>
              <w:rPr>
                <w:kern w:val="0"/>
                <w:sz w:val="20"/>
                <w:szCs w:val="20"/>
              </w:rPr>
            </w:pPr>
            <w:r>
              <w:rPr>
                <w:rFonts w:hint="eastAsia"/>
                <w:sz w:val="20"/>
                <w:szCs w:val="20"/>
              </w:rPr>
              <w:t xml:space="preserve">1.307322037 </w:t>
            </w:r>
          </w:p>
          <w:p w:rsidR="00C13DE2" w:rsidRDefault="00C13DE2">
            <w:pPr>
              <w:widowControl/>
              <w:jc w:val="right"/>
              <w:rPr>
                <w:rFonts w:ascii="宋体" w:hAnsi="宋体" w:cs="宋体"/>
                <w:kern w:val="0"/>
                <w:szCs w:val="21"/>
              </w:rPr>
            </w:pPr>
          </w:p>
        </w:tc>
        <w:tc>
          <w:tcPr>
            <w:tcW w:w="1996" w:type="dxa"/>
          </w:tcPr>
          <w:p w:rsidR="00C13DE2" w:rsidRDefault="00C13DE2">
            <w:pPr>
              <w:widowControl/>
              <w:jc w:val="center"/>
              <w:rPr>
                <w:rFonts w:ascii="宋体" w:hAnsi="宋体" w:cs="宋体"/>
                <w:kern w:val="0"/>
                <w:szCs w:val="21"/>
              </w:rPr>
            </w:pPr>
            <w:r>
              <w:rPr>
                <w:rFonts w:ascii="宋体" w:hAnsi="宋体" w:cs="宋体" w:hint="eastAsia"/>
                <w:kern w:val="0"/>
                <w:szCs w:val="21"/>
              </w:rPr>
              <w:t>银华沪深300指数证券投资基金（LOF）场外份额</w:t>
            </w:r>
          </w:p>
        </w:tc>
        <w:tc>
          <w:tcPr>
            <w:tcW w:w="1907" w:type="dxa"/>
            <w:vAlign w:val="center"/>
          </w:tcPr>
          <w:p w:rsidR="00010A77" w:rsidRDefault="00010A77" w:rsidP="00010A77">
            <w:pPr>
              <w:widowControl/>
              <w:jc w:val="center"/>
              <w:rPr>
                <w:kern w:val="0"/>
                <w:sz w:val="20"/>
                <w:szCs w:val="20"/>
              </w:rPr>
            </w:pPr>
            <w:r>
              <w:rPr>
                <w:rFonts w:hint="eastAsia"/>
                <w:sz w:val="20"/>
                <w:szCs w:val="20"/>
              </w:rPr>
              <w:t xml:space="preserve">85,191,989.32 </w:t>
            </w:r>
          </w:p>
          <w:p w:rsidR="00C13DE2" w:rsidRDefault="00C13DE2">
            <w:pPr>
              <w:widowControl/>
              <w:jc w:val="center"/>
              <w:rPr>
                <w:rFonts w:ascii="宋体" w:hAnsi="宋体" w:cs="宋体" w:hint="eastAsia"/>
                <w:kern w:val="0"/>
                <w:szCs w:val="21"/>
              </w:rPr>
            </w:pPr>
            <w:r>
              <w:rPr>
                <w:rFonts w:ascii="宋体" w:hAnsi="宋体" w:cs="宋体" w:hint="eastAsia"/>
                <w:kern w:val="0"/>
                <w:szCs w:val="21"/>
              </w:rPr>
              <w:t>（</w:t>
            </w:r>
            <w:r>
              <w:rPr>
                <w:rFonts w:ascii="宋体" w:hAnsi="宋体" w:cs="宋体"/>
                <w:kern w:val="0"/>
                <w:szCs w:val="21"/>
              </w:rPr>
              <w:t>注4</w:t>
            </w:r>
            <w:r>
              <w:rPr>
                <w:rFonts w:ascii="宋体" w:hAnsi="宋体" w:cs="宋体" w:hint="eastAsia"/>
                <w:kern w:val="0"/>
                <w:szCs w:val="21"/>
              </w:rPr>
              <w:t>）</w:t>
            </w:r>
          </w:p>
        </w:tc>
      </w:tr>
      <w:tr w:rsidR="00C13DE2">
        <w:trPr>
          <w:trHeight w:val="334"/>
          <w:jc w:val="center"/>
        </w:trPr>
        <w:tc>
          <w:tcPr>
            <w:tcW w:w="1271" w:type="dxa"/>
            <w:shd w:val="clear" w:color="auto" w:fill="FFFFFF"/>
            <w:vAlign w:val="center"/>
          </w:tcPr>
          <w:p w:rsidR="00C13DE2" w:rsidRDefault="00C13DE2">
            <w:pPr>
              <w:widowControl/>
              <w:jc w:val="center"/>
              <w:rPr>
                <w:rFonts w:ascii="宋体" w:hAnsi="宋体" w:cs="宋体"/>
                <w:kern w:val="0"/>
                <w:szCs w:val="21"/>
              </w:rPr>
            </w:pPr>
            <w:r>
              <w:rPr>
                <w:rFonts w:ascii="宋体" w:hAnsi="宋体" w:cs="宋体" w:hint="eastAsia"/>
                <w:kern w:val="0"/>
                <w:szCs w:val="21"/>
              </w:rPr>
              <w:t>银华300份额场内份额</w:t>
            </w:r>
          </w:p>
        </w:tc>
        <w:tc>
          <w:tcPr>
            <w:tcW w:w="1699" w:type="dxa"/>
            <w:vAlign w:val="center"/>
          </w:tcPr>
          <w:p w:rsidR="00010A77" w:rsidRDefault="00010A77" w:rsidP="00010A77">
            <w:pPr>
              <w:widowControl/>
              <w:jc w:val="right"/>
              <w:rPr>
                <w:kern w:val="0"/>
                <w:sz w:val="20"/>
                <w:szCs w:val="20"/>
              </w:rPr>
            </w:pPr>
            <w:r>
              <w:rPr>
                <w:rFonts w:hint="eastAsia"/>
                <w:sz w:val="20"/>
                <w:szCs w:val="20"/>
              </w:rPr>
              <w:t xml:space="preserve">8,363,590.00 </w:t>
            </w:r>
          </w:p>
          <w:p w:rsidR="00C13DE2" w:rsidRDefault="00C13DE2">
            <w:pPr>
              <w:widowControl/>
              <w:jc w:val="right"/>
              <w:rPr>
                <w:rFonts w:ascii="宋体" w:hAnsi="宋体" w:cs="宋体"/>
                <w:kern w:val="0"/>
                <w:szCs w:val="21"/>
              </w:rPr>
            </w:pPr>
          </w:p>
        </w:tc>
        <w:tc>
          <w:tcPr>
            <w:tcW w:w="1418" w:type="dxa"/>
            <w:vAlign w:val="center"/>
          </w:tcPr>
          <w:p w:rsidR="00010A77" w:rsidRDefault="00010A77" w:rsidP="00010A77">
            <w:pPr>
              <w:widowControl/>
              <w:jc w:val="right"/>
              <w:rPr>
                <w:kern w:val="0"/>
                <w:sz w:val="20"/>
                <w:szCs w:val="20"/>
              </w:rPr>
            </w:pPr>
            <w:r>
              <w:rPr>
                <w:rFonts w:hint="eastAsia"/>
                <w:sz w:val="20"/>
                <w:szCs w:val="20"/>
              </w:rPr>
              <w:t xml:space="preserve">1.307322037 </w:t>
            </w:r>
          </w:p>
          <w:p w:rsidR="00C13DE2" w:rsidRDefault="00C13DE2">
            <w:pPr>
              <w:widowControl/>
              <w:jc w:val="right"/>
              <w:rPr>
                <w:rFonts w:ascii="宋体" w:hAnsi="宋体" w:cs="宋体"/>
                <w:kern w:val="0"/>
                <w:szCs w:val="21"/>
              </w:rPr>
            </w:pPr>
          </w:p>
        </w:tc>
        <w:tc>
          <w:tcPr>
            <w:tcW w:w="1996" w:type="dxa"/>
          </w:tcPr>
          <w:p w:rsidR="00C13DE2" w:rsidRDefault="00C13DE2">
            <w:pPr>
              <w:widowControl/>
              <w:jc w:val="center"/>
              <w:rPr>
                <w:rFonts w:ascii="宋体" w:hAnsi="宋体" w:cs="宋体"/>
                <w:kern w:val="0"/>
                <w:szCs w:val="21"/>
              </w:rPr>
            </w:pPr>
            <w:r>
              <w:rPr>
                <w:rFonts w:ascii="宋体" w:hAnsi="宋体" w:cs="宋体" w:hint="eastAsia"/>
                <w:kern w:val="0"/>
                <w:szCs w:val="21"/>
              </w:rPr>
              <w:t>银华沪深300指数证券投资基金（LOF）场内份额</w:t>
            </w:r>
          </w:p>
        </w:tc>
        <w:tc>
          <w:tcPr>
            <w:tcW w:w="1907" w:type="dxa"/>
            <w:vAlign w:val="center"/>
          </w:tcPr>
          <w:p w:rsidR="00010A77" w:rsidRDefault="00010A77" w:rsidP="00010A77">
            <w:pPr>
              <w:widowControl/>
              <w:jc w:val="center"/>
              <w:rPr>
                <w:kern w:val="0"/>
                <w:sz w:val="20"/>
                <w:szCs w:val="20"/>
              </w:rPr>
            </w:pPr>
            <w:r>
              <w:rPr>
                <w:rFonts w:hint="eastAsia"/>
                <w:sz w:val="20"/>
                <w:szCs w:val="20"/>
              </w:rPr>
              <w:t xml:space="preserve">10,933,905.00 </w:t>
            </w:r>
          </w:p>
          <w:p w:rsidR="00C13DE2" w:rsidRDefault="00C13DE2">
            <w:pPr>
              <w:widowControl/>
              <w:jc w:val="center"/>
              <w:rPr>
                <w:rFonts w:ascii="宋体" w:hAnsi="宋体" w:cs="宋体" w:hint="eastAsia"/>
                <w:kern w:val="0"/>
                <w:szCs w:val="21"/>
              </w:rPr>
            </w:pPr>
            <w:r>
              <w:rPr>
                <w:rFonts w:ascii="宋体" w:hAnsi="宋体" w:cs="宋体" w:hint="eastAsia"/>
                <w:kern w:val="0"/>
                <w:szCs w:val="21"/>
              </w:rPr>
              <w:t>（</w:t>
            </w:r>
            <w:r>
              <w:rPr>
                <w:rFonts w:ascii="宋体" w:hAnsi="宋体" w:cs="宋体"/>
                <w:kern w:val="0"/>
                <w:szCs w:val="21"/>
              </w:rPr>
              <w:t>注5</w:t>
            </w:r>
            <w:r>
              <w:rPr>
                <w:rFonts w:ascii="宋体" w:hAnsi="宋体" w:cs="宋体" w:hint="eastAsia"/>
                <w:kern w:val="0"/>
                <w:szCs w:val="21"/>
              </w:rPr>
              <w:t>）</w:t>
            </w:r>
          </w:p>
        </w:tc>
      </w:tr>
    </w:tbl>
    <w:p w:rsidR="00C13DE2" w:rsidRDefault="00C13DE2" w:rsidP="00751021">
      <w:pPr>
        <w:adjustRightInd w:val="0"/>
        <w:snapToGrid w:val="0"/>
        <w:spacing w:line="360" w:lineRule="auto"/>
        <w:ind w:firstLineChars="200" w:firstLine="420"/>
        <w:rPr>
          <w:rFonts w:ascii="宋体" w:hAnsi="宋体" w:hint="eastAsia"/>
          <w:szCs w:val="21"/>
        </w:rPr>
      </w:pPr>
      <w:r>
        <w:rPr>
          <w:rFonts w:ascii="宋体" w:hAnsi="宋体" w:hint="eastAsia"/>
          <w:szCs w:val="21"/>
        </w:rPr>
        <w:lastRenderedPageBreak/>
        <w:t>注</w:t>
      </w:r>
      <w:r>
        <w:rPr>
          <w:rFonts w:ascii="宋体" w:hAnsi="宋体"/>
          <w:szCs w:val="21"/>
        </w:rPr>
        <w:t>4</w:t>
      </w:r>
      <w:r>
        <w:rPr>
          <w:rFonts w:ascii="宋体" w:hAnsi="宋体" w:hint="eastAsia"/>
          <w:szCs w:val="21"/>
        </w:rPr>
        <w:t>：此转换后基金份额数量指银华300份额场外份额转换为</w:t>
      </w:r>
      <w:r>
        <w:rPr>
          <w:rFonts w:ascii="宋体" w:hAnsi="宋体" w:cs="宋体" w:hint="eastAsia"/>
          <w:kern w:val="0"/>
          <w:szCs w:val="21"/>
        </w:rPr>
        <w:t>银华沪深300指数证券投资基金（LOF）</w:t>
      </w:r>
      <w:r>
        <w:rPr>
          <w:rFonts w:ascii="宋体" w:hAnsi="宋体" w:hint="eastAsia"/>
          <w:szCs w:val="21"/>
        </w:rPr>
        <w:t>场外份额的份额数量。</w:t>
      </w:r>
    </w:p>
    <w:p w:rsidR="00C13DE2" w:rsidRDefault="00C13DE2" w:rsidP="00751021">
      <w:pPr>
        <w:adjustRightInd w:val="0"/>
        <w:snapToGrid w:val="0"/>
        <w:spacing w:line="360" w:lineRule="auto"/>
        <w:ind w:firstLineChars="200" w:firstLine="420"/>
        <w:rPr>
          <w:rFonts w:ascii="宋体" w:hAnsi="宋体"/>
          <w:szCs w:val="21"/>
        </w:rPr>
      </w:pPr>
      <w:r>
        <w:rPr>
          <w:rFonts w:ascii="宋体" w:hAnsi="宋体" w:hint="eastAsia"/>
          <w:szCs w:val="21"/>
        </w:rPr>
        <w:t>注</w:t>
      </w:r>
      <w:r>
        <w:rPr>
          <w:rFonts w:ascii="宋体" w:hAnsi="宋体"/>
          <w:szCs w:val="21"/>
        </w:rPr>
        <w:t>5</w:t>
      </w:r>
      <w:r>
        <w:rPr>
          <w:rFonts w:ascii="宋体" w:hAnsi="宋体" w:hint="eastAsia"/>
          <w:szCs w:val="21"/>
        </w:rPr>
        <w:t>：此转换后基金份额数量指银华300份额场内份额转换为</w:t>
      </w:r>
      <w:r>
        <w:rPr>
          <w:rFonts w:ascii="宋体" w:hAnsi="宋体" w:cs="宋体" w:hint="eastAsia"/>
          <w:kern w:val="0"/>
          <w:szCs w:val="21"/>
        </w:rPr>
        <w:t>银华沪深300指数证券投资基金（LOF）</w:t>
      </w:r>
      <w:r>
        <w:rPr>
          <w:rFonts w:ascii="宋体" w:hAnsi="宋体" w:hint="eastAsia"/>
          <w:szCs w:val="21"/>
        </w:rPr>
        <w:t>场内份额的份额数量。</w:t>
      </w:r>
    </w:p>
    <w:p w:rsidR="00C13DE2" w:rsidRDefault="00C13DE2" w:rsidP="00751021">
      <w:pPr>
        <w:adjustRightInd w:val="0"/>
        <w:snapToGrid w:val="0"/>
        <w:spacing w:line="360" w:lineRule="auto"/>
        <w:ind w:firstLineChars="200" w:firstLine="420"/>
        <w:rPr>
          <w:rFonts w:ascii="宋体" w:hAnsi="宋体" w:hint="eastAsia"/>
          <w:szCs w:val="21"/>
        </w:rPr>
      </w:pPr>
      <w:r>
        <w:rPr>
          <w:rFonts w:ascii="宋体" w:hAnsi="宋体" w:hint="eastAsia"/>
          <w:szCs w:val="21"/>
        </w:rPr>
        <w:t>注</w:t>
      </w:r>
      <w:r>
        <w:rPr>
          <w:rFonts w:ascii="宋体" w:hAnsi="宋体"/>
          <w:szCs w:val="21"/>
        </w:rPr>
        <w:t>6</w:t>
      </w:r>
      <w:r>
        <w:rPr>
          <w:rFonts w:ascii="宋体" w:hAnsi="宋体" w:hint="eastAsia"/>
          <w:szCs w:val="21"/>
        </w:rPr>
        <w:t>：待中国证券登记结算有限责任公司完成基金份额变更登记后，基金份额持有人可查询经登记机构确认的转换后的基金份额。转换完成后，基金份额持有人持有的基金份额数将按照转换规则相应增加或减少。由于基金份额数取整或截位计算产生的误差，基金份额持有人将面临所持基金份额数量减少的风险，其中对于持有份额数较少的银华300A份额、银华300B份额、银华300份额场内份额的持有人，将面临所持有的基金份额转换后份额数不足一份而被计入基金财产的风险。</w:t>
      </w:r>
    </w:p>
    <w:p w:rsidR="00C13DE2" w:rsidRDefault="00C13DE2">
      <w:pPr>
        <w:spacing w:line="360" w:lineRule="auto"/>
        <w:ind w:firstLineChars="200" w:firstLine="480"/>
        <w:rPr>
          <w:rFonts w:ascii="宋体" w:hAnsi="宋体"/>
          <w:sz w:val="24"/>
          <w:szCs w:val="24"/>
        </w:rPr>
      </w:pPr>
      <w:r>
        <w:rPr>
          <w:rFonts w:ascii="宋体" w:hAnsi="宋体" w:hint="eastAsia"/>
          <w:sz w:val="24"/>
          <w:szCs w:val="24"/>
        </w:rPr>
        <w:t>二、重要提示</w:t>
      </w:r>
    </w:p>
    <w:p w:rsidR="00C13DE2" w:rsidRDefault="00C13DE2">
      <w:pPr>
        <w:spacing w:line="360" w:lineRule="auto"/>
        <w:ind w:firstLineChars="200" w:firstLine="480"/>
        <w:rPr>
          <w:rFonts w:ascii="宋体" w:hAnsi="宋体"/>
          <w:sz w:val="24"/>
          <w:szCs w:val="24"/>
        </w:rPr>
      </w:pPr>
      <w:r>
        <w:rPr>
          <w:rFonts w:ascii="宋体" w:hAnsi="宋体" w:hint="eastAsia"/>
          <w:sz w:val="24"/>
          <w:szCs w:val="24"/>
        </w:rPr>
        <w:t>（一）本次转型前本基金基金份额的分级设置决定了不同份额类别具有不同的风险收益特征，其中银华300A份额具有低风险、低预期收益的特征，银华300B份额具有高风险、高预期收益的特征。转型后的银华沪深300指数证券投资基金（LOF）预期风险和预期收益水平高于债券型基金和货币市场基金，且不再设置风险收益特征不同的两类子份额。</w:t>
      </w:r>
    </w:p>
    <w:p w:rsidR="00C13DE2" w:rsidRDefault="00C13DE2">
      <w:pPr>
        <w:spacing w:line="360" w:lineRule="auto"/>
        <w:ind w:firstLineChars="200" w:firstLine="480"/>
        <w:rPr>
          <w:rFonts w:ascii="宋体" w:hAnsi="宋体" w:hint="eastAsia"/>
          <w:sz w:val="24"/>
          <w:szCs w:val="24"/>
        </w:rPr>
      </w:pPr>
      <w:r>
        <w:rPr>
          <w:rFonts w:ascii="宋体" w:hAnsi="宋体" w:hint="eastAsia"/>
          <w:sz w:val="24"/>
          <w:szCs w:val="24"/>
        </w:rPr>
        <w:t>转型后，由于基金运作方式、投资范围等发生较大变化，影响基金的风险收益特征。转型后，原银华300A份额持有人所持有的基金份额的预期风险水平可</w:t>
      </w:r>
      <w:r w:rsidRPr="00424E71">
        <w:rPr>
          <w:rFonts w:ascii="宋体" w:hAnsi="宋体" w:hint="eastAsia"/>
          <w:sz w:val="24"/>
          <w:szCs w:val="24"/>
        </w:rPr>
        <w:t>能提高，原银华300B</w:t>
      </w:r>
      <w:r w:rsidRPr="00751021">
        <w:rPr>
          <w:rFonts w:ascii="宋体" w:hAnsi="宋体" w:hint="eastAsia"/>
          <w:sz w:val="24"/>
          <w:szCs w:val="24"/>
        </w:rPr>
        <w:t>份额持有人所持有的基金份额的预期风险水平可能降低。因此存在基金转型前后产品风险等级不一致的可能。同时，不同销售机构采用的产品风险等级评价方法不同。</w:t>
      </w:r>
    </w:p>
    <w:p w:rsidR="00C13DE2" w:rsidRDefault="00C13DE2">
      <w:pPr>
        <w:spacing w:line="360" w:lineRule="auto"/>
        <w:ind w:firstLineChars="200" w:firstLine="480"/>
        <w:rPr>
          <w:rFonts w:ascii="宋体" w:hAnsi="宋体"/>
          <w:sz w:val="24"/>
          <w:szCs w:val="24"/>
        </w:rPr>
      </w:pPr>
      <w:r>
        <w:rPr>
          <w:rFonts w:ascii="宋体" w:hAnsi="宋体"/>
          <w:sz w:val="24"/>
          <w:szCs w:val="24"/>
        </w:rPr>
        <w:t>（二）</w:t>
      </w:r>
      <w:r>
        <w:rPr>
          <w:rFonts w:ascii="宋体" w:hAnsi="宋体" w:hint="eastAsia"/>
          <w:sz w:val="24"/>
          <w:szCs w:val="24"/>
        </w:rPr>
        <w:t>本次基金转型完成后</w:t>
      </w:r>
      <w:r>
        <w:rPr>
          <w:rFonts w:ascii="宋体" w:hAnsi="宋体"/>
          <w:sz w:val="24"/>
          <w:szCs w:val="24"/>
        </w:rPr>
        <w:t>，</w:t>
      </w:r>
      <w:r>
        <w:rPr>
          <w:rFonts w:ascii="宋体" w:hAnsi="宋体" w:hint="eastAsia"/>
          <w:sz w:val="24"/>
          <w:szCs w:val="24"/>
        </w:rPr>
        <w:t>按照如下规则确定基金份额持有人所持有基金份额的</w:t>
      </w:r>
      <w:r>
        <w:rPr>
          <w:rFonts w:ascii="宋体" w:hAnsi="宋体"/>
          <w:sz w:val="24"/>
          <w:szCs w:val="24"/>
        </w:rPr>
        <w:t>持有期限</w:t>
      </w:r>
      <w:r>
        <w:rPr>
          <w:rFonts w:ascii="宋体" w:hAnsi="宋体" w:hint="eastAsia"/>
          <w:sz w:val="24"/>
          <w:szCs w:val="24"/>
        </w:rPr>
        <w:t>，进而据以确定其在赎回时应适用的赎回费率</w:t>
      </w:r>
      <w:r>
        <w:rPr>
          <w:rFonts w:ascii="宋体" w:hAnsi="宋体"/>
          <w:sz w:val="24"/>
          <w:szCs w:val="24"/>
        </w:rPr>
        <w:t>：</w:t>
      </w:r>
    </w:p>
    <w:p w:rsidR="00C13DE2" w:rsidRDefault="00C13DE2">
      <w:pPr>
        <w:spacing w:line="360" w:lineRule="auto"/>
        <w:ind w:firstLineChars="200" w:firstLine="480"/>
        <w:rPr>
          <w:rFonts w:ascii="宋体" w:hAnsi="宋体" w:hint="eastAsia"/>
          <w:sz w:val="24"/>
          <w:szCs w:val="24"/>
        </w:rPr>
      </w:pPr>
      <w:r>
        <w:rPr>
          <w:rFonts w:ascii="宋体" w:hAnsi="宋体" w:hint="eastAsia"/>
          <w:sz w:val="24"/>
          <w:szCs w:val="24"/>
        </w:rPr>
        <w:t>1、</w:t>
      </w:r>
      <w:r w:rsidRPr="00424E71">
        <w:rPr>
          <w:rFonts w:ascii="宋体" w:hAnsi="宋体"/>
          <w:sz w:val="24"/>
          <w:szCs w:val="24"/>
        </w:rPr>
        <w:t>原持有</w:t>
      </w:r>
      <w:r w:rsidRPr="00424E71">
        <w:rPr>
          <w:rFonts w:ascii="宋体" w:hAnsi="宋体" w:hint="eastAsia"/>
          <w:sz w:val="24"/>
          <w:szCs w:val="24"/>
        </w:rPr>
        <w:t>银华300</w:t>
      </w:r>
      <w:r w:rsidRPr="00424E71">
        <w:rPr>
          <w:rFonts w:ascii="宋体" w:hAnsi="宋体"/>
          <w:sz w:val="24"/>
          <w:szCs w:val="24"/>
        </w:rPr>
        <w:t>份额的持有期计</w:t>
      </w:r>
      <w:r w:rsidRPr="00751021">
        <w:rPr>
          <w:rFonts w:ascii="宋体" w:hAnsi="宋体" w:hint="eastAsia"/>
          <w:sz w:val="24"/>
          <w:szCs w:val="24"/>
        </w:rPr>
        <w:t>入持有银华沪深300指数证券投资基金（LOF）基金份额的持有期限。</w:t>
      </w:r>
    </w:p>
    <w:p w:rsidR="00C13DE2" w:rsidRDefault="00C13DE2">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原持有</w:t>
      </w:r>
      <w:r>
        <w:rPr>
          <w:rFonts w:ascii="宋体" w:hAnsi="宋体" w:hint="eastAsia"/>
          <w:sz w:val="24"/>
          <w:szCs w:val="24"/>
        </w:rPr>
        <w:t>银华300</w:t>
      </w:r>
      <w:r>
        <w:rPr>
          <w:rFonts w:ascii="宋体" w:hAnsi="宋体"/>
          <w:sz w:val="24"/>
          <w:szCs w:val="24"/>
        </w:rPr>
        <w:t>A份额、</w:t>
      </w:r>
      <w:r>
        <w:rPr>
          <w:rFonts w:ascii="宋体" w:hAnsi="宋体" w:hint="eastAsia"/>
          <w:sz w:val="24"/>
          <w:szCs w:val="24"/>
        </w:rPr>
        <w:t>银华300</w:t>
      </w:r>
      <w:r>
        <w:rPr>
          <w:rFonts w:ascii="宋体" w:hAnsi="宋体"/>
          <w:sz w:val="24"/>
          <w:szCs w:val="24"/>
        </w:rPr>
        <w:t>B份额</w:t>
      </w:r>
      <w:r>
        <w:rPr>
          <w:rFonts w:ascii="宋体" w:hAnsi="宋体" w:hint="eastAsia"/>
          <w:sz w:val="24"/>
          <w:szCs w:val="24"/>
        </w:rPr>
        <w:t>并继续持有转型后的银华沪深300指数证券投资基金（LOF）</w:t>
      </w:r>
      <w:r>
        <w:rPr>
          <w:rFonts w:ascii="宋体" w:hAnsi="宋体"/>
          <w:sz w:val="24"/>
          <w:szCs w:val="24"/>
        </w:rPr>
        <w:t>的投资者，原持有</w:t>
      </w:r>
      <w:r>
        <w:rPr>
          <w:rFonts w:ascii="宋体" w:hAnsi="宋体" w:hint="eastAsia"/>
          <w:sz w:val="24"/>
          <w:szCs w:val="24"/>
        </w:rPr>
        <w:t>银华300</w:t>
      </w:r>
      <w:r>
        <w:rPr>
          <w:rFonts w:ascii="宋体" w:hAnsi="宋体"/>
          <w:sz w:val="24"/>
          <w:szCs w:val="24"/>
        </w:rPr>
        <w:t>A份额、</w:t>
      </w:r>
      <w:r>
        <w:rPr>
          <w:rFonts w:ascii="宋体" w:hAnsi="宋体" w:hint="eastAsia"/>
          <w:sz w:val="24"/>
          <w:szCs w:val="24"/>
        </w:rPr>
        <w:t>银华300</w:t>
      </w:r>
      <w:r>
        <w:rPr>
          <w:rFonts w:ascii="宋体" w:hAnsi="宋体"/>
          <w:sz w:val="24"/>
          <w:szCs w:val="24"/>
        </w:rPr>
        <w:t>B份额的持有期不计入持有</w:t>
      </w:r>
      <w:r>
        <w:rPr>
          <w:rFonts w:ascii="宋体" w:hAnsi="宋体" w:hint="eastAsia"/>
          <w:sz w:val="24"/>
          <w:szCs w:val="24"/>
        </w:rPr>
        <w:t>银华沪深300指数证券投资基金（LOF）</w:t>
      </w:r>
      <w:r>
        <w:rPr>
          <w:rFonts w:ascii="宋体" w:hAnsi="宋体"/>
          <w:sz w:val="24"/>
          <w:szCs w:val="24"/>
        </w:rPr>
        <w:t>基金份额的持有期限，其持有期</w:t>
      </w:r>
      <w:r>
        <w:rPr>
          <w:rFonts w:ascii="宋体" w:hAnsi="宋体" w:hint="eastAsia"/>
          <w:bCs/>
          <w:sz w:val="24"/>
        </w:rPr>
        <w:t>以登记机构的确认结果为准</w:t>
      </w:r>
      <w:r>
        <w:rPr>
          <w:rFonts w:ascii="宋体" w:hAnsi="宋体"/>
          <w:sz w:val="24"/>
          <w:szCs w:val="24"/>
        </w:rPr>
        <w:t>。</w:t>
      </w:r>
    </w:p>
    <w:p w:rsidR="00C13DE2" w:rsidRDefault="00C13DE2">
      <w:pPr>
        <w:spacing w:line="360" w:lineRule="auto"/>
        <w:ind w:firstLineChars="200" w:firstLine="480"/>
        <w:rPr>
          <w:rFonts w:ascii="宋体" w:hAnsi="宋体" w:hint="eastAsia"/>
          <w:sz w:val="24"/>
          <w:szCs w:val="24"/>
        </w:rPr>
      </w:pPr>
      <w:r>
        <w:rPr>
          <w:rFonts w:ascii="宋体" w:hAnsi="宋体" w:hint="eastAsia"/>
          <w:sz w:val="24"/>
          <w:szCs w:val="24"/>
        </w:rPr>
        <w:t>（三）本基金</w:t>
      </w:r>
      <w:r>
        <w:rPr>
          <w:rFonts w:ascii="宋体" w:hAnsi="宋体"/>
          <w:sz w:val="24"/>
          <w:szCs w:val="24"/>
        </w:rPr>
        <w:t>管理人</w:t>
      </w:r>
      <w:r>
        <w:rPr>
          <w:rFonts w:ascii="宋体" w:hAnsi="宋体" w:hint="eastAsia"/>
          <w:sz w:val="24"/>
          <w:szCs w:val="24"/>
        </w:rPr>
        <w:t>自</w:t>
      </w:r>
      <w:r>
        <w:rPr>
          <w:rFonts w:ascii="宋体" w:hAnsi="宋体"/>
          <w:sz w:val="24"/>
          <w:szCs w:val="24"/>
        </w:rPr>
        <w:t>20</w:t>
      </w:r>
      <w:r>
        <w:rPr>
          <w:rFonts w:ascii="宋体" w:hAnsi="宋体" w:hint="eastAsia"/>
          <w:sz w:val="24"/>
          <w:szCs w:val="24"/>
        </w:rPr>
        <w:t>20</w:t>
      </w:r>
      <w:r>
        <w:rPr>
          <w:rFonts w:ascii="宋体" w:hAnsi="宋体"/>
          <w:sz w:val="24"/>
          <w:szCs w:val="24"/>
        </w:rPr>
        <w:t>年</w:t>
      </w:r>
      <w:r>
        <w:rPr>
          <w:rFonts w:ascii="宋体" w:hAnsi="宋体" w:hint="eastAsia"/>
          <w:sz w:val="24"/>
          <w:szCs w:val="24"/>
        </w:rPr>
        <w:t>12</w:t>
      </w:r>
      <w:r>
        <w:rPr>
          <w:rFonts w:ascii="宋体" w:hAnsi="宋体"/>
          <w:sz w:val="24"/>
          <w:szCs w:val="24"/>
        </w:rPr>
        <w:t>月</w:t>
      </w:r>
      <w:r>
        <w:rPr>
          <w:rFonts w:ascii="宋体" w:hAnsi="宋体" w:hint="eastAsia"/>
          <w:sz w:val="24"/>
          <w:szCs w:val="24"/>
        </w:rPr>
        <w:t>1</w:t>
      </w:r>
      <w:r>
        <w:rPr>
          <w:rFonts w:ascii="宋体" w:hAnsi="宋体"/>
          <w:sz w:val="24"/>
          <w:szCs w:val="24"/>
        </w:rPr>
        <w:t>日起，开始办理</w:t>
      </w:r>
      <w:r>
        <w:rPr>
          <w:rFonts w:ascii="宋体" w:hAnsi="宋体" w:hint="eastAsia"/>
          <w:sz w:val="24"/>
          <w:szCs w:val="24"/>
        </w:rPr>
        <w:t>银华沪深300指数证券投资基金（LOF）</w:t>
      </w:r>
      <w:r>
        <w:rPr>
          <w:rFonts w:ascii="宋体" w:hAnsi="宋体"/>
          <w:sz w:val="24"/>
          <w:szCs w:val="24"/>
        </w:rPr>
        <w:t>的申购、赎回、定期定额投资、转托管等业务，详情敬请投资者查阅</w:t>
      </w:r>
      <w:r>
        <w:rPr>
          <w:rFonts w:ascii="宋体" w:hAnsi="宋体" w:hint="eastAsia"/>
          <w:sz w:val="24"/>
          <w:szCs w:val="24"/>
        </w:rPr>
        <w:t>本</w:t>
      </w:r>
      <w:r>
        <w:rPr>
          <w:rFonts w:ascii="宋体" w:hAnsi="宋体"/>
          <w:sz w:val="24"/>
          <w:szCs w:val="24"/>
        </w:rPr>
        <w:t>基金管理人于20</w:t>
      </w:r>
      <w:r>
        <w:rPr>
          <w:rFonts w:ascii="宋体" w:hAnsi="宋体" w:hint="eastAsia"/>
          <w:sz w:val="24"/>
          <w:szCs w:val="24"/>
        </w:rPr>
        <w:t>20</w:t>
      </w:r>
      <w:r>
        <w:rPr>
          <w:rFonts w:ascii="宋体" w:hAnsi="宋体"/>
          <w:sz w:val="24"/>
          <w:szCs w:val="24"/>
        </w:rPr>
        <w:t>年</w:t>
      </w:r>
      <w:r>
        <w:rPr>
          <w:rFonts w:ascii="宋体" w:hAnsi="宋体" w:hint="eastAsia"/>
          <w:sz w:val="24"/>
          <w:szCs w:val="24"/>
        </w:rPr>
        <w:t>11</w:t>
      </w:r>
      <w:r>
        <w:rPr>
          <w:rFonts w:ascii="宋体" w:hAnsi="宋体"/>
          <w:sz w:val="24"/>
          <w:szCs w:val="24"/>
        </w:rPr>
        <w:t>月</w:t>
      </w:r>
      <w:r>
        <w:rPr>
          <w:rFonts w:ascii="宋体" w:hAnsi="宋体" w:hint="eastAsia"/>
          <w:sz w:val="24"/>
          <w:szCs w:val="24"/>
        </w:rPr>
        <w:t>24</w:t>
      </w:r>
      <w:r>
        <w:rPr>
          <w:rFonts w:ascii="宋体" w:hAnsi="宋体"/>
          <w:sz w:val="24"/>
          <w:szCs w:val="24"/>
        </w:rPr>
        <w:t>日发布的</w:t>
      </w:r>
      <w:r>
        <w:rPr>
          <w:rFonts w:ascii="宋体" w:hAnsi="宋体" w:hint="eastAsia"/>
          <w:sz w:val="24"/>
          <w:szCs w:val="24"/>
        </w:rPr>
        <w:t>《关于银华沪深300指数分级证券投资基金办理基金份额转换业务期间暂停申购、赎回及定期定额投资业务的公告》。</w:t>
      </w:r>
    </w:p>
    <w:p w:rsidR="00C13DE2" w:rsidRDefault="00C13DE2">
      <w:pPr>
        <w:spacing w:line="360" w:lineRule="auto"/>
        <w:ind w:firstLineChars="200" w:firstLine="480"/>
        <w:rPr>
          <w:rFonts w:ascii="宋体" w:hAnsi="宋体" w:hint="eastAsia"/>
          <w:sz w:val="24"/>
          <w:szCs w:val="24"/>
        </w:rPr>
      </w:pPr>
      <w:r>
        <w:rPr>
          <w:rFonts w:ascii="宋体" w:hAnsi="宋体" w:hint="eastAsia"/>
          <w:sz w:val="24"/>
          <w:szCs w:val="24"/>
        </w:rPr>
        <w:t>（四）本</w:t>
      </w:r>
      <w:r>
        <w:rPr>
          <w:rFonts w:ascii="宋体" w:hAnsi="宋体"/>
          <w:sz w:val="24"/>
          <w:szCs w:val="24"/>
        </w:rPr>
        <w:t>基金管理人承诺以诚实信用、勤勉尽责的原则管理和运用基金资产，但不保证基金一定盈利，也不保证最低收益。</w:t>
      </w:r>
      <w:r>
        <w:rPr>
          <w:rFonts w:ascii="宋体" w:hAnsi="宋体" w:hint="eastAsia"/>
          <w:sz w:val="24"/>
          <w:szCs w:val="24"/>
        </w:rPr>
        <w:t>本基金管理人所管理的其他基金的业绩并不构成本基金业绩表现的保证。投资者投资于本基金管理人管理的基金时应认真阅读基金合同、托管协议、招募说明书等文件及相关公告，本基金管理人提醒投资者基金投资的“买者自负”原则，在做出投资决策后，基金运营状况与基金净值变化引致的投资风险，由投资者自行承担。投资有风险，决策须谨慎。</w:t>
      </w:r>
    </w:p>
    <w:p w:rsidR="00C13DE2" w:rsidRDefault="00C13DE2">
      <w:pPr>
        <w:spacing w:line="360" w:lineRule="auto"/>
        <w:ind w:firstLineChars="200" w:firstLine="480"/>
        <w:rPr>
          <w:rFonts w:ascii="宋体" w:hAnsi="宋体"/>
          <w:sz w:val="24"/>
          <w:szCs w:val="24"/>
        </w:rPr>
      </w:pPr>
      <w:r>
        <w:rPr>
          <w:rFonts w:ascii="宋体" w:hAnsi="宋体" w:hint="eastAsia"/>
          <w:sz w:val="24"/>
          <w:szCs w:val="24"/>
        </w:rPr>
        <w:t>（五）本公告解释权归本基金管理人。</w:t>
      </w:r>
    </w:p>
    <w:p w:rsidR="00C13DE2" w:rsidRDefault="00C13DE2">
      <w:pPr>
        <w:spacing w:line="360" w:lineRule="auto"/>
        <w:ind w:firstLineChars="200" w:firstLine="480"/>
        <w:rPr>
          <w:rFonts w:ascii="宋体" w:hAnsi="宋体" w:hint="eastAsia"/>
          <w:sz w:val="24"/>
          <w:szCs w:val="24"/>
        </w:rPr>
      </w:pPr>
      <w:r>
        <w:rPr>
          <w:rFonts w:ascii="宋体" w:hAnsi="宋体" w:hint="eastAsia"/>
          <w:sz w:val="24"/>
          <w:szCs w:val="24"/>
        </w:rPr>
        <w:t>三、</w:t>
      </w:r>
      <w:r>
        <w:rPr>
          <w:rFonts w:ascii="宋体" w:hAnsi="宋体"/>
          <w:sz w:val="24"/>
          <w:szCs w:val="24"/>
        </w:rPr>
        <w:t>咨询方式</w:t>
      </w:r>
    </w:p>
    <w:p w:rsidR="00C13DE2" w:rsidRDefault="00C13DE2">
      <w:pPr>
        <w:spacing w:line="360" w:lineRule="auto"/>
        <w:ind w:firstLineChars="200" w:firstLine="480"/>
        <w:rPr>
          <w:rFonts w:ascii="宋体" w:hAnsi="宋体"/>
          <w:sz w:val="24"/>
          <w:szCs w:val="24"/>
        </w:rPr>
      </w:pPr>
      <w:r>
        <w:rPr>
          <w:rFonts w:ascii="宋体" w:hAnsi="宋体"/>
          <w:sz w:val="24"/>
          <w:szCs w:val="24"/>
        </w:rPr>
        <w:t>投资者</w:t>
      </w:r>
      <w:r>
        <w:rPr>
          <w:rFonts w:ascii="宋体" w:hAnsi="宋体" w:hint="eastAsia"/>
          <w:sz w:val="24"/>
          <w:szCs w:val="24"/>
        </w:rPr>
        <w:t>如有</w:t>
      </w:r>
      <w:r>
        <w:rPr>
          <w:rFonts w:ascii="宋体" w:hAnsi="宋体"/>
          <w:sz w:val="24"/>
          <w:szCs w:val="24"/>
        </w:rPr>
        <w:t>任何疑问，请登陆</w:t>
      </w:r>
      <w:r>
        <w:rPr>
          <w:rFonts w:ascii="宋体" w:hAnsi="宋体" w:hint="eastAsia"/>
          <w:sz w:val="24"/>
          <w:szCs w:val="24"/>
        </w:rPr>
        <w:t>本基金管理人</w:t>
      </w:r>
      <w:r>
        <w:rPr>
          <w:rFonts w:ascii="宋体" w:hAnsi="宋体"/>
          <w:sz w:val="24"/>
          <w:szCs w:val="24"/>
        </w:rPr>
        <w:t>网站</w:t>
      </w:r>
      <w:r>
        <w:rPr>
          <w:rFonts w:ascii="宋体" w:hAnsi="宋体" w:hint="eastAsia"/>
          <w:sz w:val="24"/>
          <w:szCs w:val="24"/>
        </w:rPr>
        <w:t>（</w:t>
      </w:r>
      <w:r>
        <w:rPr>
          <w:rFonts w:ascii="宋体" w:hAnsi="宋体"/>
          <w:sz w:val="24"/>
          <w:szCs w:val="24"/>
        </w:rPr>
        <w:t>www.</w:t>
      </w:r>
      <w:r>
        <w:rPr>
          <w:rFonts w:ascii="宋体" w:hAnsi="宋体" w:hint="eastAsia"/>
          <w:sz w:val="24"/>
          <w:szCs w:val="24"/>
        </w:rPr>
        <w:t>yhfund</w:t>
      </w:r>
      <w:r>
        <w:rPr>
          <w:rFonts w:ascii="宋体" w:hAnsi="宋体"/>
          <w:sz w:val="24"/>
          <w:szCs w:val="24"/>
        </w:rPr>
        <w:t>.com</w:t>
      </w:r>
      <w:r>
        <w:rPr>
          <w:rFonts w:ascii="宋体" w:hAnsi="宋体" w:hint="eastAsia"/>
          <w:sz w:val="24"/>
          <w:szCs w:val="24"/>
        </w:rPr>
        <w:t>.cn）</w:t>
      </w:r>
      <w:r>
        <w:rPr>
          <w:rFonts w:ascii="宋体" w:hAnsi="宋体"/>
          <w:sz w:val="24"/>
          <w:szCs w:val="24"/>
        </w:rPr>
        <w:t>或者拨打</w:t>
      </w:r>
      <w:r>
        <w:rPr>
          <w:rFonts w:ascii="宋体" w:hAnsi="宋体" w:hint="eastAsia"/>
          <w:sz w:val="24"/>
          <w:szCs w:val="24"/>
        </w:rPr>
        <w:t>本基金管理人</w:t>
      </w:r>
      <w:r>
        <w:rPr>
          <w:rFonts w:ascii="宋体" w:hAnsi="宋体"/>
          <w:sz w:val="24"/>
          <w:szCs w:val="24"/>
        </w:rPr>
        <w:t>客服电话</w:t>
      </w:r>
      <w:r>
        <w:rPr>
          <w:rFonts w:ascii="宋体" w:hAnsi="宋体" w:hint="eastAsia"/>
          <w:sz w:val="24"/>
          <w:szCs w:val="24"/>
        </w:rPr>
        <w:t>（</w:t>
      </w:r>
      <w:r>
        <w:rPr>
          <w:rFonts w:ascii="宋体" w:hAnsi="宋体"/>
          <w:sz w:val="24"/>
          <w:szCs w:val="24"/>
        </w:rPr>
        <w:t>400－</w:t>
      </w:r>
      <w:r>
        <w:rPr>
          <w:rFonts w:ascii="宋体" w:hAnsi="宋体" w:hint="eastAsia"/>
          <w:sz w:val="24"/>
          <w:szCs w:val="24"/>
        </w:rPr>
        <w:t>678</w:t>
      </w:r>
      <w:r>
        <w:rPr>
          <w:rFonts w:ascii="宋体" w:hAnsi="宋体"/>
          <w:sz w:val="24"/>
          <w:szCs w:val="24"/>
        </w:rPr>
        <w:t>－</w:t>
      </w:r>
      <w:r>
        <w:rPr>
          <w:rFonts w:ascii="宋体" w:hAnsi="宋体" w:hint="eastAsia"/>
          <w:sz w:val="24"/>
          <w:szCs w:val="24"/>
        </w:rPr>
        <w:t>3333</w:t>
      </w:r>
      <w:r>
        <w:rPr>
          <w:rFonts w:ascii="宋体" w:hAnsi="宋体"/>
          <w:sz w:val="24"/>
          <w:szCs w:val="24"/>
        </w:rPr>
        <w:t>(免长途话费)</w:t>
      </w:r>
      <w:r>
        <w:rPr>
          <w:rFonts w:ascii="宋体" w:hAnsi="宋体" w:hint="eastAsia"/>
          <w:sz w:val="24"/>
          <w:szCs w:val="24"/>
        </w:rPr>
        <w:t>或010-85186558）</w:t>
      </w:r>
      <w:r>
        <w:rPr>
          <w:rFonts w:ascii="宋体" w:hAnsi="宋体"/>
          <w:sz w:val="24"/>
          <w:szCs w:val="24"/>
        </w:rPr>
        <w:t>。</w:t>
      </w:r>
    </w:p>
    <w:p w:rsidR="00C13DE2" w:rsidRDefault="00C13DE2">
      <w:pPr>
        <w:spacing w:line="360" w:lineRule="auto"/>
        <w:ind w:firstLineChars="200" w:firstLine="480"/>
        <w:rPr>
          <w:rFonts w:ascii="宋体" w:hAnsi="宋体"/>
          <w:sz w:val="24"/>
          <w:szCs w:val="24"/>
        </w:rPr>
      </w:pPr>
    </w:p>
    <w:p w:rsidR="00C13DE2" w:rsidRDefault="00C13DE2">
      <w:pPr>
        <w:spacing w:line="360" w:lineRule="auto"/>
        <w:ind w:firstLineChars="200" w:firstLine="480"/>
        <w:rPr>
          <w:rFonts w:ascii="宋体" w:hAnsi="宋体"/>
          <w:sz w:val="24"/>
          <w:szCs w:val="24"/>
        </w:rPr>
      </w:pPr>
      <w:r>
        <w:rPr>
          <w:rFonts w:ascii="宋体" w:hAnsi="宋体" w:hint="eastAsia"/>
          <w:sz w:val="24"/>
          <w:szCs w:val="24"/>
        </w:rPr>
        <w:t>特此公告。</w:t>
      </w:r>
    </w:p>
    <w:p w:rsidR="00C13DE2" w:rsidRDefault="00C13DE2">
      <w:pPr>
        <w:spacing w:line="360" w:lineRule="auto"/>
        <w:ind w:firstLineChars="200" w:firstLine="480"/>
        <w:rPr>
          <w:rFonts w:ascii="宋体" w:hAnsi="宋体" w:hint="eastAsia"/>
          <w:sz w:val="24"/>
          <w:szCs w:val="24"/>
        </w:rPr>
      </w:pPr>
    </w:p>
    <w:p w:rsidR="00C13DE2" w:rsidRDefault="00C13DE2">
      <w:pPr>
        <w:spacing w:line="360" w:lineRule="auto"/>
        <w:ind w:firstLineChars="200" w:firstLine="480"/>
        <w:jc w:val="right"/>
        <w:rPr>
          <w:rFonts w:ascii="宋体" w:hAnsi="宋体"/>
          <w:sz w:val="24"/>
          <w:szCs w:val="24"/>
        </w:rPr>
      </w:pPr>
      <w:r>
        <w:rPr>
          <w:rFonts w:ascii="宋体" w:hAnsi="宋体"/>
          <w:sz w:val="24"/>
          <w:szCs w:val="24"/>
        </w:rPr>
        <w:t>银华基金管理股份有限公司</w:t>
      </w:r>
    </w:p>
    <w:p w:rsidR="00C13DE2" w:rsidRDefault="00C13DE2">
      <w:pPr>
        <w:spacing w:line="360" w:lineRule="auto"/>
        <w:ind w:firstLineChars="200" w:firstLine="480"/>
        <w:jc w:val="right"/>
        <w:rPr>
          <w:rFonts w:ascii="宋体" w:hAnsi="宋体" w:hint="eastAsia"/>
          <w:sz w:val="24"/>
          <w:szCs w:val="24"/>
        </w:rPr>
      </w:pPr>
      <w:r>
        <w:rPr>
          <w:rFonts w:ascii="宋体" w:hAnsi="宋体" w:hint="eastAsia"/>
          <w:sz w:val="24"/>
          <w:szCs w:val="24"/>
        </w:rPr>
        <w:t>2020年12月1日</w:t>
      </w:r>
    </w:p>
    <w:sectPr w:rsidR="00C13DE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5C3" w:rsidRDefault="008E45C3">
      <w:r>
        <w:separator/>
      </w:r>
    </w:p>
  </w:endnote>
  <w:endnote w:type="continuationSeparator" w:id="0">
    <w:p w:rsidR="008E45C3" w:rsidRDefault="008E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E2" w:rsidRDefault="00C13DE2">
    <w:pPr>
      <w:pStyle w:val="a8"/>
      <w:jc w:val="center"/>
    </w:pPr>
    <w:fldSimple w:instr="PAGE   \* MERGEFORMAT">
      <w:r w:rsidR="005F7387" w:rsidRPr="005F7387">
        <w:rPr>
          <w:noProof/>
          <w:lang w:val="zh-CN" w:eastAsia="zh-CN"/>
        </w:rPr>
        <w:t>1</w:t>
      </w:r>
    </w:fldSimple>
  </w:p>
  <w:p w:rsidR="00C13DE2" w:rsidRDefault="00C13D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5C3" w:rsidRDefault="008E45C3">
      <w:r>
        <w:separator/>
      </w:r>
    </w:p>
  </w:footnote>
  <w:footnote w:type="continuationSeparator" w:id="0">
    <w:p w:rsidR="008E45C3" w:rsidRDefault="008E45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195"/>
    <w:rsid w:val="00010A77"/>
    <w:rsid w:val="000243BC"/>
    <w:rsid w:val="000A142C"/>
    <w:rsid w:val="000B4EF6"/>
    <w:rsid w:val="000D5455"/>
    <w:rsid w:val="000F507E"/>
    <w:rsid w:val="001165B8"/>
    <w:rsid w:val="001373F0"/>
    <w:rsid w:val="00161195"/>
    <w:rsid w:val="00177A6B"/>
    <w:rsid w:val="001A066C"/>
    <w:rsid w:val="001B1F48"/>
    <w:rsid w:val="001E2285"/>
    <w:rsid w:val="001E3738"/>
    <w:rsid w:val="0022411E"/>
    <w:rsid w:val="00233F71"/>
    <w:rsid w:val="00244A6C"/>
    <w:rsid w:val="00295937"/>
    <w:rsid w:val="002C1B95"/>
    <w:rsid w:val="002C1C6C"/>
    <w:rsid w:val="002C4446"/>
    <w:rsid w:val="002C45B8"/>
    <w:rsid w:val="002D563A"/>
    <w:rsid w:val="00364E88"/>
    <w:rsid w:val="003B5E9F"/>
    <w:rsid w:val="003C2295"/>
    <w:rsid w:val="003D0F0F"/>
    <w:rsid w:val="003D1FCE"/>
    <w:rsid w:val="003E0805"/>
    <w:rsid w:val="003F73FA"/>
    <w:rsid w:val="00403D88"/>
    <w:rsid w:val="00424E71"/>
    <w:rsid w:val="00430076"/>
    <w:rsid w:val="0043130D"/>
    <w:rsid w:val="004425E6"/>
    <w:rsid w:val="004435E4"/>
    <w:rsid w:val="004437C8"/>
    <w:rsid w:val="0046370E"/>
    <w:rsid w:val="00473264"/>
    <w:rsid w:val="004D61CE"/>
    <w:rsid w:val="004E700E"/>
    <w:rsid w:val="005F7387"/>
    <w:rsid w:val="00667176"/>
    <w:rsid w:val="00696F64"/>
    <w:rsid w:val="006B37FE"/>
    <w:rsid w:val="006B3EA1"/>
    <w:rsid w:val="006D0A9A"/>
    <w:rsid w:val="006D5CD0"/>
    <w:rsid w:val="00724FA9"/>
    <w:rsid w:val="00751021"/>
    <w:rsid w:val="00786DCE"/>
    <w:rsid w:val="007878DE"/>
    <w:rsid w:val="0079791D"/>
    <w:rsid w:val="007A5A5C"/>
    <w:rsid w:val="00833D8B"/>
    <w:rsid w:val="00842058"/>
    <w:rsid w:val="008423D4"/>
    <w:rsid w:val="008440CD"/>
    <w:rsid w:val="0085311F"/>
    <w:rsid w:val="00871559"/>
    <w:rsid w:val="0089394E"/>
    <w:rsid w:val="008B5D69"/>
    <w:rsid w:val="008E45C3"/>
    <w:rsid w:val="008F10FE"/>
    <w:rsid w:val="00906C23"/>
    <w:rsid w:val="00946FD5"/>
    <w:rsid w:val="00950767"/>
    <w:rsid w:val="0096549E"/>
    <w:rsid w:val="00973528"/>
    <w:rsid w:val="009960EF"/>
    <w:rsid w:val="00997869"/>
    <w:rsid w:val="009C5F17"/>
    <w:rsid w:val="00A224D0"/>
    <w:rsid w:val="00A34005"/>
    <w:rsid w:val="00A54BE5"/>
    <w:rsid w:val="00A76B45"/>
    <w:rsid w:val="00AE3CF5"/>
    <w:rsid w:val="00B0388F"/>
    <w:rsid w:val="00B853D1"/>
    <w:rsid w:val="00B974AF"/>
    <w:rsid w:val="00BA37E4"/>
    <w:rsid w:val="00BD6EE4"/>
    <w:rsid w:val="00BE64C3"/>
    <w:rsid w:val="00BE7705"/>
    <w:rsid w:val="00BF4AB2"/>
    <w:rsid w:val="00C13DE2"/>
    <w:rsid w:val="00C140D9"/>
    <w:rsid w:val="00C65BFA"/>
    <w:rsid w:val="00CB4B4B"/>
    <w:rsid w:val="00CB5CE8"/>
    <w:rsid w:val="00CC4826"/>
    <w:rsid w:val="00CD3BB8"/>
    <w:rsid w:val="00CD4E64"/>
    <w:rsid w:val="00CF6B0E"/>
    <w:rsid w:val="00CF7A5B"/>
    <w:rsid w:val="00D14979"/>
    <w:rsid w:val="00D5064B"/>
    <w:rsid w:val="00D72E12"/>
    <w:rsid w:val="00D77A61"/>
    <w:rsid w:val="00DF4504"/>
    <w:rsid w:val="00DF60AD"/>
    <w:rsid w:val="00E44900"/>
    <w:rsid w:val="00E956DE"/>
    <w:rsid w:val="00EA4AA7"/>
    <w:rsid w:val="00ED2533"/>
    <w:rsid w:val="00ED7BB7"/>
    <w:rsid w:val="00EF555D"/>
    <w:rsid w:val="00F057A4"/>
    <w:rsid w:val="00F20701"/>
    <w:rsid w:val="00F51A5B"/>
    <w:rsid w:val="00F643E4"/>
    <w:rsid w:val="00F7583E"/>
    <w:rsid w:val="00F95754"/>
    <w:rsid w:val="00FB461D"/>
    <w:rsid w:val="00FD10A2"/>
    <w:rsid w:val="024C73A1"/>
    <w:rsid w:val="0427224C"/>
    <w:rsid w:val="057F5DB8"/>
    <w:rsid w:val="07826CE0"/>
    <w:rsid w:val="0AD1193E"/>
    <w:rsid w:val="0BC87982"/>
    <w:rsid w:val="0F017EEB"/>
    <w:rsid w:val="1159567C"/>
    <w:rsid w:val="137C5BE5"/>
    <w:rsid w:val="147C0CC9"/>
    <w:rsid w:val="19CA3CA8"/>
    <w:rsid w:val="1B7305FC"/>
    <w:rsid w:val="1B9F79C0"/>
    <w:rsid w:val="1BE86CE2"/>
    <w:rsid w:val="2244331F"/>
    <w:rsid w:val="25E011C9"/>
    <w:rsid w:val="2F7C3B97"/>
    <w:rsid w:val="356A241C"/>
    <w:rsid w:val="3A4734FA"/>
    <w:rsid w:val="3C2D1661"/>
    <w:rsid w:val="3FCF1F33"/>
    <w:rsid w:val="406A1D3C"/>
    <w:rsid w:val="41295F8D"/>
    <w:rsid w:val="41B35830"/>
    <w:rsid w:val="44A82D37"/>
    <w:rsid w:val="45082505"/>
    <w:rsid w:val="46627554"/>
    <w:rsid w:val="467C58FA"/>
    <w:rsid w:val="4A47351A"/>
    <w:rsid w:val="4D6F612E"/>
    <w:rsid w:val="50EA4CC0"/>
    <w:rsid w:val="539F75C7"/>
    <w:rsid w:val="54BA335D"/>
    <w:rsid w:val="57913A92"/>
    <w:rsid w:val="6336026D"/>
    <w:rsid w:val="635F265B"/>
    <w:rsid w:val="63F437A2"/>
    <w:rsid w:val="66157C5C"/>
    <w:rsid w:val="67C0628B"/>
    <w:rsid w:val="69212B43"/>
    <w:rsid w:val="6A7C3255"/>
    <w:rsid w:val="6BF826E5"/>
    <w:rsid w:val="6D9534F6"/>
    <w:rsid w:val="7031341D"/>
    <w:rsid w:val="72817B6D"/>
    <w:rsid w:val="72CA1929"/>
    <w:rsid w:val="762B7DD4"/>
    <w:rsid w:val="78364A6E"/>
    <w:rsid w:val="7A66099F"/>
    <w:rsid w:val="7A724CA4"/>
    <w:rsid w:val="7ACB5FCC"/>
    <w:rsid w:val="7B2103C2"/>
    <w:rsid w:val="7CD5083D"/>
    <w:rsid w:val="7F0C79F6"/>
    <w:rsid w:val="7F764F44"/>
    <w:rsid w:val="7FE63C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character" w:customStyle="1" w:styleId="Char0">
    <w:name w:val="批注主题 Char"/>
    <w:link w:val="a4"/>
    <w:uiPriority w:val="99"/>
    <w:semiHidden/>
    <w:rPr>
      <w:b/>
      <w:bCs/>
      <w:kern w:val="2"/>
      <w:sz w:val="21"/>
      <w:szCs w:val="22"/>
    </w:rPr>
  </w:style>
  <w:style w:type="character" w:styleId="a5">
    <w:name w:val="annotation reference"/>
    <w:uiPriority w:val="99"/>
    <w:unhideWhenUsed/>
    <w:rPr>
      <w:sz w:val="21"/>
      <w:szCs w:val="21"/>
    </w:rPr>
  </w:style>
  <w:style w:type="character" w:customStyle="1" w:styleId="Char1">
    <w:name w:val="批注文字 Char"/>
    <w:link w:val="a6"/>
    <w:uiPriority w:val="99"/>
    <w:semiHidden/>
    <w:rPr>
      <w:kern w:val="2"/>
      <w:sz w:val="21"/>
      <w:szCs w:val="22"/>
    </w:rPr>
  </w:style>
  <w:style w:type="character" w:customStyle="1" w:styleId="Char2">
    <w:name w:val="页眉 Char"/>
    <w:link w:val="a7"/>
    <w:uiPriority w:val="99"/>
    <w:rPr>
      <w:sz w:val="18"/>
      <w:szCs w:val="18"/>
    </w:rPr>
  </w:style>
  <w:style w:type="character" w:customStyle="1" w:styleId="Char3">
    <w:name w:val="页脚 Char"/>
    <w:link w:val="a8"/>
    <w:uiPriority w:val="99"/>
    <w:rPr>
      <w:sz w:val="18"/>
      <w:szCs w:val="18"/>
    </w:rPr>
  </w:style>
  <w:style w:type="paragraph" w:styleId="a6">
    <w:name w:val="annotation text"/>
    <w:basedOn w:val="a"/>
    <w:link w:val="Char1"/>
    <w:uiPriority w:val="99"/>
    <w:unhideWhenUsed/>
    <w:pPr>
      <w:jc w:val="left"/>
    </w:p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 w:type="paragraph" w:styleId="a4">
    <w:name w:val="annotation subject"/>
    <w:basedOn w:val="a6"/>
    <w:next w:val="a6"/>
    <w:link w:val="Char0"/>
    <w:uiPriority w:val="99"/>
    <w:unhideWhenUsed/>
    <w:rPr>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983120">
      <w:bodyDiv w:val="1"/>
      <w:marLeft w:val="0"/>
      <w:marRight w:val="0"/>
      <w:marTop w:val="0"/>
      <w:marBottom w:val="0"/>
      <w:divBdr>
        <w:top w:val="none" w:sz="0" w:space="0" w:color="auto"/>
        <w:left w:val="none" w:sz="0" w:space="0" w:color="auto"/>
        <w:bottom w:val="none" w:sz="0" w:space="0" w:color="auto"/>
        <w:right w:val="none" w:sz="0" w:space="0" w:color="auto"/>
      </w:divBdr>
    </w:div>
    <w:div w:id="54933484">
      <w:bodyDiv w:val="1"/>
      <w:marLeft w:val="0"/>
      <w:marRight w:val="0"/>
      <w:marTop w:val="0"/>
      <w:marBottom w:val="0"/>
      <w:divBdr>
        <w:top w:val="none" w:sz="0" w:space="0" w:color="auto"/>
        <w:left w:val="none" w:sz="0" w:space="0" w:color="auto"/>
        <w:bottom w:val="none" w:sz="0" w:space="0" w:color="auto"/>
        <w:right w:val="none" w:sz="0" w:space="0" w:color="auto"/>
      </w:divBdr>
    </w:div>
    <w:div w:id="455565630">
      <w:bodyDiv w:val="1"/>
      <w:marLeft w:val="0"/>
      <w:marRight w:val="0"/>
      <w:marTop w:val="0"/>
      <w:marBottom w:val="0"/>
      <w:divBdr>
        <w:top w:val="none" w:sz="0" w:space="0" w:color="auto"/>
        <w:left w:val="none" w:sz="0" w:space="0" w:color="auto"/>
        <w:bottom w:val="none" w:sz="0" w:space="0" w:color="auto"/>
        <w:right w:val="none" w:sz="0" w:space="0" w:color="auto"/>
      </w:divBdr>
    </w:div>
    <w:div w:id="520514456">
      <w:bodyDiv w:val="1"/>
      <w:marLeft w:val="0"/>
      <w:marRight w:val="0"/>
      <w:marTop w:val="0"/>
      <w:marBottom w:val="0"/>
      <w:divBdr>
        <w:top w:val="none" w:sz="0" w:space="0" w:color="auto"/>
        <w:left w:val="none" w:sz="0" w:space="0" w:color="auto"/>
        <w:bottom w:val="none" w:sz="0" w:space="0" w:color="auto"/>
        <w:right w:val="none" w:sz="0" w:space="0" w:color="auto"/>
      </w:divBdr>
    </w:div>
    <w:div w:id="698120023">
      <w:bodyDiv w:val="1"/>
      <w:marLeft w:val="0"/>
      <w:marRight w:val="0"/>
      <w:marTop w:val="0"/>
      <w:marBottom w:val="0"/>
      <w:divBdr>
        <w:top w:val="none" w:sz="0" w:space="0" w:color="auto"/>
        <w:left w:val="none" w:sz="0" w:space="0" w:color="auto"/>
        <w:bottom w:val="none" w:sz="0" w:space="0" w:color="auto"/>
        <w:right w:val="none" w:sz="0" w:space="0" w:color="auto"/>
      </w:divBdr>
    </w:div>
    <w:div w:id="766274268">
      <w:bodyDiv w:val="1"/>
      <w:marLeft w:val="0"/>
      <w:marRight w:val="0"/>
      <w:marTop w:val="0"/>
      <w:marBottom w:val="0"/>
      <w:divBdr>
        <w:top w:val="none" w:sz="0" w:space="0" w:color="auto"/>
        <w:left w:val="none" w:sz="0" w:space="0" w:color="auto"/>
        <w:bottom w:val="none" w:sz="0" w:space="0" w:color="auto"/>
        <w:right w:val="none" w:sz="0" w:space="0" w:color="auto"/>
      </w:divBdr>
    </w:div>
    <w:div w:id="978802287">
      <w:bodyDiv w:val="1"/>
      <w:marLeft w:val="0"/>
      <w:marRight w:val="0"/>
      <w:marTop w:val="0"/>
      <w:marBottom w:val="0"/>
      <w:divBdr>
        <w:top w:val="none" w:sz="0" w:space="0" w:color="auto"/>
        <w:left w:val="none" w:sz="0" w:space="0" w:color="auto"/>
        <w:bottom w:val="none" w:sz="0" w:space="0" w:color="auto"/>
        <w:right w:val="none" w:sz="0" w:space="0" w:color="auto"/>
      </w:divBdr>
    </w:div>
    <w:div w:id="1261796133">
      <w:bodyDiv w:val="1"/>
      <w:marLeft w:val="0"/>
      <w:marRight w:val="0"/>
      <w:marTop w:val="0"/>
      <w:marBottom w:val="0"/>
      <w:divBdr>
        <w:top w:val="none" w:sz="0" w:space="0" w:color="auto"/>
        <w:left w:val="none" w:sz="0" w:space="0" w:color="auto"/>
        <w:bottom w:val="none" w:sz="0" w:space="0" w:color="auto"/>
        <w:right w:val="none" w:sz="0" w:space="0" w:color="auto"/>
      </w:divBdr>
    </w:div>
    <w:div w:id="1267230575">
      <w:bodyDiv w:val="1"/>
      <w:marLeft w:val="0"/>
      <w:marRight w:val="0"/>
      <w:marTop w:val="0"/>
      <w:marBottom w:val="0"/>
      <w:divBdr>
        <w:top w:val="none" w:sz="0" w:space="0" w:color="auto"/>
        <w:left w:val="none" w:sz="0" w:space="0" w:color="auto"/>
        <w:bottom w:val="none" w:sz="0" w:space="0" w:color="auto"/>
        <w:right w:val="none" w:sz="0" w:space="0" w:color="auto"/>
      </w:divBdr>
    </w:div>
    <w:div w:id="1356230243">
      <w:bodyDiv w:val="1"/>
      <w:marLeft w:val="0"/>
      <w:marRight w:val="0"/>
      <w:marTop w:val="0"/>
      <w:marBottom w:val="0"/>
      <w:divBdr>
        <w:top w:val="none" w:sz="0" w:space="0" w:color="auto"/>
        <w:left w:val="none" w:sz="0" w:space="0" w:color="auto"/>
        <w:bottom w:val="none" w:sz="0" w:space="0" w:color="auto"/>
        <w:right w:val="none" w:sz="0" w:space="0" w:color="auto"/>
      </w:divBdr>
    </w:div>
    <w:div w:id="1593736590">
      <w:bodyDiv w:val="1"/>
      <w:marLeft w:val="0"/>
      <w:marRight w:val="0"/>
      <w:marTop w:val="0"/>
      <w:marBottom w:val="0"/>
      <w:divBdr>
        <w:top w:val="none" w:sz="0" w:space="0" w:color="auto"/>
        <w:left w:val="none" w:sz="0" w:space="0" w:color="auto"/>
        <w:bottom w:val="none" w:sz="0" w:space="0" w:color="auto"/>
        <w:right w:val="none" w:sz="0" w:space="0" w:color="auto"/>
      </w:divBdr>
    </w:div>
    <w:div w:id="1631545669">
      <w:bodyDiv w:val="1"/>
      <w:marLeft w:val="0"/>
      <w:marRight w:val="0"/>
      <w:marTop w:val="0"/>
      <w:marBottom w:val="0"/>
      <w:divBdr>
        <w:top w:val="none" w:sz="0" w:space="0" w:color="auto"/>
        <w:left w:val="none" w:sz="0" w:space="0" w:color="auto"/>
        <w:bottom w:val="none" w:sz="0" w:space="0" w:color="auto"/>
        <w:right w:val="none" w:sz="0" w:space="0" w:color="auto"/>
      </w:divBdr>
    </w:div>
    <w:div w:id="1685328035">
      <w:bodyDiv w:val="1"/>
      <w:marLeft w:val="0"/>
      <w:marRight w:val="0"/>
      <w:marTop w:val="0"/>
      <w:marBottom w:val="0"/>
      <w:divBdr>
        <w:top w:val="none" w:sz="0" w:space="0" w:color="auto"/>
        <w:left w:val="none" w:sz="0" w:space="0" w:color="auto"/>
        <w:bottom w:val="none" w:sz="0" w:space="0" w:color="auto"/>
        <w:right w:val="none" w:sz="0" w:space="0" w:color="auto"/>
      </w:divBdr>
    </w:div>
    <w:div w:id="1766071630">
      <w:bodyDiv w:val="1"/>
      <w:marLeft w:val="0"/>
      <w:marRight w:val="0"/>
      <w:marTop w:val="0"/>
      <w:marBottom w:val="0"/>
      <w:divBdr>
        <w:top w:val="none" w:sz="0" w:space="0" w:color="auto"/>
        <w:left w:val="none" w:sz="0" w:space="0" w:color="auto"/>
        <w:bottom w:val="none" w:sz="0" w:space="0" w:color="auto"/>
        <w:right w:val="none" w:sz="0" w:space="0" w:color="auto"/>
      </w:divBdr>
    </w:div>
    <w:div w:id="2075006942">
      <w:bodyDiv w:val="1"/>
      <w:marLeft w:val="0"/>
      <w:marRight w:val="0"/>
      <w:marTop w:val="0"/>
      <w:marBottom w:val="0"/>
      <w:divBdr>
        <w:top w:val="none" w:sz="0" w:space="0" w:color="auto"/>
        <w:left w:val="none" w:sz="0" w:space="0" w:color="auto"/>
        <w:bottom w:val="none" w:sz="0" w:space="0" w:color="auto"/>
        <w:right w:val="none" w:sz="0" w:space="0" w:color="auto"/>
      </w:divBdr>
    </w:div>
    <w:div w:id="2087992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D4C08-12C6-44E5-A0BC-D1C48475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2887</Characters>
  <Application>Microsoft Office Word</Application>
  <DocSecurity>4</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qiul</dc:creator>
  <cp:keywords/>
  <cp:lastModifiedBy>ZHONGM</cp:lastModifiedBy>
  <cp:revision>2</cp:revision>
  <cp:lastPrinted>2019-12-27T08:03:00Z</cp:lastPrinted>
  <dcterms:created xsi:type="dcterms:W3CDTF">2020-11-30T16:01:00Z</dcterms:created>
  <dcterms:modified xsi:type="dcterms:W3CDTF">2020-11-30T16:01:00Z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