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0C" w:rsidRDefault="000111D7">
      <w:pPr>
        <w:jc w:val="center"/>
        <w:rPr>
          <w:rFonts w:ascii="宋体" w:eastAsia="宋体" w:hAnsi="宋体" w:cs="宋体"/>
          <w:b/>
          <w:bCs/>
          <w:color w:val="FF0000"/>
          <w:kern w:val="0"/>
          <w:sz w:val="32"/>
          <w:szCs w:val="32"/>
        </w:rPr>
      </w:pPr>
      <w:r>
        <w:rPr>
          <w:rFonts w:ascii="宋体" w:eastAsia="宋体" w:hAnsi="宋体" w:cs="宋体" w:hint="eastAsia"/>
          <w:b/>
          <w:bCs/>
          <w:color w:val="FF0000"/>
          <w:kern w:val="0"/>
          <w:sz w:val="32"/>
          <w:szCs w:val="32"/>
        </w:rPr>
        <w:t>关于嘉实1个月理财债券型证券投资基金</w:t>
      </w:r>
    </w:p>
    <w:p w:rsidR="002F720C" w:rsidRDefault="00BF46DB">
      <w:pPr>
        <w:jc w:val="center"/>
      </w:pPr>
      <w:r>
        <w:rPr>
          <w:rFonts w:ascii="宋体" w:eastAsia="宋体" w:hAnsi="宋体" w:cs="宋体" w:hint="eastAsia"/>
          <w:b/>
          <w:bCs/>
          <w:color w:val="FF0000"/>
          <w:kern w:val="0"/>
          <w:sz w:val="32"/>
          <w:szCs w:val="32"/>
        </w:rPr>
        <w:t>基金合同终止及基金财产清算的公告</w:t>
      </w:r>
    </w:p>
    <w:p w:rsidR="002F720C" w:rsidRDefault="000111D7">
      <w:pPr>
        <w:spacing w:line="360" w:lineRule="auto"/>
        <w:ind w:firstLineChars="200" w:firstLine="480"/>
        <w:rPr>
          <w:rFonts w:hAnsi="宋体"/>
          <w:sz w:val="24"/>
        </w:rPr>
      </w:pPr>
      <w:r>
        <w:rPr>
          <w:rFonts w:hAnsi="宋体" w:hint="eastAsia"/>
          <w:sz w:val="24"/>
        </w:rPr>
        <w:t>根据《中华人民共和国证券投资基金法》、《公开募集证券投资基金运作管理办法》、《嘉实</w:t>
      </w:r>
      <w:r>
        <w:rPr>
          <w:rFonts w:hAnsi="宋体" w:hint="eastAsia"/>
          <w:sz w:val="24"/>
        </w:rPr>
        <w:t>1</w:t>
      </w:r>
      <w:r>
        <w:rPr>
          <w:rFonts w:hAnsi="宋体" w:hint="eastAsia"/>
          <w:sz w:val="24"/>
        </w:rPr>
        <w:t>个月理财债券型证券投资基金基金合同》（以下简称“《基金合同》”）的有关规定，</w:t>
      </w:r>
      <w:r>
        <w:rPr>
          <w:rFonts w:asciiTheme="minorEastAsia" w:hAnsiTheme="minorEastAsia" w:hint="eastAsia"/>
          <w:sz w:val="24"/>
          <w:szCs w:val="24"/>
        </w:rPr>
        <w:t>嘉实1个月理财债券型证券投资基金（以下简称“本基金”）出现</w:t>
      </w:r>
      <w:r>
        <w:rPr>
          <w:rFonts w:asciiTheme="minorEastAsia" w:hAnsiTheme="minorEastAsia"/>
          <w:sz w:val="24"/>
          <w:szCs w:val="24"/>
        </w:rPr>
        <w:t>了</w:t>
      </w:r>
      <w:r>
        <w:rPr>
          <w:rFonts w:asciiTheme="minorEastAsia" w:hAnsiTheme="minorEastAsia" w:hint="eastAsia"/>
          <w:sz w:val="24"/>
          <w:szCs w:val="24"/>
        </w:rPr>
        <w:t>《</w:t>
      </w:r>
      <w:r>
        <w:rPr>
          <w:rFonts w:asciiTheme="minorEastAsia" w:hAnsiTheme="minorEastAsia"/>
          <w:sz w:val="24"/>
          <w:szCs w:val="24"/>
        </w:rPr>
        <w:t>基金合同</w:t>
      </w:r>
      <w:r>
        <w:rPr>
          <w:rFonts w:asciiTheme="minorEastAsia" w:hAnsiTheme="minorEastAsia" w:hint="eastAsia"/>
          <w:sz w:val="24"/>
          <w:szCs w:val="24"/>
        </w:rPr>
        <w:t>》</w:t>
      </w:r>
      <w:r w:rsidR="002F5F9E">
        <w:rPr>
          <w:rFonts w:asciiTheme="minorEastAsia" w:hAnsiTheme="minorEastAsia"/>
          <w:sz w:val="24"/>
          <w:szCs w:val="24"/>
        </w:rPr>
        <w:t>终止事由，</w:t>
      </w:r>
      <w:bookmarkStart w:id="0" w:name="_GoBack"/>
      <w:bookmarkEnd w:id="0"/>
      <w:r>
        <w:rPr>
          <w:rFonts w:asciiTheme="minorEastAsia" w:hAnsiTheme="minorEastAsia"/>
          <w:sz w:val="24"/>
          <w:szCs w:val="24"/>
        </w:rPr>
        <w:t>嘉实基金管理有限公司（</w:t>
      </w:r>
      <w:r>
        <w:rPr>
          <w:rFonts w:asciiTheme="minorEastAsia" w:hAnsiTheme="minorEastAsia" w:hint="eastAsia"/>
          <w:sz w:val="24"/>
          <w:szCs w:val="24"/>
        </w:rPr>
        <w:t>以下</w:t>
      </w:r>
      <w:r>
        <w:rPr>
          <w:rFonts w:asciiTheme="minorEastAsia" w:hAnsiTheme="minorEastAsia"/>
          <w:sz w:val="24"/>
          <w:szCs w:val="24"/>
        </w:rPr>
        <w:t>简称“</w:t>
      </w:r>
      <w:r>
        <w:rPr>
          <w:rFonts w:asciiTheme="minorEastAsia" w:hAnsiTheme="minorEastAsia" w:hint="eastAsia"/>
          <w:sz w:val="24"/>
          <w:szCs w:val="24"/>
        </w:rPr>
        <w:t>本基金</w:t>
      </w:r>
      <w:r>
        <w:rPr>
          <w:rFonts w:asciiTheme="minorEastAsia" w:hAnsiTheme="minorEastAsia"/>
          <w:sz w:val="24"/>
          <w:szCs w:val="24"/>
        </w:rPr>
        <w:t>管理人”）</w:t>
      </w:r>
      <w:r>
        <w:rPr>
          <w:rFonts w:asciiTheme="minorEastAsia" w:hAnsiTheme="minorEastAsia" w:hint="eastAsia"/>
          <w:sz w:val="24"/>
          <w:szCs w:val="24"/>
        </w:rPr>
        <w:t>应</w:t>
      </w:r>
      <w:r>
        <w:rPr>
          <w:rFonts w:asciiTheme="minorEastAsia" w:hAnsiTheme="minorEastAsia"/>
          <w:sz w:val="24"/>
          <w:szCs w:val="24"/>
        </w:rPr>
        <w:t>在上述事由出现后</w:t>
      </w:r>
      <w:r w:rsidR="003D1437" w:rsidRPr="003D1437">
        <w:rPr>
          <w:rFonts w:asciiTheme="minorEastAsia" w:hAnsiTheme="minorEastAsia" w:hint="eastAsia"/>
          <w:sz w:val="24"/>
          <w:szCs w:val="24"/>
        </w:rPr>
        <w:t>组织基金财产清算小组进行基金清算</w:t>
      </w:r>
      <w:r w:rsidR="003D1437">
        <w:rPr>
          <w:rFonts w:asciiTheme="minorEastAsia" w:hAnsiTheme="minorEastAsia" w:hint="eastAsia"/>
          <w:sz w:val="24"/>
          <w:szCs w:val="24"/>
        </w:rPr>
        <w:t>并</w:t>
      </w:r>
      <w:r>
        <w:rPr>
          <w:rFonts w:asciiTheme="minorEastAsia" w:hAnsiTheme="minorEastAsia" w:hint="eastAsia"/>
          <w:sz w:val="24"/>
          <w:szCs w:val="24"/>
        </w:rPr>
        <w:t>终止《</w:t>
      </w:r>
      <w:r>
        <w:rPr>
          <w:rFonts w:asciiTheme="minorEastAsia" w:hAnsiTheme="minorEastAsia"/>
          <w:sz w:val="24"/>
          <w:szCs w:val="24"/>
        </w:rPr>
        <w:t>基金合同</w:t>
      </w:r>
      <w:r>
        <w:rPr>
          <w:rFonts w:asciiTheme="minorEastAsia" w:hAnsiTheme="minorEastAsia" w:hint="eastAsia"/>
          <w:sz w:val="24"/>
          <w:szCs w:val="24"/>
        </w:rPr>
        <w:t>》</w:t>
      </w:r>
      <w:r>
        <w:rPr>
          <w:rFonts w:asciiTheme="minorEastAsia" w:hAnsiTheme="minorEastAsia"/>
          <w:sz w:val="24"/>
          <w:szCs w:val="24"/>
        </w:rPr>
        <w:t>，此事项不需召开基金份额持有人大会。本基金</w:t>
      </w:r>
      <w:r>
        <w:rPr>
          <w:rFonts w:asciiTheme="minorEastAsia" w:hAnsiTheme="minorEastAsia" w:hint="eastAsia"/>
          <w:sz w:val="24"/>
          <w:szCs w:val="24"/>
        </w:rPr>
        <w:t>的</w:t>
      </w:r>
      <w:r>
        <w:rPr>
          <w:rFonts w:asciiTheme="minorEastAsia" w:hAnsiTheme="minorEastAsia"/>
          <w:sz w:val="24"/>
          <w:szCs w:val="24"/>
        </w:rPr>
        <w:t>最后运作日为</w:t>
      </w:r>
      <w:r>
        <w:rPr>
          <w:rFonts w:asciiTheme="minorEastAsia" w:hAnsiTheme="minorEastAsia" w:hint="eastAsia"/>
          <w:sz w:val="24"/>
          <w:szCs w:val="24"/>
        </w:rPr>
        <w:t>2020年</w:t>
      </w:r>
      <w:r w:rsidR="00934F8D">
        <w:rPr>
          <w:rFonts w:asciiTheme="minorEastAsia" w:hAnsiTheme="minorEastAsia"/>
          <w:sz w:val="24"/>
          <w:szCs w:val="24"/>
        </w:rPr>
        <w:t>11</w:t>
      </w:r>
      <w:r>
        <w:rPr>
          <w:rFonts w:asciiTheme="minorEastAsia" w:hAnsiTheme="minorEastAsia" w:hint="eastAsia"/>
          <w:sz w:val="24"/>
          <w:szCs w:val="24"/>
        </w:rPr>
        <w:t>月</w:t>
      </w:r>
      <w:r w:rsidR="00934F8D">
        <w:rPr>
          <w:rFonts w:asciiTheme="minorEastAsia" w:hAnsiTheme="minorEastAsia"/>
          <w:sz w:val="24"/>
          <w:szCs w:val="24"/>
        </w:rPr>
        <w:t>30</w:t>
      </w:r>
      <w:r>
        <w:rPr>
          <w:rFonts w:asciiTheme="minorEastAsia" w:hAnsiTheme="minorEastAsia" w:hint="eastAsia"/>
          <w:sz w:val="24"/>
          <w:szCs w:val="24"/>
        </w:rPr>
        <w:t>日</w:t>
      </w:r>
      <w:r>
        <w:rPr>
          <w:rFonts w:asciiTheme="minorEastAsia" w:hAnsiTheme="minorEastAsia"/>
          <w:sz w:val="24"/>
          <w:szCs w:val="24"/>
        </w:rPr>
        <w:t>，并于</w:t>
      </w:r>
      <w:r>
        <w:rPr>
          <w:rFonts w:asciiTheme="minorEastAsia" w:hAnsiTheme="minorEastAsia" w:hint="eastAsia"/>
          <w:sz w:val="24"/>
          <w:szCs w:val="24"/>
        </w:rPr>
        <w:t>2020年</w:t>
      </w:r>
      <w:r w:rsidR="00934F8D">
        <w:rPr>
          <w:rFonts w:asciiTheme="minorEastAsia" w:hAnsiTheme="minorEastAsia"/>
          <w:sz w:val="24"/>
          <w:szCs w:val="24"/>
        </w:rPr>
        <w:t>12</w:t>
      </w:r>
      <w:r>
        <w:rPr>
          <w:rFonts w:asciiTheme="minorEastAsia" w:hAnsiTheme="minorEastAsia" w:hint="eastAsia"/>
          <w:sz w:val="24"/>
          <w:szCs w:val="24"/>
        </w:rPr>
        <w:t>月</w:t>
      </w:r>
      <w:r w:rsidR="00934F8D">
        <w:rPr>
          <w:rFonts w:asciiTheme="minorEastAsia" w:hAnsiTheme="minorEastAsia"/>
          <w:sz w:val="24"/>
          <w:szCs w:val="24"/>
        </w:rPr>
        <w:t>1</w:t>
      </w:r>
      <w:r>
        <w:rPr>
          <w:rFonts w:asciiTheme="minorEastAsia" w:hAnsiTheme="minorEastAsia" w:hint="eastAsia"/>
          <w:sz w:val="24"/>
          <w:szCs w:val="24"/>
        </w:rPr>
        <w:t>日</w:t>
      </w:r>
      <w:r>
        <w:rPr>
          <w:rFonts w:asciiTheme="minorEastAsia" w:hAnsiTheme="minorEastAsia"/>
          <w:sz w:val="24"/>
          <w:szCs w:val="24"/>
        </w:rPr>
        <w:t>进入清盘程序，现将相关事宜公告如下：</w:t>
      </w:r>
    </w:p>
    <w:p w:rsidR="002F720C" w:rsidRDefault="000111D7">
      <w:pPr>
        <w:spacing w:line="360" w:lineRule="auto"/>
        <w:ind w:firstLineChars="200" w:firstLine="480"/>
        <w:rPr>
          <w:rFonts w:asciiTheme="minorEastAsia" w:hAnsiTheme="minorEastAsia"/>
          <w:sz w:val="24"/>
          <w:szCs w:val="24"/>
        </w:rPr>
      </w:pPr>
      <w:r>
        <w:rPr>
          <w:rFonts w:asciiTheme="majorEastAsia" w:eastAsiaTheme="majorEastAsia" w:hAnsiTheme="majorEastAsia" w:hint="eastAsia"/>
          <w:sz w:val="24"/>
          <w:szCs w:val="24"/>
        </w:rPr>
        <w:t>一、本基金基本信息</w:t>
      </w:r>
    </w:p>
    <w:tbl>
      <w:tblPr>
        <w:tblStyle w:val="a8"/>
        <w:tblW w:w="8522" w:type="dxa"/>
        <w:tblLayout w:type="fixed"/>
        <w:tblLook w:val="04A0"/>
      </w:tblPr>
      <w:tblGrid>
        <w:gridCol w:w="2840"/>
        <w:gridCol w:w="2841"/>
        <w:gridCol w:w="2841"/>
      </w:tblGrid>
      <w:tr w:rsidR="002F720C">
        <w:tc>
          <w:tcPr>
            <w:tcW w:w="2840"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基金名称</w:t>
            </w:r>
          </w:p>
        </w:tc>
        <w:tc>
          <w:tcPr>
            <w:tcW w:w="5682" w:type="dxa"/>
            <w:gridSpan w:val="2"/>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嘉实1个月理财债券型证券投资基金</w:t>
            </w:r>
          </w:p>
        </w:tc>
      </w:tr>
      <w:tr w:rsidR="002F720C">
        <w:tc>
          <w:tcPr>
            <w:tcW w:w="2840"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简称</w:t>
            </w:r>
          </w:p>
        </w:tc>
        <w:tc>
          <w:tcPr>
            <w:tcW w:w="2841"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嘉实1个月理财债券</w:t>
            </w:r>
            <w:r>
              <w:rPr>
                <w:rFonts w:asciiTheme="minorEastAsia" w:hAnsiTheme="minorEastAsia"/>
                <w:sz w:val="24"/>
                <w:szCs w:val="24"/>
              </w:rPr>
              <w:t>A</w:t>
            </w:r>
          </w:p>
        </w:tc>
        <w:tc>
          <w:tcPr>
            <w:tcW w:w="2841" w:type="dxa"/>
          </w:tcPr>
          <w:p w:rsidR="002F720C" w:rsidRDefault="000111D7">
            <w:pPr>
              <w:spacing w:line="360" w:lineRule="auto"/>
              <w:jc w:val="center"/>
              <w:rPr>
                <w:rFonts w:asciiTheme="minorEastAsia" w:hAnsiTheme="minorEastAsia"/>
                <w:sz w:val="24"/>
                <w:szCs w:val="24"/>
              </w:rPr>
            </w:pPr>
            <w:r>
              <w:rPr>
                <w:rFonts w:asciiTheme="minorEastAsia" w:hAnsiTheme="minorEastAsia" w:hint="eastAsia"/>
                <w:sz w:val="24"/>
                <w:szCs w:val="24"/>
              </w:rPr>
              <w:t>嘉实1个月理财债券E</w:t>
            </w:r>
          </w:p>
        </w:tc>
      </w:tr>
      <w:tr w:rsidR="002F720C">
        <w:tc>
          <w:tcPr>
            <w:tcW w:w="2840"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基金代码</w:t>
            </w:r>
          </w:p>
        </w:tc>
        <w:tc>
          <w:tcPr>
            <w:tcW w:w="2841" w:type="dxa"/>
          </w:tcPr>
          <w:p w:rsidR="002F720C" w:rsidRDefault="000111D7">
            <w:pPr>
              <w:spacing w:line="360" w:lineRule="auto"/>
              <w:rPr>
                <w:rFonts w:asciiTheme="minorEastAsia" w:hAnsiTheme="minorEastAsia"/>
                <w:sz w:val="24"/>
                <w:szCs w:val="24"/>
              </w:rPr>
            </w:pPr>
            <w:r>
              <w:rPr>
                <w:rFonts w:asciiTheme="minorEastAsia" w:hAnsiTheme="minorEastAsia"/>
                <w:sz w:val="24"/>
                <w:szCs w:val="24"/>
              </w:rPr>
              <w:t>000485</w:t>
            </w:r>
          </w:p>
        </w:tc>
        <w:tc>
          <w:tcPr>
            <w:tcW w:w="2841" w:type="dxa"/>
          </w:tcPr>
          <w:p w:rsidR="002F720C" w:rsidRDefault="000111D7">
            <w:pPr>
              <w:spacing w:line="360" w:lineRule="auto"/>
              <w:rPr>
                <w:rFonts w:asciiTheme="minorEastAsia" w:hAnsiTheme="minorEastAsia"/>
                <w:sz w:val="24"/>
                <w:szCs w:val="24"/>
              </w:rPr>
            </w:pPr>
            <w:r>
              <w:rPr>
                <w:rFonts w:asciiTheme="minorEastAsia" w:hAnsiTheme="minorEastAsia"/>
                <w:sz w:val="24"/>
                <w:szCs w:val="24"/>
              </w:rPr>
              <w:t>000486</w:t>
            </w:r>
          </w:p>
        </w:tc>
      </w:tr>
      <w:tr w:rsidR="002F720C">
        <w:tc>
          <w:tcPr>
            <w:tcW w:w="2840"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成立日期</w:t>
            </w:r>
          </w:p>
        </w:tc>
        <w:tc>
          <w:tcPr>
            <w:tcW w:w="2841" w:type="dxa"/>
          </w:tcPr>
          <w:p w:rsidR="002F720C" w:rsidRDefault="000111D7">
            <w:pPr>
              <w:spacing w:line="360" w:lineRule="auto"/>
              <w:rPr>
                <w:rFonts w:asciiTheme="minorEastAsia" w:hAnsiTheme="minorEastAsia"/>
                <w:sz w:val="24"/>
                <w:szCs w:val="24"/>
              </w:rPr>
            </w:pPr>
            <w:r>
              <w:rPr>
                <w:rFonts w:asciiTheme="minorEastAsia" w:hAnsiTheme="minorEastAsia"/>
                <w:sz w:val="24"/>
                <w:szCs w:val="24"/>
              </w:rPr>
              <w:t>2013-12-24</w:t>
            </w:r>
          </w:p>
        </w:tc>
        <w:tc>
          <w:tcPr>
            <w:tcW w:w="2841" w:type="dxa"/>
          </w:tcPr>
          <w:p w:rsidR="002F720C" w:rsidRDefault="000111D7">
            <w:pPr>
              <w:spacing w:line="360" w:lineRule="auto"/>
              <w:rPr>
                <w:rFonts w:asciiTheme="minorEastAsia" w:hAnsiTheme="minorEastAsia"/>
                <w:sz w:val="24"/>
                <w:szCs w:val="24"/>
              </w:rPr>
            </w:pPr>
            <w:r>
              <w:rPr>
                <w:rFonts w:asciiTheme="minorEastAsia" w:hAnsiTheme="minorEastAsia"/>
                <w:sz w:val="24"/>
                <w:szCs w:val="24"/>
              </w:rPr>
              <w:t>2013-12-24</w:t>
            </w:r>
          </w:p>
        </w:tc>
      </w:tr>
      <w:tr w:rsidR="002F720C">
        <w:tc>
          <w:tcPr>
            <w:tcW w:w="2840" w:type="dxa"/>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基金运作方式</w:t>
            </w:r>
          </w:p>
        </w:tc>
        <w:tc>
          <w:tcPr>
            <w:tcW w:w="5682" w:type="dxa"/>
            <w:gridSpan w:val="2"/>
          </w:tcPr>
          <w:p w:rsidR="002F720C" w:rsidRDefault="000111D7">
            <w:pPr>
              <w:spacing w:line="360" w:lineRule="auto"/>
              <w:rPr>
                <w:rFonts w:asciiTheme="minorEastAsia" w:hAnsiTheme="minorEastAsia"/>
                <w:sz w:val="24"/>
                <w:szCs w:val="24"/>
              </w:rPr>
            </w:pPr>
            <w:r>
              <w:rPr>
                <w:rFonts w:asciiTheme="minorEastAsia" w:hAnsiTheme="minorEastAsia" w:hint="eastAsia"/>
                <w:sz w:val="24"/>
                <w:szCs w:val="24"/>
              </w:rPr>
              <w:t>契约型开放式</w:t>
            </w:r>
          </w:p>
        </w:tc>
      </w:tr>
    </w:tbl>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二、《基金合同》终止事由</w:t>
      </w:r>
    </w:p>
    <w:p w:rsidR="002F720C" w:rsidRDefault="000111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基金管理人已于2018年7月18日发布了《嘉实1个月理财债券型证券投资基金关于第七期运作期到期后暂停下一运作期运作不接受申购等安排的公告》，本基金第七期运作期到期后暂停下一运作期运作、不接受申购，本基金A类和E类基金份额的该期运作期到期赎回申请被自动发起。截至目前，本基金基金份额为0。根据《基金合同》的规定，《基金合同》的当事人为基金管理人、基金托管人和基金份额持有人。本基金暂停运作并赎回全部基金份额后，本基金不再有基金份额持有人，《基金合同》当事人仅为基金管理人和基金托管人。经本基金管理人与托管人中国银行股份有限公司协商一致并</w:t>
      </w:r>
      <w:r>
        <w:rPr>
          <w:rFonts w:asciiTheme="minorEastAsia" w:hAnsiTheme="minorEastAsia"/>
          <w:sz w:val="24"/>
          <w:szCs w:val="24"/>
        </w:rPr>
        <w:t>向中国证监会</w:t>
      </w:r>
      <w:r>
        <w:rPr>
          <w:rFonts w:asciiTheme="minorEastAsia" w:hAnsiTheme="minorEastAsia" w:hint="eastAsia"/>
          <w:sz w:val="24"/>
          <w:szCs w:val="24"/>
        </w:rPr>
        <w:t>备案</w:t>
      </w:r>
      <w:r>
        <w:rPr>
          <w:rFonts w:asciiTheme="minorEastAsia" w:hAnsiTheme="minorEastAsia"/>
          <w:sz w:val="24"/>
          <w:szCs w:val="24"/>
        </w:rPr>
        <w:t>后</w:t>
      </w:r>
      <w:r>
        <w:rPr>
          <w:rFonts w:asciiTheme="minorEastAsia" w:hAnsiTheme="minorEastAsia" w:hint="eastAsia"/>
          <w:sz w:val="24"/>
          <w:szCs w:val="24"/>
        </w:rPr>
        <w:t>，决定终止本基金《基金合同》，并依法履行基金财产清算程序。</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三、基金财产清算</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、基金财产清算小组</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r>
        <w:rPr>
          <w:rFonts w:asciiTheme="majorEastAsia" w:eastAsiaTheme="majorEastAsia" w:hAnsiTheme="majorEastAsia" w:hint="eastAsia"/>
          <w:sz w:val="24"/>
          <w:szCs w:val="24"/>
        </w:rPr>
        <w:t>自出现《基金合同》终止事由之日起30个工作日内成立清算小组，基金管理人组织基金财产清算小组并在中国证监会的监督下进行基金清算。</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Pr>
          <w:rFonts w:asciiTheme="majorEastAsia" w:eastAsiaTheme="majorEastAsia" w:hAnsiTheme="majorEastAsia"/>
          <w:sz w:val="24"/>
          <w:szCs w:val="24"/>
        </w:rPr>
        <w:t>2）</w:t>
      </w:r>
      <w:r>
        <w:rPr>
          <w:rFonts w:asciiTheme="majorEastAsia" w:eastAsiaTheme="majorEastAsia" w:hAnsiTheme="majorEastAsia" w:hint="eastAsia"/>
          <w:sz w:val="24"/>
          <w:szCs w:val="24"/>
        </w:rPr>
        <w:t>基金财产清算小组成员由基金管理人、基金托管人、符合《中华人民共和国证券法》规定的注册会计师、律师以及中国证监会指定的人员组成。基金财产清算小组可以聘用必要的工作人员。</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r>
        <w:rPr>
          <w:rFonts w:asciiTheme="majorEastAsia" w:eastAsiaTheme="majorEastAsia" w:hAnsiTheme="majorEastAsia" w:hint="eastAsia"/>
          <w:sz w:val="24"/>
          <w:szCs w:val="24"/>
        </w:rPr>
        <w:t>基金财产清算小组负责基金财产的保管、清理、估价、变现和分配。基金财产清算小组可以依法进行必要的民事活动。</w:t>
      </w:r>
    </w:p>
    <w:p w:rsidR="002F720C" w:rsidRDefault="000111D7">
      <w:pPr>
        <w:spacing w:line="360" w:lineRule="auto"/>
        <w:ind w:firstLineChars="200" w:firstLine="480"/>
        <w:rPr>
          <w:rFonts w:ascii="宋体" w:hAnsi="宋体"/>
          <w:bCs/>
          <w:szCs w:val="21"/>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、基金财产清算程序</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《基金合同》终止，应当按法律法规和本基金合同的有关规定对基金财产进行清算。基金财产清算程序主要包括：</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（1）基金财产清算小组成立后，由基金财产清算小组统一接管基金；</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（2）对基金财产和债权债务进行清理和确认；</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（3）对基金财产进行估值和变现；</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（4）制作清算报告；</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（5）会计师事务所对清算报告进行外部审计，</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（6）律师事务所对清算报告出具法律意见书；</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（7）将清算结果报告报中国证监会备案；</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（8）公布基金清算公告；</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（9）对基金剩余财产进行分配。</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Pr>
          <w:rFonts w:asciiTheme="majorEastAsia" w:eastAsiaTheme="majorEastAsia" w:hAnsiTheme="majorEastAsia" w:hint="eastAsia"/>
          <w:sz w:val="24"/>
          <w:szCs w:val="24"/>
        </w:rPr>
        <w:t>、清算费用</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清算费用是指基金财产清算小组在进行基金清算过程中发生的所有合理费用，清算费用由基金财产清算小组优先从基金剩余财产中支付。</w:t>
      </w:r>
    </w:p>
    <w:p w:rsidR="00A812D7" w:rsidRDefault="00A812D7">
      <w:pPr>
        <w:spacing w:line="360" w:lineRule="auto"/>
        <w:ind w:firstLineChars="200" w:firstLine="480"/>
        <w:rPr>
          <w:rFonts w:asciiTheme="majorEastAsia" w:eastAsiaTheme="majorEastAsia" w:hAnsiTheme="majorEastAsia"/>
          <w:sz w:val="24"/>
          <w:szCs w:val="24"/>
        </w:rPr>
      </w:pPr>
      <w:r w:rsidRPr="00A812D7">
        <w:rPr>
          <w:rFonts w:asciiTheme="majorEastAsia" w:eastAsiaTheme="majorEastAsia" w:hAnsiTheme="majorEastAsia" w:hint="eastAsia"/>
          <w:sz w:val="24"/>
          <w:szCs w:val="24"/>
        </w:rPr>
        <w:t>考虑到本基金清算的实际情况，本基金的清算费用将由基金管理人承担。</w:t>
      </w:r>
    </w:p>
    <w:p w:rsidR="000111D7" w:rsidRPr="000111D7" w:rsidRDefault="000111D7" w:rsidP="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w:t>
      </w:r>
      <w:r w:rsidRPr="000111D7">
        <w:rPr>
          <w:rFonts w:asciiTheme="majorEastAsia" w:eastAsiaTheme="majorEastAsia" w:hAnsiTheme="majorEastAsia" w:hint="eastAsia"/>
          <w:sz w:val="24"/>
          <w:szCs w:val="24"/>
        </w:rPr>
        <w:t>基金财产清算剩余资产的分配</w:t>
      </w:r>
    </w:p>
    <w:p w:rsidR="000111D7" w:rsidRDefault="000111D7" w:rsidP="000111D7">
      <w:pPr>
        <w:spacing w:line="360" w:lineRule="auto"/>
        <w:ind w:firstLineChars="200" w:firstLine="480"/>
        <w:rPr>
          <w:rFonts w:asciiTheme="majorEastAsia" w:eastAsiaTheme="majorEastAsia" w:hAnsiTheme="majorEastAsia"/>
          <w:sz w:val="24"/>
          <w:szCs w:val="24"/>
        </w:rPr>
      </w:pPr>
      <w:r w:rsidRPr="000111D7">
        <w:rPr>
          <w:rFonts w:asciiTheme="majorEastAsia" w:eastAsiaTheme="majorEastAsia" w:hAnsiTheme="majorEastAsia"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111D7" w:rsidRDefault="000111D7" w:rsidP="000111D7">
      <w:pPr>
        <w:spacing w:line="360" w:lineRule="auto"/>
        <w:ind w:firstLineChars="200" w:firstLine="480"/>
        <w:rPr>
          <w:rFonts w:asciiTheme="majorEastAsia" w:eastAsiaTheme="majorEastAsia" w:hAnsiTheme="majorEastAsia"/>
          <w:sz w:val="24"/>
          <w:szCs w:val="24"/>
        </w:rPr>
      </w:pPr>
      <w:r w:rsidRPr="00A812D7">
        <w:rPr>
          <w:rFonts w:asciiTheme="majorEastAsia" w:eastAsiaTheme="majorEastAsia" w:hAnsiTheme="majorEastAsia" w:hint="eastAsia"/>
          <w:sz w:val="24"/>
          <w:szCs w:val="24"/>
        </w:rPr>
        <w:t>考虑到本基金清算的实际情况，</w:t>
      </w:r>
      <w:r>
        <w:rPr>
          <w:rFonts w:asciiTheme="majorEastAsia" w:eastAsiaTheme="majorEastAsia" w:hAnsiTheme="majorEastAsia" w:hint="eastAsia"/>
          <w:sz w:val="24"/>
          <w:szCs w:val="24"/>
        </w:rPr>
        <w:t>本基金将</w:t>
      </w:r>
      <w:r>
        <w:rPr>
          <w:rFonts w:asciiTheme="majorEastAsia" w:eastAsiaTheme="majorEastAsia" w:hAnsiTheme="majorEastAsia"/>
          <w:sz w:val="24"/>
          <w:szCs w:val="24"/>
        </w:rPr>
        <w:t>不进行</w:t>
      </w:r>
      <w:r>
        <w:rPr>
          <w:rFonts w:asciiTheme="majorEastAsia" w:eastAsiaTheme="majorEastAsia" w:hAnsiTheme="majorEastAsia" w:hint="eastAsia"/>
          <w:sz w:val="24"/>
          <w:szCs w:val="24"/>
        </w:rPr>
        <w:t>基金</w:t>
      </w:r>
      <w:r>
        <w:rPr>
          <w:rFonts w:asciiTheme="majorEastAsia" w:eastAsiaTheme="majorEastAsia" w:hAnsiTheme="majorEastAsia"/>
          <w:sz w:val="24"/>
          <w:szCs w:val="24"/>
        </w:rPr>
        <w:t>剩余财产分配</w:t>
      </w:r>
      <w:r w:rsidRPr="000111D7">
        <w:rPr>
          <w:rFonts w:asciiTheme="majorEastAsia" w:eastAsiaTheme="majorEastAsia" w:hAnsiTheme="majorEastAsia" w:hint="eastAsia"/>
          <w:sz w:val="24"/>
          <w:szCs w:val="24"/>
        </w:rPr>
        <w:t>。</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w:t>
      </w:r>
      <w:r>
        <w:rPr>
          <w:rFonts w:asciiTheme="majorEastAsia" w:eastAsiaTheme="majorEastAsia" w:hAnsiTheme="majorEastAsia" w:hint="eastAsia"/>
          <w:sz w:val="24"/>
          <w:szCs w:val="24"/>
        </w:rPr>
        <w:t>、基金财产清算的公告</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清算过程中的有关重大事项须及时公告；基金财产清算报告经符合《中华人民共和国证券法》规定的会计师事务所审计并由律师事务所出具法律意见书后报</w:t>
      </w:r>
      <w:r>
        <w:rPr>
          <w:rFonts w:asciiTheme="majorEastAsia" w:eastAsiaTheme="majorEastAsia" w:hAnsiTheme="majorEastAsia" w:hint="eastAsia"/>
          <w:sz w:val="24"/>
          <w:szCs w:val="24"/>
        </w:rPr>
        <w:lastRenderedPageBreak/>
        <w:t>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w:t>
      </w:r>
      <w:r>
        <w:rPr>
          <w:rFonts w:asciiTheme="majorEastAsia" w:eastAsiaTheme="majorEastAsia" w:hAnsiTheme="majorEastAsia" w:hint="eastAsia"/>
          <w:sz w:val="24"/>
          <w:szCs w:val="24"/>
        </w:rPr>
        <w:t>、基金财产清算账册及文件的保存</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基金财产清算账册及有关文件由基金托管人保存15年以上。</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四、其他需要提示的事项</w:t>
      </w:r>
    </w:p>
    <w:p w:rsidR="002F720C" w:rsidRDefault="000111D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本基金管理人承诺在清算过程中以诚实信用、勤勉尽责的原则履行相关职责。</w:t>
      </w:r>
    </w:p>
    <w:p w:rsidR="002F720C" w:rsidRDefault="000111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投资者可拨打嘉实基金管理有限公司客户服务电话400-600-8800或登录网站www.jsfund.cn咨询、了解相关情况。</w:t>
      </w:r>
    </w:p>
    <w:p w:rsidR="002F720C" w:rsidRDefault="000111D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2F720C" w:rsidRDefault="000111D7">
      <w:pPr>
        <w:spacing w:line="360" w:lineRule="auto"/>
        <w:jc w:val="right"/>
        <w:rPr>
          <w:rFonts w:asciiTheme="minorEastAsia" w:hAnsiTheme="minorEastAsia"/>
          <w:sz w:val="24"/>
          <w:szCs w:val="24"/>
        </w:rPr>
      </w:pPr>
      <w:r>
        <w:rPr>
          <w:rFonts w:asciiTheme="minorEastAsia" w:hAnsiTheme="minorEastAsia" w:hint="eastAsia"/>
          <w:sz w:val="24"/>
          <w:szCs w:val="24"/>
        </w:rPr>
        <w:t>嘉实基金管理有限公司</w:t>
      </w:r>
    </w:p>
    <w:p w:rsidR="002F720C" w:rsidRDefault="000111D7">
      <w:pPr>
        <w:wordWrap w:val="0"/>
        <w:spacing w:line="360" w:lineRule="auto"/>
        <w:jc w:val="right"/>
        <w:rPr>
          <w:rFonts w:asciiTheme="minorEastAsia" w:hAnsiTheme="minorEastAsia"/>
          <w:sz w:val="24"/>
          <w:szCs w:val="24"/>
        </w:rPr>
      </w:pPr>
      <w:r>
        <w:rPr>
          <w:rFonts w:asciiTheme="minorEastAsia" w:hAnsiTheme="minorEastAsia"/>
          <w:sz w:val="24"/>
          <w:szCs w:val="24"/>
        </w:rPr>
        <w:t>2020</w:t>
      </w:r>
      <w:r>
        <w:rPr>
          <w:rFonts w:asciiTheme="minorEastAsia" w:hAnsiTheme="minorEastAsia" w:hint="eastAsia"/>
          <w:sz w:val="24"/>
          <w:szCs w:val="24"/>
        </w:rPr>
        <w:t>年</w:t>
      </w:r>
      <w:r>
        <w:rPr>
          <w:rFonts w:asciiTheme="minorEastAsia" w:hAnsiTheme="minorEastAsia"/>
          <w:sz w:val="24"/>
          <w:szCs w:val="24"/>
        </w:rPr>
        <w:t>11</w:t>
      </w:r>
      <w:r>
        <w:rPr>
          <w:rFonts w:asciiTheme="minorEastAsia" w:hAnsiTheme="minorEastAsia" w:hint="eastAsia"/>
          <w:sz w:val="24"/>
          <w:szCs w:val="24"/>
        </w:rPr>
        <w:t>月</w:t>
      </w:r>
      <w:r>
        <w:rPr>
          <w:rFonts w:asciiTheme="minorEastAsia" w:hAnsiTheme="minorEastAsia"/>
          <w:sz w:val="24"/>
          <w:szCs w:val="24"/>
        </w:rPr>
        <w:t>30</w:t>
      </w:r>
      <w:r>
        <w:rPr>
          <w:rFonts w:asciiTheme="minorEastAsia" w:hAnsiTheme="minorEastAsia" w:hint="eastAsia"/>
          <w:sz w:val="24"/>
          <w:szCs w:val="24"/>
        </w:rPr>
        <w:t>日</w:t>
      </w:r>
    </w:p>
    <w:sectPr w:rsidR="002F720C" w:rsidSect="00496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06" w:rsidRDefault="002A4506" w:rsidP="002A4506">
      <w:r>
        <w:separator/>
      </w:r>
    </w:p>
  </w:endnote>
  <w:endnote w:type="continuationSeparator" w:id="0">
    <w:p w:rsidR="002A4506" w:rsidRDefault="002A4506" w:rsidP="002A4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06" w:rsidRDefault="002A4506" w:rsidP="002A4506">
      <w:r>
        <w:separator/>
      </w:r>
    </w:p>
  </w:footnote>
  <w:footnote w:type="continuationSeparator" w:id="0">
    <w:p w:rsidR="002A4506" w:rsidRDefault="002A4506" w:rsidP="002A4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56D"/>
    <w:rsid w:val="0000156D"/>
    <w:rsid w:val="00007A71"/>
    <w:rsid w:val="000111D7"/>
    <w:rsid w:val="00011804"/>
    <w:rsid w:val="000300AF"/>
    <w:rsid w:val="00043146"/>
    <w:rsid w:val="000649B5"/>
    <w:rsid w:val="00083774"/>
    <w:rsid w:val="00085288"/>
    <w:rsid w:val="000868B2"/>
    <w:rsid w:val="00091CE3"/>
    <w:rsid w:val="00095275"/>
    <w:rsid w:val="000A69BC"/>
    <w:rsid w:val="000B4452"/>
    <w:rsid w:val="000E4750"/>
    <w:rsid w:val="001021E6"/>
    <w:rsid w:val="001142D2"/>
    <w:rsid w:val="001B0EFB"/>
    <w:rsid w:val="001D0E8A"/>
    <w:rsid w:val="001D47D0"/>
    <w:rsid w:val="002321AA"/>
    <w:rsid w:val="002373F7"/>
    <w:rsid w:val="00272386"/>
    <w:rsid w:val="00276D46"/>
    <w:rsid w:val="002A4506"/>
    <w:rsid w:val="002A58D2"/>
    <w:rsid w:val="002B7C17"/>
    <w:rsid w:val="002C6391"/>
    <w:rsid w:val="002F2467"/>
    <w:rsid w:val="002F5F9E"/>
    <w:rsid w:val="002F71EE"/>
    <w:rsid w:val="002F720C"/>
    <w:rsid w:val="00301E16"/>
    <w:rsid w:val="0031102D"/>
    <w:rsid w:val="003152D9"/>
    <w:rsid w:val="00330DF2"/>
    <w:rsid w:val="0036490B"/>
    <w:rsid w:val="00367587"/>
    <w:rsid w:val="003725A8"/>
    <w:rsid w:val="00374EC3"/>
    <w:rsid w:val="003A14A0"/>
    <w:rsid w:val="003A3E5C"/>
    <w:rsid w:val="003C677A"/>
    <w:rsid w:val="003D1437"/>
    <w:rsid w:val="003D1879"/>
    <w:rsid w:val="003F0F17"/>
    <w:rsid w:val="00400B8A"/>
    <w:rsid w:val="00406F58"/>
    <w:rsid w:val="0042524B"/>
    <w:rsid w:val="00437BEA"/>
    <w:rsid w:val="00464CA8"/>
    <w:rsid w:val="00472936"/>
    <w:rsid w:val="00477BAA"/>
    <w:rsid w:val="00483F77"/>
    <w:rsid w:val="00492C26"/>
    <w:rsid w:val="0049608C"/>
    <w:rsid w:val="004B551E"/>
    <w:rsid w:val="0051537B"/>
    <w:rsid w:val="005314C6"/>
    <w:rsid w:val="00536E0B"/>
    <w:rsid w:val="005463E0"/>
    <w:rsid w:val="005662EF"/>
    <w:rsid w:val="00572FE7"/>
    <w:rsid w:val="005C7B43"/>
    <w:rsid w:val="005D4706"/>
    <w:rsid w:val="005F7D2B"/>
    <w:rsid w:val="00601029"/>
    <w:rsid w:val="00611D4F"/>
    <w:rsid w:val="006157A6"/>
    <w:rsid w:val="00630241"/>
    <w:rsid w:val="00635A14"/>
    <w:rsid w:val="00673C0D"/>
    <w:rsid w:val="00676A7B"/>
    <w:rsid w:val="00685A39"/>
    <w:rsid w:val="00692B76"/>
    <w:rsid w:val="006C62D7"/>
    <w:rsid w:val="006E6830"/>
    <w:rsid w:val="0070617E"/>
    <w:rsid w:val="00711D67"/>
    <w:rsid w:val="007246FD"/>
    <w:rsid w:val="007259E6"/>
    <w:rsid w:val="007C5623"/>
    <w:rsid w:val="00856BE5"/>
    <w:rsid w:val="00860D2E"/>
    <w:rsid w:val="008631BE"/>
    <w:rsid w:val="008D413C"/>
    <w:rsid w:val="00934F8D"/>
    <w:rsid w:val="00964FCB"/>
    <w:rsid w:val="00996987"/>
    <w:rsid w:val="009A7F67"/>
    <w:rsid w:val="009C02B8"/>
    <w:rsid w:val="009C078F"/>
    <w:rsid w:val="009C5DFB"/>
    <w:rsid w:val="009C5EF7"/>
    <w:rsid w:val="009D2382"/>
    <w:rsid w:val="00A1110C"/>
    <w:rsid w:val="00A3300D"/>
    <w:rsid w:val="00A4164C"/>
    <w:rsid w:val="00A45C86"/>
    <w:rsid w:val="00A812D7"/>
    <w:rsid w:val="00AA2843"/>
    <w:rsid w:val="00AC0475"/>
    <w:rsid w:val="00AD1EE4"/>
    <w:rsid w:val="00AD7F00"/>
    <w:rsid w:val="00AF2009"/>
    <w:rsid w:val="00AF77C2"/>
    <w:rsid w:val="00B12788"/>
    <w:rsid w:val="00B35763"/>
    <w:rsid w:val="00B73A03"/>
    <w:rsid w:val="00B84FAD"/>
    <w:rsid w:val="00B86D80"/>
    <w:rsid w:val="00B95638"/>
    <w:rsid w:val="00BC3AF6"/>
    <w:rsid w:val="00BC502D"/>
    <w:rsid w:val="00BF46DB"/>
    <w:rsid w:val="00BF6235"/>
    <w:rsid w:val="00C629E4"/>
    <w:rsid w:val="00C770EA"/>
    <w:rsid w:val="00CA66AD"/>
    <w:rsid w:val="00CD09FB"/>
    <w:rsid w:val="00CF5CC1"/>
    <w:rsid w:val="00D12B62"/>
    <w:rsid w:val="00D64813"/>
    <w:rsid w:val="00DB25AD"/>
    <w:rsid w:val="00DB7DDF"/>
    <w:rsid w:val="00DC0BED"/>
    <w:rsid w:val="00DD2A1D"/>
    <w:rsid w:val="00DE0AA8"/>
    <w:rsid w:val="00DF1E96"/>
    <w:rsid w:val="00DF25AF"/>
    <w:rsid w:val="00E2770F"/>
    <w:rsid w:val="00E609A8"/>
    <w:rsid w:val="00E857FB"/>
    <w:rsid w:val="00E92F9A"/>
    <w:rsid w:val="00E94192"/>
    <w:rsid w:val="00EE2766"/>
    <w:rsid w:val="00EE50DB"/>
    <w:rsid w:val="00F208B9"/>
    <w:rsid w:val="00F51449"/>
    <w:rsid w:val="00F80390"/>
    <w:rsid w:val="00FA5B2F"/>
    <w:rsid w:val="00FE15BE"/>
    <w:rsid w:val="03324788"/>
    <w:rsid w:val="1A4D3FE6"/>
    <w:rsid w:val="3D173FC1"/>
    <w:rsid w:val="42876728"/>
    <w:rsid w:val="5BBF0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9608C"/>
    <w:pPr>
      <w:jc w:val="left"/>
    </w:pPr>
  </w:style>
  <w:style w:type="paragraph" w:styleId="a4">
    <w:name w:val="Balloon Text"/>
    <w:basedOn w:val="a"/>
    <w:link w:val="Char0"/>
    <w:uiPriority w:val="99"/>
    <w:semiHidden/>
    <w:unhideWhenUsed/>
    <w:rsid w:val="0049608C"/>
    <w:rPr>
      <w:sz w:val="18"/>
      <w:szCs w:val="18"/>
    </w:rPr>
  </w:style>
  <w:style w:type="paragraph" w:styleId="a5">
    <w:name w:val="footer"/>
    <w:basedOn w:val="a"/>
    <w:link w:val="Char1"/>
    <w:uiPriority w:val="99"/>
    <w:unhideWhenUsed/>
    <w:rsid w:val="0049608C"/>
    <w:pPr>
      <w:tabs>
        <w:tab w:val="center" w:pos="4153"/>
        <w:tab w:val="right" w:pos="8306"/>
      </w:tabs>
      <w:snapToGrid w:val="0"/>
      <w:jc w:val="left"/>
    </w:pPr>
    <w:rPr>
      <w:sz w:val="18"/>
      <w:szCs w:val="18"/>
    </w:rPr>
  </w:style>
  <w:style w:type="paragraph" w:styleId="a6">
    <w:name w:val="header"/>
    <w:basedOn w:val="a"/>
    <w:link w:val="Char2"/>
    <w:uiPriority w:val="99"/>
    <w:unhideWhenUsed/>
    <w:rsid w:val="0049608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49608C"/>
    <w:rPr>
      <w:b/>
      <w:bCs/>
    </w:rPr>
  </w:style>
  <w:style w:type="table" w:styleId="a8">
    <w:name w:val="Table Grid"/>
    <w:basedOn w:val="a1"/>
    <w:uiPriority w:val="59"/>
    <w:rsid w:val="0049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49608C"/>
    <w:rPr>
      <w:sz w:val="21"/>
      <w:szCs w:val="21"/>
    </w:rPr>
  </w:style>
  <w:style w:type="character" w:customStyle="1" w:styleId="Char0">
    <w:name w:val="批注框文本 Char"/>
    <w:basedOn w:val="a0"/>
    <w:link w:val="a4"/>
    <w:uiPriority w:val="99"/>
    <w:semiHidden/>
    <w:rsid w:val="0049608C"/>
    <w:rPr>
      <w:sz w:val="18"/>
      <w:szCs w:val="18"/>
    </w:rPr>
  </w:style>
  <w:style w:type="character" w:customStyle="1" w:styleId="Char">
    <w:name w:val="批注文字 Char"/>
    <w:basedOn w:val="a0"/>
    <w:link w:val="a3"/>
    <w:uiPriority w:val="99"/>
    <w:semiHidden/>
    <w:rsid w:val="0049608C"/>
  </w:style>
  <w:style w:type="character" w:customStyle="1" w:styleId="Char3">
    <w:name w:val="批注主题 Char"/>
    <w:basedOn w:val="Char"/>
    <w:link w:val="a7"/>
    <w:uiPriority w:val="99"/>
    <w:semiHidden/>
    <w:rsid w:val="0049608C"/>
    <w:rPr>
      <w:b/>
      <w:bCs/>
    </w:rPr>
  </w:style>
  <w:style w:type="character" w:customStyle="1" w:styleId="Char2">
    <w:name w:val="页眉 Char"/>
    <w:basedOn w:val="a0"/>
    <w:link w:val="a6"/>
    <w:uiPriority w:val="99"/>
    <w:qFormat/>
    <w:rsid w:val="0049608C"/>
    <w:rPr>
      <w:sz w:val="18"/>
      <w:szCs w:val="18"/>
    </w:rPr>
  </w:style>
  <w:style w:type="character" w:customStyle="1" w:styleId="Char1">
    <w:name w:val="页脚 Char"/>
    <w:basedOn w:val="a0"/>
    <w:link w:val="a5"/>
    <w:uiPriority w:val="99"/>
    <w:qFormat/>
    <w:rsid w:val="0049608C"/>
    <w:rPr>
      <w:sz w:val="18"/>
      <w:szCs w:val="18"/>
    </w:rPr>
  </w:style>
  <w:style w:type="character" w:customStyle="1" w:styleId="da">
    <w:name w:val="da"/>
    <w:basedOn w:val="a0"/>
    <w:qFormat/>
    <w:rsid w:val="0049608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1521</Characters>
  <Application>Microsoft Office Word</Application>
  <DocSecurity>4</DocSecurity>
  <Lines>12</Lines>
  <Paragraphs>3</Paragraphs>
  <ScaleCrop>false</ScaleCrop>
  <Company>Microsoft</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2020-11-29T16:02:00Z</dcterms:created>
  <dcterms:modified xsi:type="dcterms:W3CDTF">2020-11-29T16:02:00Z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