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450A" w:rsidRPr="009E6467" w:rsidRDefault="001A74A0" w:rsidP="0056450A">
      <w:pPr>
        <w:spacing w:line="360" w:lineRule="auto"/>
        <w:jc w:val="center"/>
        <w:rPr>
          <w:rFonts w:ascii="宋体" w:eastAsia="宋体" w:hAnsi="宋体"/>
          <w:b/>
          <w:sz w:val="28"/>
          <w:szCs w:val="24"/>
        </w:rPr>
      </w:pPr>
      <w:r w:rsidRPr="001A74A0">
        <w:rPr>
          <w:rFonts w:ascii="宋体" w:eastAsia="宋体" w:hAnsi="宋体" w:hint="eastAsia"/>
          <w:b/>
          <w:sz w:val="28"/>
          <w:szCs w:val="24"/>
        </w:rPr>
        <w:t>关于汇添富恒生指数分级证券投资基金转型并</w:t>
      </w:r>
      <w:r>
        <w:rPr>
          <w:rFonts w:ascii="宋体" w:eastAsia="宋体" w:hAnsi="宋体" w:hint="eastAsia"/>
          <w:b/>
          <w:sz w:val="28"/>
          <w:szCs w:val="24"/>
        </w:rPr>
        <w:t>变更</w:t>
      </w:r>
      <w:r w:rsidRPr="001A74A0">
        <w:rPr>
          <w:rFonts w:ascii="宋体" w:eastAsia="宋体" w:hAnsi="宋体" w:hint="eastAsia"/>
          <w:b/>
          <w:sz w:val="28"/>
          <w:szCs w:val="24"/>
        </w:rPr>
        <w:t>基金名称的提示性公告</w:t>
      </w:r>
    </w:p>
    <w:p w:rsidR="0056450A" w:rsidRPr="009E6467" w:rsidRDefault="0056450A" w:rsidP="0056450A">
      <w:pPr>
        <w:spacing w:line="360" w:lineRule="auto"/>
        <w:ind w:firstLineChars="200" w:firstLine="480"/>
        <w:rPr>
          <w:rFonts w:ascii="宋体" w:eastAsia="宋体" w:hAnsi="宋体"/>
          <w:sz w:val="24"/>
          <w:szCs w:val="24"/>
        </w:rPr>
      </w:pPr>
    </w:p>
    <w:p w:rsidR="00745CF3" w:rsidRDefault="0056450A" w:rsidP="00745CF3">
      <w:pPr>
        <w:spacing w:line="360" w:lineRule="auto"/>
        <w:ind w:firstLineChars="200" w:firstLine="480"/>
        <w:rPr>
          <w:rFonts w:ascii="宋体" w:eastAsia="宋体" w:hAnsi="宋体"/>
          <w:sz w:val="24"/>
          <w:szCs w:val="24"/>
        </w:rPr>
      </w:pPr>
      <w:r w:rsidRPr="009E6467">
        <w:rPr>
          <w:rFonts w:ascii="宋体" w:eastAsia="宋体" w:hAnsi="宋体"/>
          <w:sz w:val="24"/>
          <w:szCs w:val="24"/>
        </w:rPr>
        <w:t>汇添富基金管理股份有限公司</w:t>
      </w:r>
      <w:r w:rsidRPr="009E6467">
        <w:rPr>
          <w:rFonts w:ascii="宋体" w:eastAsia="宋体" w:hAnsi="宋体" w:hint="eastAsia"/>
          <w:sz w:val="24"/>
          <w:szCs w:val="24"/>
        </w:rPr>
        <w:t>（以下简称“</w:t>
      </w:r>
      <w:r w:rsidR="008F47E2">
        <w:rPr>
          <w:rFonts w:ascii="宋体" w:eastAsia="宋体" w:hAnsi="宋体" w:hint="eastAsia"/>
          <w:sz w:val="24"/>
          <w:szCs w:val="24"/>
        </w:rPr>
        <w:t>基金管理人</w:t>
      </w:r>
      <w:r w:rsidRPr="009E6467">
        <w:rPr>
          <w:rFonts w:ascii="宋体" w:eastAsia="宋体" w:hAnsi="宋体" w:hint="eastAsia"/>
          <w:sz w:val="24"/>
          <w:szCs w:val="24"/>
        </w:rPr>
        <w:t>”）已于2</w:t>
      </w:r>
      <w:r w:rsidRPr="009E6467">
        <w:rPr>
          <w:rFonts w:ascii="宋体" w:eastAsia="宋体" w:hAnsi="宋体"/>
          <w:sz w:val="24"/>
          <w:szCs w:val="24"/>
        </w:rPr>
        <w:t>020年</w:t>
      </w:r>
      <w:r>
        <w:rPr>
          <w:rFonts w:ascii="宋体" w:eastAsia="宋体" w:hAnsi="宋体"/>
          <w:sz w:val="24"/>
          <w:szCs w:val="24"/>
        </w:rPr>
        <w:t>10</w:t>
      </w:r>
      <w:r w:rsidRPr="009E6467">
        <w:rPr>
          <w:rFonts w:ascii="宋体" w:eastAsia="宋体" w:hAnsi="宋体" w:hint="eastAsia"/>
          <w:sz w:val="24"/>
          <w:szCs w:val="24"/>
        </w:rPr>
        <w:t>月</w:t>
      </w:r>
      <w:r>
        <w:rPr>
          <w:rFonts w:ascii="宋体" w:eastAsia="宋体" w:hAnsi="宋体"/>
          <w:sz w:val="24"/>
          <w:szCs w:val="24"/>
        </w:rPr>
        <w:t>30</w:t>
      </w:r>
      <w:r w:rsidRPr="009E6467">
        <w:rPr>
          <w:rFonts w:ascii="宋体" w:eastAsia="宋体" w:hAnsi="宋体"/>
          <w:sz w:val="24"/>
          <w:szCs w:val="24"/>
        </w:rPr>
        <w:t>日发布了</w:t>
      </w:r>
      <w:r w:rsidRPr="009E6467">
        <w:rPr>
          <w:rFonts w:ascii="宋体" w:eastAsia="宋体" w:hAnsi="宋体" w:hint="eastAsia"/>
          <w:sz w:val="24"/>
          <w:szCs w:val="24"/>
        </w:rPr>
        <w:t>《</w:t>
      </w:r>
      <w:r w:rsidRPr="0056450A">
        <w:rPr>
          <w:rFonts w:ascii="宋体" w:eastAsia="宋体" w:hAnsi="宋体" w:hint="eastAsia"/>
          <w:sz w:val="24"/>
          <w:szCs w:val="24"/>
        </w:rPr>
        <w:t>汇添富基金管理股份有限公司关于汇添富恒生指数分级证券投资基金基金份额持有人大会表决结果暨决议生效的公告</w:t>
      </w:r>
      <w:r w:rsidRPr="009E6467">
        <w:rPr>
          <w:rFonts w:ascii="宋体" w:eastAsia="宋体" w:hAnsi="宋体" w:hint="eastAsia"/>
          <w:sz w:val="24"/>
          <w:szCs w:val="24"/>
        </w:rPr>
        <w:t>》。根据转型安排，自2020年</w:t>
      </w:r>
      <w:r>
        <w:rPr>
          <w:rFonts w:ascii="宋体" w:eastAsia="宋体" w:hAnsi="宋体"/>
          <w:sz w:val="24"/>
          <w:szCs w:val="24"/>
        </w:rPr>
        <w:t>12</w:t>
      </w:r>
      <w:r w:rsidRPr="009E6467">
        <w:rPr>
          <w:rFonts w:ascii="宋体" w:eastAsia="宋体" w:hAnsi="宋体" w:hint="eastAsia"/>
          <w:sz w:val="24"/>
          <w:szCs w:val="24"/>
        </w:rPr>
        <w:t>月</w:t>
      </w:r>
      <w:r>
        <w:rPr>
          <w:rFonts w:ascii="宋体" w:eastAsia="宋体" w:hAnsi="宋体"/>
          <w:sz w:val="24"/>
          <w:szCs w:val="24"/>
        </w:rPr>
        <w:t>1</w:t>
      </w:r>
      <w:r w:rsidRPr="009E6467">
        <w:rPr>
          <w:rFonts w:ascii="宋体" w:eastAsia="宋体" w:hAnsi="宋体" w:hint="eastAsia"/>
          <w:sz w:val="24"/>
          <w:szCs w:val="24"/>
        </w:rPr>
        <w:t>日起，变更后的《</w:t>
      </w:r>
      <w:r w:rsidRPr="0056450A">
        <w:rPr>
          <w:rFonts w:ascii="宋体" w:eastAsia="宋体" w:hAnsi="宋体" w:hint="eastAsia"/>
          <w:sz w:val="24"/>
          <w:szCs w:val="24"/>
        </w:rPr>
        <w:t>汇添富恒生指数型证券投资基金（QDII-LOF）</w:t>
      </w:r>
      <w:r w:rsidRPr="00E127A6">
        <w:rPr>
          <w:rFonts w:ascii="宋体" w:eastAsia="宋体" w:hAnsi="宋体" w:hint="eastAsia"/>
          <w:sz w:val="24"/>
          <w:szCs w:val="24"/>
        </w:rPr>
        <w:t>基金合同</w:t>
      </w:r>
      <w:r w:rsidRPr="009E6467">
        <w:rPr>
          <w:rFonts w:ascii="宋体" w:eastAsia="宋体" w:hAnsi="宋体" w:hint="eastAsia"/>
          <w:sz w:val="24"/>
          <w:szCs w:val="24"/>
        </w:rPr>
        <w:t>》生效，</w:t>
      </w:r>
      <w:r w:rsidRPr="00E127A6">
        <w:rPr>
          <w:rFonts w:ascii="宋体" w:eastAsia="宋体" w:hAnsi="宋体" w:hint="eastAsia"/>
          <w:sz w:val="24"/>
          <w:szCs w:val="24"/>
        </w:rPr>
        <w:t>原《</w:t>
      </w:r>
      <w:r w:rsidRPr="0056450A">
        <w:rPr>
          <w:rFonts w:ascii="宋体" w:eastAsia="宋体" w:hAnsi="宋体" w:hint="eastAsia"/>
          <w:sz w:val="24"/>
          <w:szCs w:val="24"/>
        </w:rPr>
        <w:t>汇添富恒生指数分级证券投资基金</w:t>
      </w:r>
      <w:r w:rsidRPr="00E127A6">
        <w:rPr>
          <w:rFonts w:ascii="宋体" w:eastAsia="宋体" w:hAnsi="宋体" w:hint="eastAsia"/>
          <w:sz w:val="24"/>
          <w:szCs w:val="24"/>
        </w:rPr>
        <w:t>基金合同》自同一日起失效</w:t>
      </w:r>
      <w:r w:rsidR="002232B6">
        <w:rPr>
          <w:rFonts w:ascii="宋体" w:eastAsia="宋体" w:hAnsi="宋体" w:hint="eastAsia"/>
          <w:sz w:val="24"/>
          <w:szCs w:val="24"/>
        </w:rPr>
        <w:t>，</w:t>
      </w:r>
      <w:r w:rsidR="002232B6" w:rsidRPr="002232B6">
        <w:rPr>
          <w:rFonts w:ascii="宋体" w:eastAsia="宋体" w:hAnsi="宋体" w:hint="eastAsia"/>
          <w:sz w:val="24"/>
          <w:szCs w:val="24"/>
        </w:rPr>
        <w:t>基金名称由“汇添富恒生指数分级证券投资基金”变更为“汇添富恒生指数型证券投资基金（QDII-LOF）”</w:t>
      </w:r>
      <w:r w:rsidRPr="00E127A6">
        <w:rPr>
          <w:rFonts w:ascii="宋体" w:eastAsia="宋体" w:hAnsi="宋体" w:hint="eastAsia"/>
          <w:sz w:val="24"/>
          <w:szCs w:val="24"/>
        </w:rPr>
        <w:t>。</w:t>
      </w:r>
      <w:r w:rsidR="00745CF3" w:rsidRPr="00745CF3">
        <w:rPr>
          <w:rFonts w:ascii="宋体" w:eastAsia="宋体" w:hAnsi="宋体" w:hint="eastAsia"/>
          <w:sz w:val="24"/>
          <w:szCs w:val="24"/>
        </w:rPr>
        <w:t>汇添富恒生指数型证券投资基金（QDII-LOF）</w:t>
      </w:r>
      <w:r w:rsidR="002232B6">
        <w:rPr>
          <w:rFonts w:ascii="宋体" w:eastAsia="宋体" w:hAnsi="宋体" w:hint="eastAsia"/>
          <w:sz w:val="24"/>
          <w:szCs w:val="24"/>
        </w:rPr>
        <w:t>的</w:t>
      </w:r>
      <w:r w:rsidR="00745CF3">
        <w:rPr>
          <w:rFonts w:ascii="宋体" w:eastAsia="宋体" w:hAnsi="宋体" w:hint="eastAsia"/>
          <w:sz w:val="24"/>
          <w:szCs w:val="24"/>
        </w:rPr>
        <w:t>基本信息如下表所示：</w:t>
      </w:r>
    </w:p>
    <w:tbl>
      <w:tblPr>
        <w:tblStyle w:val="a7"/>
        <w:tblW w:w="5000" w:type="pct"/>
        <w:tblLook w:val="04A0"/>
      </w:tblPr>
      <w:tblGrid>
        <w:gridCol w:w="1453"/>
        <w:gridCol w:w="1309"/>
        <w:gridCol w:w="3629"/>
        <w:gridCol w:w="2131"/>
      </w:tblGrid>
      <w:tr w:rsidR="00745CF3" w:rsidTr="002232B6">
        <w:tc>
          <w:tcPr>
            <w:tcW w:w="852" w:type="pct"/>
          </w:tcPr>
          <w:p w:rsidR="00745CF3" w:rsidRPr="002232B6" w:rsidRDefault="00745CF3" w:rsidP="002232B6">
            <w:pPr>
              <w:spacing w:line="360" w:lineRule="auto"/>
              <w:jc w:val="center"/>
              <w:rPr>
                <w:rFonts w:ascii="宋体" w:eastAsia="宋体" w:hAnsi="宋体"/>
                <w:b/>
                <w:sz w:val="24"/>
                <w:szCs w:val="24"/>
              </w:rPr>
            </w:pPr>
            <w:r w:rsidRPr="002232B6">
              <w:rPr>
                <w:rFonts w:ascii="宋体" w:eastAsia="宋体" w:hAnsi="宋体" w:hint="eastAsia"/>
                <w:b/>
                <w:sz w:val="24"/>
                <w:szCs w:val="24"/>
              </w:rPr>
              <w:t>份额类别</w:t>
            </w:r>
          </w:p>
        </w:tc>
        <w:tc>
          <w:tcPr>
            <w:tcW w:w="768" w:type="pct"/>
          </w:tcPr>
          <w:p w:rsidR="00745CF3" w:rsidRPr="002232B6" w:rsidRDefault="00745CF3" w:rsidP="002232B6">
            <w:pPr>
              <w:spacing w:line="360" w:lineRule="auto"/>
              <w:jc w:val="center"/>
              <w:rPr>
                <w:rFonts w:ascii="宋体" w:eastAsia="宋体" w:hAnsi="宋体"/>
                <w:b/>
                <w:sz w:val="24"/>
                <w:szCs w:val="24"/>
              </w:rPr>
            </w:pPr>
            <w:r w:rsidRPr="002232B6">
              <w:rPr>
                <w:rFonts w:ascii="宋体" w:eastAsia="宋体" w:hAnsi="宋体" w:hint="eastAsia"/>
                <w:b/>
                <w:sz w:val="24"/>
                <w:szCs w:val="24"/>
              </w:rPr>
              <w:t>基金代码</w:t>
            </w:r>
          </w:p>
        </w:tc>
        <w:tc>
          <w:tcPr>
            <w:tcW w:w="2129" w:type="pct"/>
          </w:tcPr>
          <w:p w:rsidR="00745CF3" w:rsidRPr="002232B6" w:rsidRDefault="00745CF3" w:rsidP="002232B6">
            <w:pPr>
              <w:spacing w:line="360" w:lineRule="auto"/>
              <w:jc w:val="center"/>
              <w:rPr>
                <w:rFonts w:ascii="宋体" w:eastAsia="宋体" w:hAnsi="宋体"/>
                <w:b/>
                <w:sz w:val="24"/>
                <w:szCs w:val="24"/>
              </w:rPr>
            </w:pPr>
            <w:r w:rsidRPr="002232B6">
              <w:rPr>
                <w:rFonts w:ascii="宋体" w:eastAsia="宋体" w:hAnsi="宋体" w:hint="eastAsia"/>
                <w:b/>
                <w:sz w:val="24"/>
                <w:szCs w:val="24"/>
              </w:rPr>
              <w:t>基金简称</w:t>
            </w:r>
          </w:p>
        </w:tc>
        <w:tc>
          <w:tcPr>
            <w:tcW w:w="1250" w:type="pct"/>
          </w:tcPr>
          <w:p w:rsidR="00745CF3" w:rsidRPr="002232B6" w:rsidRDefault="00745CF3" w:rsidP="002232B6">
            <w:pPr>
              <w:spacing w:line="360" w:lineRule="auto"/>
              <w:jc w:val="center"/>
              <w:rPr>
                <w:rFonts w:ascii="宋体" w:eastAsia="宋体" w:hAnsi="宋体"/>
                <w:b/>
                <w:sz w:val="24"/>
                <w:szCs w:val="24"/>
              </w:rPr>
            </w:pPr>
            <w:r w:rsidRPr="002232B6">
              <w:rPr>
                <w:rFonts w:ascii="宋体" w:eastAsia="宋体" w:hAnsi="宋体" w:hint="eastAsia"/>
                <w:b/>
                <w:sz w:val="24"/>
                <w:szCs w:val="24"/>
              </w:rPr>
              <w:t>场内简称</w:t>
            </w:r>
          </w:p>
        </w:tc>
      </w:tr>
      <w:tr w:rsidR="00745CF3" w:rsidTr="002232B6">
        <w:tc>
          <w:tcPr>
            <w:tcW w:w="852" w:type="pct"/>
          </w:tcPr>
          <w:p w:rsidR="00745CF3" w:rsidRDefault="00745CF3" w:rsidP="002232B6">
            <w:pPr>
              <w:spacing w:line="360" w:lineRule="auto"/>
              <w:jc w:val="center"/>
              <w:rPr>
                <w:rFonts w:ascii="宋体" w:eastAsia="宋体" w:hAnsi="宋体"/>
                <w:sz w:val="24"/>
                <w:szCs w:val="24"/>
              </w:rPr>
            </w:pPr>
            <w:r>
              <w:rPr>
                <w:rFonts w:ascii="宋体" w:eastAsia="宋体" w:hAnsi="宋体" w:hint="eastAsia"/>
                <w:sz w:val="24"/>
                <w:szCs w:val="24"/>
              </w:rPr>
              <w:t>A类份额</w:t>
            </w:r>
          </w:p>
        </w:tc>
        <w:tc>
          <w:tcPr>
            <w:tcW w:w="768" w:type="pct"/>
          </w:tcPr>
          <w:p w:rsidR="00745CF3" w:rsidRDefault="00745CF3" w:rsidP="002232B6">
            <w:pPr>
              <w:spacing w:line="360" w:lineRule="auto"/>
              <w:jc w:val="center"/>
              <w:rPr>
                <w:rFonts w:ascii="宋体" w:eastAsia="宋体" w:hAnsi="宋体"/>
                <w:sz w:val="24"/>
                <w:szCs w:val="24"/>
              </w:rPr>
            </w:pPr>
            <w:r w:rsidRPr="00745CF3">
              <w:rPr>
                <w:rFonts w:ascii="宋体" w:eastAsia="宋体" w:hAnsi="宋体" w:hint="eastAsia"/>
                <w:sz w:val="24"/>
                <w:szCs w:val="24"/>
              </w:rPr>
              <w:t>164705</w:t>
            </w:r>
          </w:p>
        </w:tc>
        <w:tc>
          <w:tcPr>
            <w:tcW w:w="2129" w:type="pct"/>
          </w:tcPr>
          <w:p w:rsidR="00745CF3" w:rsidRDefault="00745CF3" w:rsidP="002232B6">
            <w:pPr>
              <w:spacing w:line="360" w:lineRule="auto"/>
              <w:jc w:val="center"/>
              <w:rPr>
                <w:rFonts w:ascii="宋体" w:eastAsia="宋体" w:hAnsi="宋体"/>
                <w:sz w:val="24"/>
                <w:szCs w:val="24"/>
              </w:rPr>
            </w:pPr>
            <w:r w:rsidRPr="00745CF3">
              <w:rPr>
                <w:rFonts w:ascii="宋体" w:eastAsia="宋体" w:hAnsi="宋体" w:hint="eastAsia"/>
                <w:sz w:val="24"/>
                <w:szCs w:val="24"/>
              </w:rPr>
              <w:t>汇添富恒生指数（QDII-LOF）A</w:t>
            </w:r>
          </w:p>
        </w:tc>
        <w:tc>
          <w:tcPr>
            <w:tcW w:w="1250" w:type="pct"/>
          </w:tcPr>
          <w:p w:rsidR="00745CF3" w:rsidRDefault="00745CF3" w:rsidP="002232B6">
            <w:pPr>
              <w:spacing w:line="360" w:lineRule="auto"/>
              <w:jc w:val="center"/>
              <w:rPr>
                <w:rFonts w:ascii="宋体" w:eastAsia="宋体" w:hAnsi="宋体"/>
                <w:sz w:val="24"/>
                <w:szCs w:val="24"/>
              </w:rPr>
            </w:pPr>
            <w:r w:rsidRPr="00745CF3">
              <w:rPr>
                <w:rFonts w:ascii="宋体" w:eastAsia="宋体" w:hAnsi="宋体" w:hint="eastAsia"/>
                <w:sz w:val="24"/>
                <w:szCs w:val="24"/>
              </w:rPr>
              <w:t>添富恒生</w:t>
            </w:r>
          </w:p>
        </w:tc>
      </w:tr>
      <w:tr w:rsidR="00745CF3" w:rsidTr="002232B6">
        <w:tc>
          <w:tcPr>
            <w:tcW w:w="852" w:type="pct"/>
          </w:tcPr>
          <w:p w:rsidR="00745CF3" w:rsidRDefault="00745CF3" w:rsidP="002232B6">
            <w:pPr>
              <w:spacing w:line="360" w:lineRule="auto"/>
              <w:jc w:val="center"/>
              <w:rPr>
                <w:rFonts w:ascii="宋体" w:eastAsia="宋体" w:hAnsi="宋体"/>
                <w:sz w:val="24"/>
                <w:szCs w:val="24"/>
              </w:rPr>
            </w:pPr>
            <w:r w:rsidRPr="00745CF3">
              <w:rPr>
                <w:rFonts w:ascii="宋体" w:eastAsia="宋体" w:hAnsi="宋体" w:hint="eastAsia"/>
                <w:sz w:val="24"/>
                <w:szCs w:val="24"/>
              </w:rPr>
              <w:t>C类份额</w:t>
            </w:r>
          </w:p>
        </w:tc>
        <w:tc>
          <w:tcPr>
            <w:tcW w:w="768" w:type="pct"/>
          </w:tcPr>
          <w:p w:rsidR="00745CF3" w:rsidRDefault="002232B6" w:rsidP="002232B6">
            <w:pPr>
              <w:spacing w:line="360" w:lineRule="auto"/>
              <w:jc w:val="center"/>
              <w:rPr>
                <w:rFonts w:ascii="宋体" w:eastAsia="宋体" w:hAnsi="宋体"/>
                <w:sz w:val="24"/>
                <w:szCs w:val="24"/>
              </w:rPr>
            </w:pPr>
            <w:r w:rsidRPr="002232B6">
              <w:rPr>
                <w:rFonts w:ascii="宋体" w:eastAsia="宋体" w:hAnsi="宋体"/>
                <w:sz w:val="24"/>
                <w:szCs w:val="24"/>
              </w:rPr>
              <w:t>010789</w:t>
            </w:r>
          </w:p>
        </w:tc>
        <w:tc>
          <w:tcPr>
            <w:tcW w:w="2129" w:type="pct"/>
          </w:tcPr>
          <w:p w:rsidR="00745CF3" w:rsidRDefault="002232B6" w:rsidP="002232B6">
            <w:pPr>
              <w:spacing w:line="360" w:lineRule="auto"/>
              <w:jc w:val="center"/>
              <w:rPr>
                <w:rFonts w:ascii="宋体" w:eastAsia="宋体" w:hAnsi="宋体"/>
                <w:sz w:val="24"/>
                <w:szCs w:val="24"/>
              </w:rPr>
            </w:pPr>
            <w:r w:rsidRPr="002232B6">
              <w:rPr>
                <w:rFonts w:ascii="宋体" w:eastAsia="宋体" w:hAnsi="宋体" w:hint="eastAsia"/>
                <w:sz w:val="24"/>
                <w:szCs w:val="24"/>
              </w:rPr>
              <w:t>汇添富恒生指数（QDII-LOF）C</w:t>
            </w:r>
          </w:p>
        </w:tc>
        <w:tc>
          <w:tcPr>
            <w:tcW w:w="1250" w:type="pct"/>
          </w:tcPr>
          <w:p w:rsidR="00745CF3" w:rsidRDefault="002A3B1F" w:rsidP="002232B6">
            <w:pPr>
              <w:spacing w:line="360" w:lineRule="auto"/>
              <w:jc w:val="center"/>
              <w:rPr>
                <w:rFonts w:ascii="宋体" w:eastAsia="宋体" w:hAnsi="宋体"/>
                <w:sz w:val="24"/>
                <w:szCs w:val="24"/>
              </w:rPr>
            </w:pPr>
            <w:r>
              <w:rPr>
                <w:rFonts w:ascii="宋体" w:eastAsia="宋体" w:hAnsi="宋体" w:hint="eastAsia"/>
                <w:sz w:val="24"/>
                <w:szCs w:val="24"/>
              </w:rPr>
              <w:t>-</w:t>
            </w:r>
          </w:p>
        </w:tc>
      </w:tr>
    </w:tbl>
    <w:p w:rsidR="008F47E2" w:rsidRPr="009E6467" w:rsidRDefault="008F47E2" w:rsidP="0056450A">
      <w:pPr>
        <w:spacing w:line="360" w:lineRule="auto"/>
        <w:ind w:firstLineChars="200" w:firstLine="480"/>
        <w:rPr>
          <w:rFonts w:ascii="宋体" w:eastAsia="宋体" w:hAnsi="宋体"/>
          <w:sz w:val="24"/>
          <w:szCs w:val="24"/>
        </w:rPr>
      </w:pPr>
      <w:r w:rsidRPr="008F47E2">
        <w:rPr>
          <w:rFonts w:ascii="宋体" w:eastAsia="宋体" w:hAnsi="宋体" w:hint="eastAsia"/>
          <w:sz w:val="24"/>
          <w:szCs w:val="24"/>
        </w:rPr>
        <w:t>根据《中华人民共和国证券投资基金法》《公开募集证券投资基金信息披露管理办法》《存托凭证发行与交易管理办法（试行）》等法律法规及</w:t>
      </w:r>
      <w:r w:rsidRPr="009E6467">
        <w:rPr>
          <w:rFonts w:ascii="宋体" w:eastAsia="宋体" w:hAnsi="宋体" w:hint="eastAsia"/>
          <w:sz w:val="24"/>
          <w:szCs w:val="24"/>
        </w:rPr>
        <w:t>《</w:t>
      </w:r>
      <w:r w:rsidRPr="0056450A">
        <w:rPr>
          <w:rFonts w:ascii="宋体" w:eastAsia="宋体" w:hAnsi="宋体" w:hint="eastAsia"/>
          <w:sz w:val="24"/>
          <w:szCs w:val="24"/>
        </w:rPr>
        <w:t>汇添富恒生指数型证券投资基金（QDII-LOF）</w:t>
      </w:r>
      <w:r w:rsidRPr="00E127A6">
        <w:rPr>
          <w:rFonts w:ascii="宋体" w:eastAsia="宋体" w:hAnsi="宋体" w:hint="eastAsia"/>
          <w:sz w:val="24"/>
          <w:szCs w:val="24"/>
        </w:rPr>
        <w:t>基金合同</w:t>
      </w:r>
      <w:r w:rsidRPr="009E6467">
        <w:rPr>
          <w:rFonts w:ascii="宋体" w:eastAsia="宋体" w:hAnsi="宋体" w:hint="eastAsia"/>
          <w:sz w:val="24"/>
          <w:szCs w:val="24"/>
        </w:rPr>
        <w:t>》</w:t>
      </w:r>
      <w:r w:rsidRPr="008F47E2">
        <w:rPr>
          <w:rFonts w:ascii="宋体" w:eastAsia="宋体" w:hAnsi="宋体" w:hint="eastAsia"/>
          <w:sz w:val="24"/>
          <w:szCs w:val="24"/>
        </w:rPr>
        <w:t>等规定，经与基金托管人协商一致，并向中国证监会备案，</w:t>
      </w:r>
      <w:r w:rsidRPr="0056450A">
        <w:rPr>
          <w:rFonts w:ascii="宋体" w:eastAsia="宋体" w:hAnsi="宋体" w:hint="eastAsia"/>
          <w:sz w:val="24"/>
          <w:szCs w:val="24"/>
        </w:rPr>
        <w:t>汇添富恒生指数型证券投资基金（QDII-LOF）</w:t>
      </w:r>
      <w:r>
        <w:rPr>
          <w:rFonts w:ascii="宋体" w:eastAsia="宋体" w:hAnsi="宋体" w:hint="eastAsia"/>
          <w:sz w:val="24"/>
          <w:szCs w:val="24"/>
        </w:rPr>
        <w:t>(以下简称“本基金”)</w:t>
      </w:r>
      <w:r w:rsidRPr="008F47E2">
        <w:rPr>
          <w:rFonts w:hint="eastAsia"/>
        </w:rPr>
        <w:t xml:space="preserve"> </w:t>
      </w:r>
      <w:r w:rsidRPr="008F47E2">
        <w:rPr>
          <w:rFonts w:ascii="宋体" w:eastAsia="宋体" w:hAnsi="宋体" w:hint="eastAsia"/>
          <w:sz w:val="24"/>
          <w:szCs w:val="24"/>
        </w:rPr>
        <w:t>就参与存托凭证投资事宜修订</w:t>
      </w:r>
      <w:r>
        <w:rPr>
          <w:rFonts w:ascii="宋体" w:eastAsia="宋体" w:hAnsi="宋体" w:hint="eastAsia"/>
          <w:sz w:val="24"/>
          <w:szCs w:val="24"/>
        </w:rPr>
        <w:t>本基金的</w:t>
      </w:r>
      <w:r w:rsidRPr="008F47E2">
        <w:rPr>
          <w:rFonts w:ascii="宋体" w:eastAsia="宋体" w:hAnsi="宋体" w:hint="eastAsia"/>
          <w:sz w:val="24"/>
          <w:szCs w:val="24"/>
        </w:rPr>
        <w:t>基金合同、托管协议等法律文件，包括增加存托凭证的投资风险、明确投资范围包含存托凭证、增加存托凭证的投资策略、投资比例限制、估值方法等。本次修订自2020年1</w:t>
      </w:r>
      <w:r>
        <w:rPr>
          <w:rFonts w:ascii="宋体" w:eastAsia="宋体" w:hAnsi="宋体"/>
          <w:sz w:val="24"/>
          <w:szCs w:val="24"/>
        </w:rPr>
        <w:t>2</w:t>
      </w:r>
      <w:r w:rsidRPr="008F47E2">
        <w:rPr>
          <w:rFonts w:ascii="宋体" w:eastAsia="宋体" w:hAnsi="宋体" w:hint="eastAsia"/>
          <w:sz w:val="24"/>
          <w:szCs w:val="24"/>
        </w:rPr>
        <w:t>月</w:t>
      </w:r>
      <w:r>
        <w:rPr>
          <w:rFonts w:ascii="宋体" w:eastAsia="宋体" w:hAnsi="宋体"/>
          <w:sz w:val="24"/>
          <w:szCs w:val="24"/>
        </w:rPr>
        <w:t>1</w:t>
      </w:r>
      <w:r w:rsidRPr="008F47E2">
        <w:rPr>
          <w:rFonts w:ascii="宋体" w:eastAsia="宋体" w:hAnsi="宋体" w:hint="eastAsia"/>
          <w:sz w:val="24"/>
          <w:szCs w:val="24"/>
        </w:rPr>
        <w:t>日起正式生效。</w:t>
      </w:r>
    </w:p>
    <w:p w:rsidR="0056450A" w:rsidRPr="009E6467" w:rsidRDefault="002F3964" w:rsidP="0056450A">
      <w:pPr>
        <w:spacing w:line="360" w:lineRule="auto"/>
        <w:ind w:firstLineChars="200" w:firstLine="480"/>
        <w:rPr>
          <w:rFonts w:ascii="宋体" w:eastAsia="宋体" w:hAnsi="宋体"/>
          <w:sz w:val="24"/>
          <w:szCs w:val="24"/>
        </w:rPr>
      </w:pPr>
      <w:r>
        <w:rPr>
          <w:rFonts w:ascii="宋体" w:eastAsia="宋体" w:hAnsi="宋体" w:hint="eastAsia"/>
          <w:sz w:val="24"/>
          <w:szCs w:val="24"/>
        </w:rPr>
        <w:t>本基金的</w:t>
      </w:r>
      <w:r w:rsidRPr="002F3964">
        <w:rPr>
          <w:rFonts w:ascii="宋体" w:eastAsia="宋体" w:hAnsi="宋体" w:hint="eastAsia"/>
          <w:sz w:val="24"/>
          <w:szCs w:val="24"/>
        </w:rPr>
        <w:t>基金合同全文和招募说明书全文于2020年1</w:t>
      </w:r>
      <w:r w:rsidR="00FD31B9">
        <w:rPr>
          <w:rFonts w:ascii="宋体" w:eastAsia="宋体" w:hAnsi="宋体"/>
          <w:sz w:val="24"/>
          <w:szCs w:val="24"/>
        </w:rPr>
        <w:t>1</w:t>
      </w:r>
      <w:r w:rsidRPr="002F3964">
        <w:rPr>
          <w:rFonts w:ascii="宋体" w:eastAsia="宋体" w:hAnsi="宋体" w:hint="eastAsia"/>
          <w:sz w:val="24"/>
          <w:szCs w:val="24"/>
        </w:rPr>
        <w:t>月</w:t>
      </w:r>
      <w:bookmarkStart w:id="0" w:name="_GoBack"/>
      <w:bookmarkEnd w:id="0"/>
      <w:r w:rsidR="00FD31B9">
        <w:rPr>
          <w:rFonts w:ascii="宋体" w:eastAsia="宋体" w:hAnsi="宋体"/>
          <w:sz w:val="24"/>
          <w:szCs w:val="24"/>
        </w:rPr>
        <w:t>28</w:t>
      </w:r>
      <w:r>
        <w:rPr>
          <w:rFonts w:ascii="宋体" w:eastAsia="宋体" w:hAnsi="宋体" w:hint="eastAsia"/>
          <w:sz w:val="24"/>
          <w:szCs w:val="24"/>
        </w:rPr>
        <w:t>日在</w:t>
      </w:r>
      <w:r w:rsidRPr="002F3964">
        <w:rPr>
          <w:rFonts w:ascii="宋体" w:eastAsia="宋体" w:hAnsi="宋体" w:hint="eastAsia"/>
          <w:sz w:val="24"/>
          <w:szCs w:val="24"/>
        </w:rPr>
        <w:t>基金管理人网站（www.99fund.com）和中国证监会基金电子披露网站（http://eid.csrc.gov.cn/fund）披露</w:t>
      </w:r>
      <w:r>
        <w:rPr>
          <w:rFonts w:ascii="宋体" w:eastAsia="宋体" w:hAnsi="宋体" w:hint="eastAsia"/>
          <w:sz w:val="24"/>
          <w:szCs w:val="24"/>
        </w:rPr>
        <w:t>。</w:t>
      </w:r>
      <w:r w:rsidR="0056450A" w:rsidRPr="009E6467">
        <w:rPr>
          <w:rFonts w:ascii="宋体" w:eastAsia="宋体" w:hAnsi="宋体" w:hint="eastAsia"/>
          <w:sz w:val="24"/>
          <w:szCs w:val="24"/>
        </w:rPr>
        <w:t>投资者欲了解</w:t>
      </w:r>
      <w:r w:rsidR="008F47E2">
        <w:rPr>
          <w:rFonts w:ascii="宋体" w:eastAsia="宋体" w:hAnsi="宋体" w:hint="eastAsia"/>
          <w:sz w:val="24"/>
          <w:szCs w:val="24"/>
        </w:rPr>
        <w:t>本基金</w:t>
      </w:r>
      <w:r w:rsidR="0056450A" w:rsidRPr="009E6467">
        <w:rPr>
          <w:rFonts w:ascii="宋体" w:eastAsia="宋体" w:hAnsi="宋体" w:hint="eastAsia"/>
          <w:sz w:val="24"/>
          <w:szCs w:val="24"/>
        </w:rPr>
        <w:t>的详细情况，</w:t>
      </w:r>
      <w:r w:rsidR="000519FF" w:rsidRPr="000519FF">
        <w:rPr>
          <w:rFonts w:ascii="宋体" w:eastAsia="宋体" w:hAnsi="宋体" w:hint="eastAsia"/>
          <w:sz w:val="24"/>
          <w:szCs w:val="24"/>
        </w:rPr>
        <w:t>请仔细阅读本基金基金合同、招募说明书及基金产品资料概要等信息披露文件</w:t>
      </w:r>
      <w:r w:rsidR="0056450A" w:rsidRPr="009E6467">
        <w:rPr>
          <w:rFonts w:ascii="宋体" w:eastAsia="宋体" w:hAnsi="宋体" w:hint="eastAsia"/>
          <w:sz w:val="24"/>
          <w:szCs w:val="24"/>
        </w:rPr>
        <w:t>，还可拨打本公司客户服务热线（400-888-9918）咨询相关信息。</w:t>
      </w:r>
    </w:p>
    <w:p w:rsidR="0056450A" w:rsidRPr="009E6467" w:rsidRDefault="0056450A" w:rsidP="0056450A">
      <w:pPr>
        <w:spacing w:line="360" w:lineRule="auto"/>
        <w:ind w:firstLineChars="200" w:firstLine="480"/>
        <w:rPr>
          <w:rFonts w:ascii="宋体" w:eastAsia="宋体" w:hAnsi="宋体"/>
          <w:sz w:val="24"/>
          <w:szCs w:val="24"/>
        </w:rPr>
      </w:pPr>
      <w:r w:rsidRPr="009E6467">
        <w:rPr>
          <w:rFonts w:ascii="宋体" w:eastAsia="宋体" w:hAnsi="宋体" w:hint="eastAsia"/>
          <w:sz w:val="24"/>
          <w:szCs w:val="24"/>
        </w:rPr>
        <w:t>汇添富基金高度重视投资者服务和投资者教育，特此提醒投资者需正确认知基金投资的风险和长期收益，做理性的基金投资人、做明白的基金投资人，享受</w:t>
      </w:r>
      <w:r w:rsidRPr="009E6467">
        <w:rPr>
          <w:rFonts w:ascii="宋体" w:eastAsia="宋体" w:hAnsi="宋体" w:hint="eastAsia"/>
          <w:sz w:val="24"/>
          <w:szCs w:val="24"/>
        </w:rPr>
        <w:lastRenderedPageBreak/>
        <w:t>长期投资的快乐！</w:t>
      </w:r>
    </w:p>
    <w:p w:rsidR="0056450A" w:rsidRPr="009E6467" w:rsidRDefault="0056450A" w:rsidP="0056450A">
      <w:pPr>
        <w:spacing w:line="360" w:lineRule="auto"/>
        <w:ind w:firstLineChars="200" w:firstLine="480"/>
        <w:rPr>
          <w:rFonts w:ascii="宋体" w:eastAsia="宋体" w:hAnsi="宋体"/>
          <w:sz w:val="24"/>
          <w:szCs w:val="24"/>
        </w:rPr>
      </w:pPr>
      <w:r w:rsidRPr="009E6467">
        <w:rPr>
          <w:rFonts w:ascii="宋体" w:eastAsia="宋体" w:hAnsi="宋体" w:hint="eastAsia"/>
          <w:sz w:val="24"/>
          <w:szCs w:val="24"/>
        </w:rPr>
        <w:t>特此公告。</w:t>
      </w:r>
    </w:p>
    <w:p w:rsidR="0056450A" w:rsidRPr="009E6467" w:rsidRDefault="0056450A" w:rsidP="0056450A">
      <w:pPr>
        <w:spacing w:line="360" w:lineRule="auto"/>
        <w:ind w:firstLineChars="200" w:firstLine="480"/>
        <w:jc w:val="right"/>
        <w:rPr>
          <w:rFonts w:ascii="宋体" w:eastAsia="宋体" w:hAnsi="宋体"/>
          <w:sz w:val="24"/>
          <w:szCs w:val="24"/>
        </w:rPr>
      </w:pPr>
      <w:r w:rsidRPr="009E6467">
        <w:rPr>
          <w:rFonts w:ascii="宋体" w:eastAsia="宋体" w:hAnsi="宋体" w:hint="eastAsia"/>
          <w:sz w:val="24"/>
          <w:szCs w:val="24"/>
        </w:rPr>
        <w:t>汇添富基金管理股份有限公司</w:t>
      </w:r>
    </w:p>
    <w:p w:rsidR="0056450A" w:rsidRPr="009E6467" w:rsidRDefault="0056450A" w:rsidP="0056450A">
      <w:pPr>
        <w:spacing w:line="360" w:lineRule="auto"/>
        <w:ind w:firstLineChars="200" w:firstLine="480"/>
        <w:jc w:val="right"/>
        <w:rPr>
          <w:rFonts w:ascii="宋体" w:eastAsia="宋体" w:hAnsi="宋体"/>
          <w:sz w:val="24"/>
          <w:szCs w:val="24"/>
        </w:rPr>
      </w:pPr>
      <w:r w:rsidRPr="00DE32B6">
        <w:rPr>
          <w:rFonts w:ascii="宋体" w:eastAsia="宋体" w:hAnsi="宋体" w:hint="eastAsia"/>
          <w:sz w:val="24"/>
          <w:szCs w:val="24"/>
        </w:rPr>
        <w:t>2</w:t>
      </w:r>
      <w:r w:rsidRPr="00DE32B6">
        <w:rPr>
          <w:rFonts w:ascii="宋体" w:eastAsia="宋体" w:hAnsi="宋体"/>
          <w:sz w:val="24"/>
          <w:szCs w:val="24"/>
        </w:rPr>
        <w:t>020年</w:t>
      </w:r>
      <w:r w:rsidR="00FD31B9">
        <w:rPr>
          <w:rFonts w:ascii="宋体" w:eastAsia="宋体" w:hAnsi="宋体"/>
          <w:sz w:val="24"/>
          <w:szCs w:val="24"/>
        </w:rPr>
        <w:t>11</w:t>
      </w:r>
      <w:r w:rsidRPr="00DE32B6">
        <w:rPr>
          <w:rFonts w:ascii="宋体" w:eastAsia="宋体" w:hAnsi="宋体" w:hint="eastAsia"/>
          <w:sz w:val="24"/>
          <w:szCs w:val="24"/>
        </w:rPr>
        <w:t>月</w:t>
      </w:r>
      <w:r w:rsidR="00FD31B9">
        <w:rPr>
          <w:rFonts w:ascii="宋体" w:eastAsia="宋体" w:hAnsi="宋体"/>
          <w:sz w:val="24"/>
          <w:szCs w:val="24"/>
        </w:rPr>
        <w:t>28</w:t>
      </w:r>
      <w:r w:rsidRPr="00DE32B6">
        <w:rPr>
          <w:rFonts w:ascii="宋体" w:eastAsia="宋体" w:hAnsi="宋体"/>
          <w:sz w:val="24"/>
          <w:szCs w:val="24"/>
        </w:rPr>
        <w:t>日</w:t>
      </w:r>
    </w:p>
    <w:p w:rsidR="00A72D91" w:rsidRDefault="00A72D91"/>
    <w:sectPr w:rsidR="00A72D91" w:rsidSect="00253CA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6FB4" w:rsidRDefault="00306FB4" w:rsidP="0056450A">
      <w:r>
        <w:separator/>
      </w:r>
    </w:p>
  </w:endnote>
  <w:endnote w:type="continuationSeparator" w:id="0">
    <w:p w:rsidR="00306FB4" w:rsidRDefault="00306FB4" w:rsidP="005645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libri Light">
    <w:charset w:val="00"/>
    <w:family w:val="swiss"/>
    <w:pitch w:val="variable"/>
    <w:sig w:usb0="E4002EFF" w:usb1="C000247B"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6FB4" w:rsidRDefault="00306FB4" w:rsidP="0056450A">
      <w:r>
        <w:separator/>
      </w:r>
    </w:p>
  </w:footnote>
  <w:footnote w:type="continuationSeparator" w:id="0">
    <w:p w:rsidR="00306FB4" w:rsidRDefault="00306FB4" w:rsidP="0056450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7D73EE"/>
    <w:multiLevelType w:val="multilevel"/>
    <w:tmpl w:val="8C647B58"/>
    <w:lvl w:ilvl="0">
      <w:start w:val="1"/>
      <w:numFmt w:val="decimal"/>
      <w:suff w:val="space"/>
      <w:lvlText w:val="§%1"/>
      <w:lvlJc w:val="left"/>
      <w:pPr>
        <w:ind w:left="425" w:hanging="425"/>
      </w:pPr>
      <w:rPr>
        <w:rFonts w:hint="eastAsia"/>
      </w:rPr>
    </w:lvl>
    <w:lvl w:ilvl="1">
      <w:start w:val="1"/>
      <w:numFmt w:val="decimal"/>
      <w:pStyle w:val="XBRLTitle2"/>
      <w:suff w:val="space"/>
      <w:lvlText w:val="%1.%2"/>
      <w:lvlJc w:val="left"/>
      <w:pPr>
        <w:ind w:left="2581" w:hanging="454"/>
      </w:pPr>
      <w:rPr>
        <w:rFonts w:hint="eastAsia"/>
      </w:rPr>
    </w:lvl>
    <w:lvl w:ilvl="2">
      <w:start w:val="1"/>
      <w:numFmt w:val="decimal"/>
      <w:pStyle w:val="XBRLTitle3"/>
      <w:suff w:val="space"/>
      <w:lvlText w:val="%1.%2.%3"/>
      <w:lvlJc w:val="left"/>
      <w:pPr>
        <w:ind w:left="624" w:hanging="624"/>
      </w:pPr>
      <w:rPr>
        <w:rFonts w:hint="eastAsia"/>
      </w:rPr>
    </w:lvl>
    <w:lvl w:ilvl="3">
      <w:start w:val="1"/>
      <w:numFmt w:val="decimal"/>
      <w:suff w:val="space"/>
      <w:lvlText w:val="%1.%2.%3.%4"/>
      <w:lvlJc w:val="left"/>
      <w:pPr>
        <w:ind w:left="794" w:hanging="794"/>
      </w:pPr>
      <w:rPr>
        <w:rFonts w:hint="eastAsia"/>
      </w:rPr>
    </w:lvl>
    <w:lvl w:ilvl="4">
      <w:start w:val="1"/>
      <w:numFmt w:val="decimal"/>
      <w:suff w:val="space"/>
      <w:lvlText w:val="%1.%2.%3.%4.%5"/>
      <w:lvlJc w:val="left"/>
      <w:pPr>
        <w:ind w:left="1021" w:hanging="1021"/>
      </w:pPr>
      <w:rPr>
        <w:rFonts w:hint="eastAsia"/>
      </w:rPr>
    </w:lvl>
    <w:lvl w:ilvl="5">
      <w:start w:val="1"/>
      <w:numFmt w:val="decimal"/>
      <w:suff w:val="space"/>
      <w:lvlText w:val="%1.%2.%3.%4.%5.%6"/>
      <w:lvlJc w:val="left"/>
      <w:pPr>
        <w:ind w:left="1021" w:hanging="1021"/>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abstractNumId w:val="0"/>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F0B29"/>
    <w:rsid w:val="00011D1A"/>
    <w:rsid w:val="000519FF"/>
    <w:rsid w:val="001A74A0"/>
    <w:rsid w:val="002232B6"/>
    <w:rsid w:val="00253CAC"/>
    <w:rsid w:val="00293CDB"/>
    <w:rsid w:val="002A3B1F"/>
    <w:rsid w:val="002F3964"/>
    <w:rsid w:val="00306FB4"/>
    <w:rsid w:val="003B6569"/>
    <w:rsid w:val="003D6452"/>
    <w:rsid w:val="003F0B29"/>
    <w:rsid w:val="00543942"/>
    <w:rsid w:val="0056450A"/>
    <w:rsid w:val="006033D1"/>
    <w:rsid w:val="00745CF3"/>
    <w:rsid w:val="00820E0E"/>
    <w:rsid w:val="00826A82"/>
    <w:rsid w:val="0085367C"/>
    <w:rsid w:val="008F47E2"/>
    <w:rsid w:val="00905F6E"/>
    <w:rsid w:val="00A72D91"/>
    <w:rsid w:val="00BE09DA"/>
    <w:rsid w:val="00C72103"/>
    <w:rsid w:val="00CF6CC6"/>
    <w:rsid w:val="00E026DB"/>
    <w:rsid w:val="00FD31B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450A"/>
    <w:pPr>
      <w:widowControl w:val="0"/>
      <w:jc w:val="both"/>
    </w:pPr>
  </w:style>
  <w:style w:type="paragraph" w:styleId="4">
    <w:name w:val="heading 4"/>
    <w:basedOn w:val="a"/>
    <w:next w:val="a"/>
    <w:link w:val="4Char"/>
    <w:uiPriority w:val="9"/>
    <w:semiHidden/>
    <w:unhideWhenUsed/>
    <w:qFormat/>
    <w:rsid w:val="003B6569"/>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XBRLTitle2">
    <w:name w:val="XBRLTitle2"/>
    <w:basedOn w:val="a3"/>
    <w:next w:val="4"/>
    <w:qFormat/>
    <w:rsid w:val="003B6569"/>
    <w:pPr>
      <w:keepNext/>
      <w:keepLines/>
      <w:numPr>
        <w:ilvl w:val="1"/>
        <w:numId w:val="2"/>
      </w:numPr>
      <w:spacing w:beforeLines="50" w:afterLines="50" w:line="240" w:lineRule="auto"/>
      <w:jc w:val="left"/>
    </w:pPr>
    <w:rPr>
      <w:rFonts w:ascii="Cambria" w:hAnsi="Cambria" w:cs="Times New Roman"/>
      <w:sz w:val="24"/>
    </w:rPr>
  </w:style>
  <w:style w:type="paragraph" w:styleId="a3">
    <w:name w:val="Subtitle"/>
    <w:basedOn w:val="a"/>
    <w:next w:val="a"/>
    <w:link w:val="Char"/>
    <w:uiPriority w:val="11"/>
    <w:qFormat/>
    <w:rsid w:val="003B6569"/>
    <w:pPr>
      <w:spacing w:before="240" w:after="60" w:line="312" w:lineRule="auto"/>
      <w:jc w:val="center"/>
      <w:outlineLvl w:val="1"/>
    </w:pPr>
    <w:rPr>
      <w:rFonts w:asciiTheme="majorHAnsi" w:eastAsia="宋体" w:hAnsiTheme="majorHAnsi" w:cstheme="majorBidi"/>
      <w:b/>
      <w:bCs/>
      <w:kern w:val="28"/>
      <w:sz w:val="32"/>
      <w:szCs w:val="32"/>
    </w:rPr>
  </w:style>
  <w:style w:type="character" w:customStyle="1" w:styleId="Char">
    <w:name w:val="副标题 Char"/>
    <w:basedOn w:val="a0"/>
    <w:link w:val="a3"/>
    <w:uiPriority w:val="11"/>
    <w:rsid w:val="003B6569"/>
    <w:rPr>
      <w:rFonts w:asciiTheme="majorHAnsi" w:eastAsia="宋体" w:hAnsiTheme="majorHAnsi" w:cstheme="majorBidi"/>
      <w:b/>
      <w:bCs/>
      <w:kern w:val="28"/>
      <w:sz w:val="32"/>
      <w:szCs w:val="32"/>
    </w:rPr>
  </w:style>
  <w:style w:type="character" w:customStyle="1" w:styleId="4Char">
    <w:name w:val="标题 4 Char"/>
    <w:basedOn w:val="a0"/>
    <w:link w:val="4"/>
    <w:uiPriority w:val="9"/>
    <w:semiHidden/>
    <w:rsid w:val="003B6569"/>
    <w:rPr>
      <w:rFonts w:asciiTheme="majorHAnsi" w:eastAsiaTheme="majorEastAsia" w:hAnsiTheme="majorHAnsi" w:cstheme="majorBidi"/>
      <w:b/>
      <w:bCs/>
      <w:sz w:val="28"/>
      <w:szCs w:val="28"/>
    </w:rPr>
  </w:style>
  <w:style w:type="paragraph" w:customStyle="1" w:styleId="XBRLTitle3">
    <w:name w:val="XBRLTitle3"/>
    <w:basedOn w:val="a3"/>
    <w:next w:val="4"/>
    <w:qFormat/>
    <w:rsid w:val="003B6569"/>
    <w:pPr>
      <w:keepNext/>
      <w:keepLines/>
      <w:numPr>
        <w:ilvl w:val="2"/>
        <w:numId w:val="2"/>
      </w:numPr>
      <w:spacing w:beforeLines="50" w:afterLines="50" w:line="240" w:lineRule="auto"/>
      <w:jc w:val="left"/>
      <w:outlineLvl w:val="9"/>
    </w:pPr>
    <w:rPr>
      <w:rFonts w:ascii="Cambria" w:hAnsi="Cambria" w:cs="Times New Roman"/>
      <w:sz w:val="24"/>
    </w:rPr>
  </w:style>
  <w:style w:type="paragraph" w:styleId="a4">
    <w:name w:val="header"/>
    <w:basedOn w:val="a"/>
    <w:link w:val="Char0"/>
    <w:uiPriority w:val="99"/>
    <w:unhideWhenUsed/>
    <w:rsid w:val="0056450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56450A"/>
    <w:rPr>
      <w:sz w:val="18"/>
      <w:szCs w:val="18"/>
    </w:rPr>
  </w:style>
  <w:style w:type="paragraph" w:styleId="a5">
    <w:name w:val="footer"/>
    <w:basedOn w:val="a"/>
    <w:link w:val="Char1"/>
    <w:uiPriority w:val="99"/>
    <w:unhideWhenUsed/>
    <w:rsid w:val="0056450A"/>
    <w:pPr>
      <w:tabs>
        <w:tab w:val="center" w:pos="4153"/>
        <w:tab w:val="right" w:pos="8306"/>
      </w:tabs>
      <w:snapToGrid w:val="0"/>
      <w:jc w:val="left"/>
    </w:pPr>
    <w:rPr>
      <w:sz w:val="18"/>
      <w:szCs w:val="18"/>
    </w:rPr>
  </w:style>
  <w:style w:type="character" w:customStyle="1" w:styleId="Char1">
    <w:name w:val="页脚 Char"/>
    <w:basedOn w:val="a0"/>
    <w:link w:val="a5"/>
    <w:uiPriority w:val="99"/>
    <w:rsid w:val="0056450A"/>
    <w:rPr>
      <w:sz w:val="18"/>
      <w:szCs w:val="18"/>
    </w:rPr>
  </w:style>
  <w:style w:type="paragraph" w:styleId="a6">
    <w:name w:val="Balloon Text"/>
    <w:basedOn w:val="a"/>
    <w:link w:val="Char2"/>
    <w:uiPriority w:val="99"/>
    <w:semiHidden/>
    <w:unhideWhenUsed/>
    <w:rsid w:val="008F47E2"/>
    <w:rPr>
      <w:sz w:val="18"/>
      <w:szCs w:val="18"/>
    </w:rPr>
  </w:style>
  <w:style w:type="character" w:customStyle="1" w:styleId="Char2">
    <w:name w:val="批注框文本 Char"/>
    <w:basedOn w:val="a0"/>
    <w:link w:val="a6"/>
    <w:uiPriority w:val="99"/>
    <w:semiHidden/>
    <w:rsid w:val="008F47E2"/>
    <w:rPr>
      <w:sz w:val="18"/>
      <w:szCs w:val="18"/>
    </w:rPr>
  </w:style>
  <w:style w:type="table" w:styleId="a7">
    <w:name w:val="Table Grid"/>
    <w:basedOn w:val="a1"/>
    <w:uiPriority w:val="39"/>
    <w:rsid w:val="00745C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142</Words>
  <Characters>811</Characters>
  <Application>Microsoft Office Word</Application>
  <DocSecurity>4</DocSecurity>
  <Lines>6</Lines>
  <Paragraphs>1</Paragraphs>
  <ScaleCrop>false</ScaleCrop>
  <Company/>
  <LinksUpToDate>false</LinksUpToDate>
  <CharactersWithSpaces>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张璋</dc:creator>
  <cp:keywords/>
  <dc:description/>
  <cp:lastModifiedBy>ZHONGM</cp:lastModifiedBy>
  <cp:revision>2</cp:revision>
  <dcterms:created xsi:type="dcterms:W3CDTF">2020-11-27T16:01:00Z</dcterms:created>
  <dcterms:modified xsi:type="dcterms:W3CDTF">2020-11-27T16:01:00Z</dcterms:modified>
</cp:coreProperties>
</file>