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8" w:rsidRPr="00EC3D1B" w:rsidRDefault="0012675B" w:rsidP="00543656">
      <w:pPr>
        <w:jc w:val="center"/>
        <w:rPr>
          <w:rFonts w:ascii="Microsoft Yahei" w:eastAsia="宋体" w:hAnsi="Microsoft Yahei" w:cs="宋体" w:hint="eastAsia"/>
          <w:b/>
          <w:bCs/>
          <w:color w:val="1E5E91"/>
          <w:kern w:val="0"/>
          <w:sz w:val="28"/>
          <w:szCs w:val="28"/>
        </w:rPr>
      </w:pPr>
      <w:bookmarkStart w:id="0" w:name="_GoBack"/>
      <w:bookmarkEnd w:id="0"/>
      <w:r w:rsidRPr="00EC3D1B">
        <w:rPr>
          <w:rFonts w:ascii="Microsoft Yahei" w:eastAsia="宋体" w:hAnsi="Microsoft Yahei" w:cs="宋体" w:hint="eastAsia"/>
          <w:b/>
          <w:bCs/>
          <w:color w:val="1E5E91"/>
          <w:kern w:val="0"/>
          <w:sz w:val="28"/>
          <w:szCs w:val="28"/>
        </w:rPr>
        <w:t>海富通基金管理有限公司关于旗下部分基金新增</w:t>
      </w:r>
      <w:r w:rsidR="002F4F9D" w:rsidRPr="00EC3D1B">
        <w:rPr>
          <w:rFonts w:ascii="Microsoft Yahei" w:eastAsia="宋体" w:hAnsi="Microsoft Yahei" w:cs="宋体" w:hint="eastAsia"/>
          <w:b/>
          <w:bCs/>
          <w:color w:val="1E5E91"/>
          <w:kern w:val="0"/>
          <w:sz w:val="28"/>
          <w:szCs w:val="28"/>
        </w:rPr>
        <w:t>招商银行招赢通为销售平台的公告</w:t>
      </w:r>
    </w:p>
    <w:p w:rsidR="00543656" w:rsidRPr="000B2573" w:rsidRDefault="00543656" w:rsidP="00543656">
      <w:pPr>
        <w:jc w:val="center"/>
      </w:pPr>
    </w:p>
    <w:p w:rsidR="0012675B" w:rsidRPr="0012675B" w:rsidRDefault="0012675B" w:rsidP="0012675B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2675B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招商银行股份有限公司（以下简称“招商银行”）的开放式基金销售资格已获中国证券监督管理委员会批准。根据海富通基金管理有限公司（以下简称"本公司"）与招商银行股份有限公司（以下简称“招商银行”）签署的招赢通第三方产品合作协议，现增加招商银行旗下招赢通平台（以下简称“招商银行招赢通”）为本公司旗下部分基金的销售</w:t>
      </w:r>
      <w:r w:rsidR="001B02E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平台。</w:t>
      </w:r>
      <w:r w:rsidRPr="0012675B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 xml:space="preserve">将有关事项公告如下： </w:t>
      </w:r>
    </w:p>
    <w:p w:rsidR="002F4F9D" w:rsidRPr="0012675B" w:rsidRDefault="0012675B" w:rsidP="0012675B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2675B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适用基金</w:t>
      </w:r>
    </w:p>
    <w:tbl>
      <w:tblPr>
        <w:tblW w:w="9080" w:type="dxa"/>
        <w:tblInd w:w="93" w:type="dxa"/>
        <w:tblLook w:val="04A0"/>
      </w:tblPr>
      <w:tblGrid>
        <w:gridCol w:w="1080"/>
        <w:gridCol w:w="1540"/>
        <w:gridCol w:w="6460"/>
      </w:tblGrid>
      <w:tr w:rsidR="0012675B" w:rsidRPr="0012675B" w:rsidTr="0012675B">
        <w:trPr>
          <w:trHeight w:val="4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产品代码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004512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海富通沪深300指数增强型证券投资基金C类份额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A类：519222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海富通欣益灵活配置混合型证券投资基金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C类：519221</w:t>
            </w:r>
          </w:p>
        </w:tc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5B" w:rsidRPr="0012675B" w:rsidRDefault="0012675B" w:rsidP="001267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519025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海富通领先成长混合型证券投资基金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519223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海富通欣荣灵活配置混合型证券投资基金C类份额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005080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海富通量化多因子灵活配置混合型证券投资基金C类份额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005188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海富通量化前锋股票型证券投资基金C类份额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A类：005288</w:t>
            </w:r>
          </w:p>
        </w:tc>
        <w:tc>
          <w:tcPr>
            <w:tcW w:w="6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海富通创业板综指增强型发起式证券投资基金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C类：005287</w:t>
            </w:r>
          </w:p>
        </w:tc>
        <w:tc>
          <w:tcPr>
            <w:tcW w:w="6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5B" w:rsidRPr="0012675B" w:rsidRDefault="0012675B" w:rsidP="001267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519228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海富通欣享灵活配置混合型证券投资基金C类份额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519026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海富通中小盘混合型证券投资基金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519134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海富通富祥混合型证券投资基金</w:t>
            </w:r>
          </w:p>
        </w:tc>
      </w:tr>
      <w:tr w:rsidR="0012675B" w:rsidRPr="0012675B" w:rsidTr="001267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519030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75B" w:rsidRPr="0012675B" w:rsidRDefault="0012675B" w:rsidP="001267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12675B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海富通稳固收益债券型证券投资基金</w:t>
            </w:r>
          </w:p>
        </w:tc>
      </w:tr>
    </w:tbl>
    <w:p w:rsidR="0012675B" w:rsidRPr="0012675B" w:rsidRDefault="0012675B" w:rsidP="0012675B">
      <w:pPr>
        <w:ind w:left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2F4F9D" w:rsidRPr="002F4F9D" w:rsidRDefault="002F4F9D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2F4F9D" w:rsidRDefault="002F4F9D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2F4F9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二、</w:t>
      </w:r>
      <w:r w:rsidR="00BC5C2C" w:rsidRP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自2020年</w:t>
      </w:r>
      <w:r w:rsid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11</w:t>
      </w:r>
      <w:r w:rsidR="00BC5C2C" w:rsidRP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30</w:t>
      </w:r>
      <w:r w:rsidR="00BC5C2C" w:rsidRP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日起，投资者可在招商银行招赢通办理上述开放式基金的开户、申购、赎回等业务。具体的业务流程、办理方式和办理时间等以招商银行招赢通的规定为准。</w:t>
      </w:r>
    </w:p>
    <w:p w:rsidR="002F4F9D" w:rsidRPr="00C176C6" w:rsidRDefault="002F4F9D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BC5C2C" w:rsidRPr="000E0D1D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E0D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三、适用投资者范围</w:t>
      </w:r>
    </w:p>
    <w:p w:rsidR="00BC5C2C" w:rsidRPr="000E0D1D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E0D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符合法律法规及基金合同规定的投资者。</w:t>
      </w:r>
    </w:p>
    <w:p w:rsidR="00BC5C2C" w:rsidRPr="000E0D1D" w:rsidRDefault="00BC5C2C" w:rsidP="00BC5C2C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BC5C2C" w:rsidRPr="000E0D1D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E0D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四、重要提示</w:t>
      </w:r>
    </w:p>
    <w:p w:rsidR="00BC5C2C" w:rsidRPr="000E0D1D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E0D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1、投资者欲了解基金的详细信息，请仔细阅读上述开放式基金的基金合同、招募说明书及相关法律文件。</w:t>
      </w:r>
    </w:p>
    <w:p w:rsidR="00BC5C2C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Pr="000E0D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、特别提示投资人关注上述基金产品的基金合同、招募说明书等法律文件及基金管理人的风险提示。</w:t>
      </w:r>
    </w:p>
    <w:p w:rsidR="00571454" w:rsidRPr="00571454" w:rsidRDefault="00571454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2F4F9D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五、投资者可通过以下途径咨询有关详情：</w:t>
      </w:r>
    </w:p>
    <w:p w:rsidR="00BC5C2C" w:rsidRPr="00BC5C2C" w:rsidRDefault="00BC5C2C" w:rsidP="00BC5C2C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2F4F9D" w:rsidRPr="002F4F9D" w:rsidRDefault="002F4F9D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2F4F9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 xml:space="preserve">1. </w:t>
      </w:r>
      <w:r w:rsidR="00197748" w:rsidRPr="00197748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招商银行股份有限公司</w:t>
      </w:r>
    </w:p>
    <w:p w:rsidR="00DF514F" w:rsidRPr="00DF514F" w:rsidRDefault="00A33EF9" w:rsidP="00A33EF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A33EF9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lastRenderedPageBreak/>
        <w:t>客户服务电话</w:t>
      </w:r>
      <w:r w:rsidR="002F4F9D" w:rsidRPr="002F4F9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：</w:t>
      </w:r>
      <w:r w:rsidR="00197748" w:rsidRPr="00197748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95555</w:t>
      </w:r>
    </w:p>
    <w:p w:rsidR="00543656" w:rsidRDefault="00A33EF9" w:rsidP="00A33EF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A33EF9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Pr="00A33EF9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www.cmbchina.com</w:t>
      </w:r>
    </w:p>
    <w:p w:rsidR="00A33EF9" w:rsidRPr="00543656" w:rsidRDefault="00A33EF9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1F018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、海富通基金管理有限公司</w:t>
      </w: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客户服务电话：40088-40099（免长途话费）</w:t>
      </w: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0E514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www.hftfund.com</w:t>
      </w: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本公告的解释权归海富通基金管理有限公司。</w:t>
      </w: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7A7069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特此公告。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jc w:val="right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海富通基金管理有限公司</w:t>
      </w:r>
    </w:p>
    <w:p w:rsidR="008337A4" w:rsidRDefault="00543656" w:rsidP="00543656">
      <w:pPr>
        <w:jc w:val="right"/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="00C176C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11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C176C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BC5C2C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7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</w:t>
      </w:r>
    </w:p>
    <w:sectPr w:rsidR="008337A4" w:rsidSect="00A2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FE" w:rsidRDefault="00024EFE" w:rsidP="008337A4">
      <w:r>
        <w:separator/>
      </w:r>
    </w:p>
  </w:endnote>
  <w:endnote w:type="continuationSeparator" w:id="0">
    <w:p w:rsidR="00024EFE" w:rsidRDefault="00024EFE" w:rsidP="0083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FE" w:rsidRDefault="00024EFE" w:rsidP="008337A4">
      <w:r>
        <w:separator/>
      </w:r>
    </w:p>
  </w:footnote>
  <w:footnote w:type="continuationSeparator" w:id="0">
    <w:p w:rsidR="00024EFE" w:rsidRDefault="00024EFE" w:rsidP="0083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D7"/>
    <w:multiLevelType w:val="hybridMultilevel"/>
    <w:tmpl w:val="5E5A169C"/>
    <w:lvl w:ilvl="0" w:tplc="4EB88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3D0CDD"/>
    <w:multiLevelType w:val="hybridMultilevel"/>
    <w:tmpl w:val="5E6A7B5E"/>
    <w:lvl w:ilvl="0" w:tplc="3926C906">
      <w:start w:val="1"/>
      <w:numFmt w:val="japaneseCounting"/>
      <w:lvlText w:val="%1、"/>
      <w:lvlJc w:val="left"/>
      <w:pPr>
        <w:ind w:left="9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5469"/>
    <w:rsid w:val="00024EFE"/>
    <w:rsid w:val="00032C5D"/>
    <w:rsid w:val="00096298"/>
    <w:rsid w:val="000B2573"/>
    <w:rsid w:val="000B6F9C"/>
    <w:rsid w:val="000D5889"/>
    <w:rsid w:val="000E514C"/>
    <w:rsid w:val="0012675B"/>
    <w:rsid w:val="00197748"/>
    <w:rsid w:val="001B02E3"/>
    <w:rsid w:val="001F0186"/>
    <w:rsid w:val="002A0546"/>
    <w:rsid w:val="002F4F9D"/>
    <w:rsid w:val="00313FB2"/>
    <w:rsid w:val="00341DE2"/>
    <w:rsid w:val="0034274C"/>
    <w:rsid w:val="003A4523"/>
    <w:rsid w:val="003C3309"/>
    <w:rsid w:val="00413728"/>
    <w:rsid w:val="004756F3"/>
    <w:rsid w:val="004D5917"/>
    <w:rsid w:val="005049B7"/>
    <w:rsid w:val="00514067"/>
    <w:rsid w:val="0054092F"/>
    <w:rsid w:val="00543656"/>
    <w:rsid w:val="00555514"/>
    <w:rsid w:val="00571454"/>
    <w:rsid w:val="00576A7E"/>
    <w:rsid w:val="00620A26"/>
    <w:rsid w:val="00653CC5"/>
    <w:rsid w:val="0068338E"/>
    <w:rsid w:val="007474D4"/>
    <w:rsid w:val="007A7069"/>
    <w:rsid w:val="008227AF"/>
    <w:rsid w:val="008337A4"/>
    <w:rsid w:val="008F7639"/>
    <w:rsid w:val="00A0292C"/>
    <w:rsid w:val="00A2127E"/>
    <w:rsid w:val="00A33EF9"/>
    <w:rsid w:val="00A50246"/>
    <w:rsid w:val="00AA2324"/>
    <w:rsid w:val="00B67E98"/>
    <w:rsid w:val="00BC5C2C"/>
    <w:rsid w:val="00C176C6"/>
    <w:rsid w:val="00C44FED"/>
    <w:rsid w:val="00C76B37"/>
    <w:rsid w:val="00C9395C"/>
    <w:rsid w:val="00D22E50"/>
    <w:rsid w:val="00D37F37"/>
    <w:rsid w:val="00D46619"/>
    <w:rsid w:val="00D978B3"/>
    <w:rsid w:val="00DF514F"/>
    <w:rsid w:val="00E3330C"/>
    <w:rsid w:val="00E65C73"/>
    <w:rsid w:val="00EB27E8"/>
    <w:rsid w:val="00EC3D1B"/>
    <w:rsid w:val="00EF4D5E"/>
    <w:rsid w:val="00F2470B"/>
    <w:rsid w:val="00F8796B"/>
    <w:rsid w:val="00F9076F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049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4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049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4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卢韵竹</dc:creator>
  <cp:keywords/>
  <dc:description/>
  <cp:lastModifiedBy>ZHONGM</cp:lastModifiedBy>
  <cp:revision>2</cp:revision>
  <dcterms:created xsi:type="dcterms:W3CDTF">2020-11-26T16:01:00Z</dcterms:created>
  <dcterms:modified xsi:type="dcterms:W3CDTF">2020-11-26T16:01:00Z</dcterms:modified>
</cp:coreProperties>
</file>