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E0" w:rsidRDefault="00071567" w:rsidP="00DD4067">
      <w:pPr>
        <w:jc w:val="center"/>
        <w:rPr>
          <w:rFonts w:ascii="宋体" w:eastAsia="宋体" w:hAnsi="宋体" w:cs="Times New Roman"/>
          <w:b/>
          <w:sz w:val="32"/>
          <w:szCs w:val="32"/>
        </w:rPr>
      </w:pPr>
      <w:r>
        <w:rPr>
          <w:rFonts w:ascii="宋体" w:eastAsia="宋体" w:hAnsi="宋体" w:cs="Times New Roman" w:hint="eastAsia"/>
          <w:b/>
          <w:sz w:val="32"/>
          <w:szCs w:val="32"/>
        </w:rPr>
        <w:t>南方基金管理股份有限公司</w:t>
      </w:r>
      <w:r w:rsidR="00DD4067" w:rsidRPr="00DD4067">
        <w:rPr>
          <w:rFonts w:ascii="宋体" w:eastAsia="宋体" w:hAnsi="宋体" w:cs="Times New Roman" w:hint="eastAsia"/>
          <w:b/>
          <w:sz w:val="32"/>
          <w:szCs w:val="32"/>
        </w:rPr>
        <w:t>关于</w:t>
      </w:r>
      <w:r w:rsidR="00896D34" w:rsidRPr="00896D34">
        <w:rPr>
          <w:rFonts w:ascii="宋体" w:eastAsia="宋体" w:hAnsi="宋体" w:cs="Times New Roman" w:hint="eastAsia"/>
          <w:b/>
          <w:sz w:val="32"/>
          <w:szCs w:val="32"/>
        </w:rPr>
        <w:t>南方中证互联网指数分级证券投资基金</w:t>
      </w:r>
      <w:r w:rsidR="00DD4067" w:rsidRPr="00DD4067">
        <w:rPr>
          <w:rFonts w:ascii="宋体" w:eastAsia="宋体" w:hAnsi="宋体" w:cs="Times New Roman" w:hint="eastAsia"/>
          <w:b/>
          <w:sz w:val="32"/>
          <w:szCs w:val="32"/>
        </w:rPr>
        <w:t>实施转型的公告</w:t>
      </w:r>
    </w:p>
    <w:p w:rsidR="00F81851" w:rsidRPr="00F81851" w:rsidRDefault="00F81851" w:rsidP="00DD4067">
      <w:pPr>
        <w:jc w:val="center"/>
        <w:rPr>
          <w:rFonts w:ascii="宋体" w:eastAsia="宋体" w:hAnsi="宋体" w:cs="Times New Roman"/>
          <w:color w:val="000000"/>
          <w:kern w:val="0"/>
          <w:szCs w:val="21"/>
        </w:rPr>
      </w:pPr>
    </w:p>
    <w:p w:rsidR="00F81851" w:rsidRDefault="00071567" w:rsidP="000878E5">
      <w:pPr>
        <w:spacing w:line="360" w:lineRule="auto"/>
        <w:ind w:firstLineChars="200" w:firstLine="420"/>
        <w:rPr>
          <w:rFonts w:ascii="宋体" w:eastAsia="宋体" w:hAnsi="宋体" w:cs="Times New Roman"/>
          <w:color w:val="000000"/>
          <w:kern w:val="0"/>
          <w:szCs w:val="21"/>
        </w:rPr>
      </w:pPr>
      <w:r>
        <w:rPr>
          <w:rFonts w:ascii="宋体" w:eastAsia="宋体" w:hAnsi="宋体" w:cs="Times New Roman" w:hint="eastAsia"/>
          <w:color w:val="000000"/>
          <w:kern w:val="0"/>
          <w:szCs w:val="21"/>
        </w:rPr>
        <w:t>南方基金管理股份有限公司</w:t>
      </w:r>
      <w:r w:rsidR="000878E5" w:rsidRPr="000878E5">
        <w:rPr>
          <w:rFonts w:ascii="宋体" w:eastAsia="宋体" w:hAnsi="宋体" w:cs="Times New Roman" w:hint="eastAsia"/>
          <w:color w:val="000000"/>
          <w:kern w:val="0"/>
          <w:szCs w:val="21"/>
        </w:rPr>
        <w:t>（以下简称“本公司”）于</w:t>
      </w:r>
      <w:r w:rsidR="00D6446C">
        <w:rPr>
          <w:rFonts w:ascii="宋体" w:eastAsia="宋体" w:hAnsi="宋体" w:cs="Times New Roman"/>
          <w:color w:val="000000"/>
          <w:kern w:val="0"/>
          <w:szCs w:val="21"/>
        </w:rPr>
        <w:t>2020</w:t>
      </w:r>
      <w:r w:rsidR="000878E5" w:rsidRPr="000878E5">
        <w:rPr>
          <w:rFonts w:ascii="宋体" w:eastAsia="宋体" w:hAnsi="宋体" w:cs="Times New Roman"/>
          <w:color w:val="000000"/>
          <w:kern w:val="0"/>
          <w:szCs w:val="21"/>
        </w:rPr>
        <w:t>年</w:t>
      </w:r>
      <w:r w:rsidR="002C56C1">
        <w:rPr>
          <w:rFonts w:ascii="宋体" w:eastAsia="宋体" w:hAnsi="宋体" w:cs="Times New Roman"/>
          <w:color w:val="000000"/>
          <w:kern w:val="0"/>
          <w:szCs w:val="21"/>
        </w:rPr>
        <w:t>9</w:t>
      </w:r>
      <w:r w:rsidR="000878E5" w:rsidRPr="000878E5">
        <w:rPr>
          <w:rFonts w:ascii="宋体" w:eastAsia="宋体" w:hAnsi="宋体" w:cs="Times New Roman"/>
          <w:color w:val="000000"/>
          <w:kern w:val="0"/>
          <w:szCs w:val="21"/>
        </w:rPr>
        <w:t>月</w:t>
      </w:r>
      <w:r w:rsidR="008A214F">
        <w:rPr>
          <w:rFonts w:ascii="宋体" w:eastAsia="宋体" w:hAnsi="宋体" w:cs="Times New Roman"/>
          <w:color w:val="000000"/>
          <w:kern w:val="0"/>
          <w:szCs w:val="21"/>
        </w:rPr>
        <w:t>25</w:t>
      </w:r>
      <w:r w:rsidR="000878E5" w:rsidRPr="000878E5">
        <w:rPr>
          <w:rFonts w:ascii="宋体" w:eastAsia="宋体" w:hAnsi="宋体" w:cs="Times New Roman"/>
          <w:color w:val="000000"/>
          <w:kern w:val="0"/>
          <w:szCs w:val="21"/>
        </w:rPr>
        <w:t>日至2020</w:t>
      </w:r>
      <w:r w:rsidR="000878E5" w:rsidRPr="000878E5">
        <w:rPr>
          <w:rFonts w:ascii="宋体" w:eastAsia="宋体" w:hAnsi="宋体" w:cs="Times New Roman" w:hint="eastAsia"/>
          <w:color w:val="000000"/>
          <w:kern w:val="0"/>
          <w:szCs w:val="21"/>
        </w:rPr>
        <w:t>年</w:t>
      </w:r>
      <w:r w:rsidR="00AB2A75">
        <w:rPr>
          <w:rFonts w:ascii="宋体" w:eastAsia="宋体" w:hAnsi="宋体" w:cs="Times New Roman"/>
          <w:color w:val="000000"/>
          <w:kern w:val="0"/>
          <w:szCs w:val="21"/>
        </w:rPr>
        <w:t>10</w:t>
      </w:r>
      <w:r w:rsidR="00D6446C" w:rsidRPr="000878E5">
        <w:rPr>
          <w:rFonts w:ascii="宋体" w:eastAsia="宋体" w:hAnsi="宋体" w:cs="Times New Roman"/>
          <w:color w:val="000000"/>
          <w:kern w:val="0"/>
          <w:szCs w:val="21"/>
        </w:rPr>
        <w:t>月</w:t>
      </w:r>
      <w:r w:rsidR="008A214F">
        <w:rPr>
          <w:rFonts w:ascii="宋体" w:eastAsia="宋体" w:hAnsi="宋体" w:cs="Times New Roman"/>
          <w:color w:val="000000"/>
          <w:kern w:val="0"/>
          <w:szCs w:val="21"/>
        </w:rPr>
        <w:t>28</w:t>
      </w:r>
      <w:r w:rsidR="00D6446C" w:rsidRPr="000878E5">
        <w:rPr>
          <w:rFonts w:ascii="宋体" w:eastAsia="宋体" w:hAnsi="宋体" w:cs="Times New Roman"/>
          <w:color w:val="000000"/>
          <w:kern w:val="0"/>
          <w:szCs w:val="21"/>
        </w:rPr>
        <w:t>日</w:t>
      </w:r>
      <w:r w:rsidR="000878E5" w:rsidRPr="000878E5">
        <w:rPr>
          <w:rFonts w:ascii="宋体" w:eastAsia="宋体" w:hAnsi="宋体" w:cs="Times New Roman"/>
          <w:color w:val="000000"/>
          <w:kern w:val="0"/>
          <w:szCs w:val="21"/>
        </w:rPr>
        <w:t>以通讯方式组织召开了</w:t>
      </w:r>
      <w:r w:rsidR="008A214F">
        <w:rPr>
          <w:rFonts w:ascii="宋体" w:eastAsia="宋体" w:hAnsi="宋体" w:cs="Times New Roman"/>
          <w:color w:val="000000"/>
          <w:kern w:val="0"/>
          <w:szCs w:val="21"/>
        </w:rPr>
        <w:t>南方中证互联网指数分级证券投资基金</w:t>
      </w:r>
      <w:r w:rsidR="000878E5" w:rsidRPr="000878E5">
        <w:rPr>
          <w:rFonts w:ascii="宋体" w:eastAsia="宋体" w:hAnsi="宋体" w:cs="Times New Roman"/>
          <w:color w:val="000000"/>
          <w:kern w:val="0"/>
          <w:szCs w:val="21"/>
        </w:rPr>
        <w:t>（以下简称</w:t>
      </w:r>
      <w:r w:rsidR="000878E5" w:rsidRPr="000878E5">
        <w:rPr>
          <w:rFonts w:ascii="宋体" w:eastAsia="宋体" w:hAnsi="宋体" w:cs="Times New Roman" w:hint="eastAsia"/>
          <w:color w:val="000000"/>
          <w:kern w:val="0"/>
          <w:szCs w:val="21"/>
        </w:rPr>
        <w:t>“本基金”）的基金份额持有人大会，审议了《</w:t>
      </w:r>
      <w:r w:rsidR="00C62ED2" w:rsidRPr="00C62ED2">
        <w:rPr>
          <w:rFonts w:ascii="宋体" w:eastAsia="宋体" w:hAnsi="宋体" w:cs="Times New Roman" w:hint="eastAsia"/>
          <w:color w:val="000000"/>
          <w:kern w:val="0"/>
          <w:szCs w:val="21"/>
        </w:rPr>
        <w:t>关于</w:t>
      </w:r>
      <w:r w:rsidR="008A214F">
        <w:rPr>
          <w:rFonts w:ascii="宋体" w:eastAsia="宋体" w:hAnsi="宋体" w:cs="Times New Roman" w:hint="eastAsia"/>
          <w:color w:val="000000"/>
          <w:kern w:val="0"/>
          <w:szCs w:val="21"/>
        </w:rPr>
        <w:t>南方中证互联网指数分级证券投资基金</w:t>
      </w:r>
      <w:r w:rsidR="00C62ED2" w:rsidRPr="00C62ED2">
        <w:rPr>
          <w:rFonts w:ascii="宋体" w:eastAsia="宋体" w:hAnsi="宋体" w:cs="Times New Roman" w:hint="eastAsia"/>
          <w:color w:val="000000"/>
          <w:kern w:val="0"/>
          <w:szCs w:val="21"/>
        </w:rPr>
        <w:t>转型及修改基金合同有关事项的议案</w:t>
      </w:r>
      <w:r w:rsidR="000878E5" w:rsidRPr="000878E5">
        <w:rPr>
          <w:rFonts w:ascii="宋体" w:eastAsia="宋体" w:hAnsi="宋体" w:cs="Times New Roman" w:hint="eastAsia"/>
          <w:color w:val="000000"/>
          <w:kern w:val="0"/>
          <w:szCs w:val="21"/>
        </w:rPr>
        <w:t>》（以下简称“《议案》”）。《议案》于</w:t>
      </w:r>
      <w:r w:rsidR="000878E5" w:rsidRPr="000878E5">
        <w:rPr>
          <w:rFonts w:ascii="宋体" w:eastAsia="宋体" w:hAnsi="宋体" w:cs="Times New Roman"/>
          <w:color w:val="000000"/>
          <w:kern w:val="0"/>
          <w:szCs w:val="21"/>
        </w:rPr>
        <w:t>2020 年</w:t>
      </w:r>
      <w:r w:rsidR="00FA5B61">
        <w:rPr>
          <w:rFonts w:ascii="宋体" w:eastAsia="宋体" w:hAnsi="宋体" w:cs="Times New Roman"/>
          <w:color w:val="000000"/>
          <w:kern w:val="0"/>
          <w:szCs w:val="21"/>
        </w:rPr>
        <w:t>10</w:t>
      </w:r>
      <w:r w:rsidR="00205FEC" w:rsidRPr="000878E5">
        <w:rPr>
          <w:rFonts w:ascii="宋体" w:eastAsia="宋体" w:hAnsi="宋体" w:cs="Times New Roman"/>
          <w:color w:val="000000"/>
          <w:kern w:val="0"/>
          <w:szCs w:val="21"/>
        </w:rPr>
        <w:t>月</w:t>
      </w:r>
      <w:r w:rsidR="008A214F">
        <w:rPr>
          <w:rFonts w:ascii="宋体" w:eastAsia="宋体" w:hAnsi="宋体" w:cs="Times New Roman"/>
          <w:color w:val="000000"/>
          <w:kern w:val="0"/>
          <w:szCs w:val="21"/>
        </w:rPr>
        <w:t>29</w:t>
      </w:r>
      <w:r w:rsidR="00205FEC" w:rsidRPr="000878E5">
        <w:rPr>
          <w:rFonts w:ascii="宋体" w:eastAsia="宋体" w:hAnsi="宋体" w:cs="Times New Roman"/>
          <w:color w:val="000000"/>
          <w:kern w:val="0"/>
          <w:szCs w:val="21"/>
        </w:rPr>
        <w:t>日</w:t>
      </w:r>
      <w:r w:rsidR="000878E5" w:rsidRPr="000878E5">
        <w:rPr>
          <w:rFonts w:ascii="宋体" w:eastAsia="宋体" w:hAnsi="宋体" w:cs="Times New Roman"/>
          <w:color w:val="000000"/>
          <w:kern w:val="0"/>
          <w:szCs w:val="21"/>
        </w:rPr>
        <w:t>获得表决通过，自该日起基金份额持有人大会决议生效，并已报中国证</w:t>
      </w:r>
      <w:r w:rsidR="000878E5" w:rsidRPr="000878E5">
        <w:rPr>
          <w:rFonts w:ascii="宋体" w:eastAsia="宋体" w:hAnsi="宋体" w:cs="Times New Roman" w:hint="eastAsia"/>
          <w:color w:val="000000"/>
          <w:kern w:val="0"/>
          <w:szCs w:val="21"/>
        </w:rPr>
        <w:t>券监督管理委员会备案。本公司已于</w:t>
      </w:r>
      <w:r w:rsidR="000878E5" w:rsidRPr="000878E5">
        <w:rPr>
          <w:rFonts w:ascii="宋体" w:eastAsia="宋体" w:hAnsi="宋体" w:cs="Times New Roman"/>
          <w:color w:val="000000"/>
          <w:kern w:val="0"/>
          <w:szCs w:val="21"/>
        </w:rPr>
        <w:t>2020 年</w:t>
      </w:r>
      <w:r w:rsidR="00FA5B61">
        <w:rPr>
          <w:rFonts w:ascii="宋体" w:eastAsia="宋体" w:hAnsi="宋体" w:cs="Times New Roman"/>
          <w:color w:val="000000"/>
          <w:kern w:val="0"/>
          <w:szCs w:val="21"/>
        </w:rPr>
        <w:t>10</w:t>
      </w:r>
      <w:r w:rsidR="001F161F" w:rsidRPr="000878E5">
        <w:rPr>
          <w:rFonts w:ascii="宋体" w:eastAsia="宋体" w:hAnsi="宋体" w:cs="Times New Roman"/>
          <w:color w:val="000000"/>
          <w:kern w:val="0"/>
          <w:szCs w:val="21"/>
        </w:rPr>
        <w:t>月</w:t>
      </w:r>
      <w:r w:rsidR="008A214F">
        <w:rPr>
          <w:rFonts w:ascii="宋体" w:eastAsia="宋体" w:hAnsi="宋体" w:cs="Times New Roman"/>
          <w:color w:val="000000"/>
          <w:kern w:val="0"/>
          <w:szCs w:val="21"/>
        </w:rPr>
        <w:t>30</w:t>
      </w:r>
      <w:r w:rsidR="001F161F" w:rsidRPr="000878E5">
        <w:rPr>
          <w:rFonts w:ascii="宋体" w:eastAsia="宋体" w:hAnsi="宋体" w:cs="Times New Roman"/>
          <w:color w:val="000000"/>
          <w:kern w:val="0"/>
          <w:szCs w:val="21"/>
        </w:rPr>
        <w:t>日</w:t>
      </w:r>
      <w:r w:rsidR="000878E5" w:rsidRPr="000878E5">
        <w:rPr>
          <w:rFonts w:ascii="宋体" w:eastAsia="宋体" w:hAnsi="宋体" w:cs="Times New Roman"/>
          <w:color w:val="000000"/>
          <w:kern w:val="0"/>
          <w:szCs w:val="21"/>
        </w:rPr>
        <w:t>发布了《</w:t>
      </w:r>
      <w:r w:rsidR="008A214F">
        <w:rPr>
          <w:rFonts w:ascii="宋体" w:eastAsia="宋体" w:hAnsi="宋体" w:cs="Times New Roman" w:hint="eastAsia"/>
          <w:color w:val="000000"/>
          <w:kern w:val="0"/>
          <w:szCs w:val="21"/>
        </w:rPr>
        <w:t>南方中证互联网指数分级证券投资基金</w:t>
      </w:r>
      <w:r w:rsidR="00AE2851" w:rsidRPr="00AE2851">
        <w:rPr>
          <w:rFonts w:ascii="宋体" w:eastAsia="宋体" w:hAnsi="宋体" w:cs="Times New Roman" w:hint="eastAsia"/>
          <w:color w:val="000000"/>
          <w:kern w:val="0"/>
          <w:szCs w:val="21"/>
        </w:rPr>
        <w:t>基金份额持有人大会表决结果暨决议生效的公告</w:t>
      </w:r>
      <w:r w:rsidR="000878E5" w:rsidRPr="000878E5">
        <w:rPr>
          <w:rFonts w:ascii="宋体" w:eastAsia="宋体" w:hAnsi="宋体" w:cs="Times New Roman" w:hint="eastAsia"/>
          <w:color w:val="000000"/>
          <w:kern w:val="0"/>
          <w:szCs w:val="21"/>
        </w:rPr>
        <w:t>》（以下简称“《决议公告》”）。根据《决议公告》，现就转型相关事项公告如下：</w:t>
      </w:r>
    </w:p>
    <w:p w:rsidR="00024615" w:rsidRPr="00A83A2C" w:rsidRDefault="00024615" w:rsidP="008228BA">
      <w:pPr>
        <w:pStyle w:val="a3"/>
        <w:spacing w:before="0" w:after="0" w:line="360" w:lineRule="auto"/>
        <w:ind w:firstLineChars="200" w:firstLine="422"/>
        <w:jc w:val="both"/>
        <w:rPr>
          <w:rFonts w:ascii="宋体" w:eastAsia="宋体" w:hAnsi="宋体"/>
          <w:sz w:val="21"/>
          <w:szCs w:val="21"/>
        </w:rPr>
      </w:pPr>
      <w:r w:rsidRPr="00A83A2C">
        <w:rPr>
          <w:rFonts w:ascii="宋体" w:eastAsia="宋体" w:hAnsi="宋体" w:hint="eastAsia"/>
          <w:sz w:val="21"/>
          <w:szCs w:val="21"/>
        </w:rPr>
        <w:t>一、更名</w:t>
      </w:r>
    </w:p>
    <w:p w:rsidR="00024615" w:rsidRPr="00024615" w:rsidRDefault="00024615" w:rsidP="00024615">
      <w:pPr>
        <w:spacing w:line="360" w:lineRule="auto"/>
        <w:ind w:firstLineChars="200" w:firstLine="420"/>
        <w:rPr>
          <w:rFonts w:ascii="宋体" w:eastAsia="宋体" w:hAnsi="宋体" w:cs="Times New Roman"/>
          <w:color w:val="000000"/>
          <w:kern w:val="0"/>
          <w:szCs w:val="21"/>
        </w:rPr>
      </w:pPr>
      <w:r w:rsidRPr="00024615">
        <w:rPr>
          <w:rFonts w:ascii="宋体" w:eastAsia="宋体" w:hAnsi="宋体" w:cs="Times New Roman" w:hint="eastAsia"/>
          <w:color w:val="000000"/>
          <w:kern w:val="0"/>
          <w:szCs w:val="21"/>
        </w:rPr>
        <w:t>基金名称由“</w:t>
      </w:r>
      <w:r w:rsidR="008A214F">
        <w:rPr>
          <w:rFonts w:ascii="宋体" w:eastAsia="宋体" w:hAnsi="宋体" w:cs="Times New Roman" w:hint="eastAsia"/>
          <w:color w:val="000000"/>
          <w:kern w:val="0"/>
          <w:szCs w:val="21"/>
        </w:rPr>
        <w:t>南方中证互联网指数分级证券投资基金</w:t>
      </w:r>
      <w:r w:rsidRPr="00024615">
        <w:rPr>
          <w:rFonts w:ascii="宋体" w:eastAsia="宋体" w:hAnsi="宋体" w:cs="Times New Roman" w:hint="eastAsia"/>
          <w:color w:val="000000"/>
          <w:kern w:val="0"/>
          <w:szCs w:val="21"/>
        </w:rPr>
        <w:t>”变更为“</w:t>
      </w:r>
      <w:r w:rsidR="008A214F">
        <w:rPr>
          <w:rFonts w:ascii="宋体" w:eastAsia="宋体" w:hAnsi="宋体" w:cs="Times New Roman" w:hint="eastAsia"/>
          <w:color w:val="000000"/>
          <w:kern w:val="0"/>
          <w:szCs w:val="21"/>
        </w:rPr>
        <w:t>南方中证互联网指数证券投资基金</w:t>
      </w:r>
      <w:r w:rsidR="002C56C1">
        <w:rPr>
          <w:rFonts w:ascii="宋体" w:eastAsia="宋体" w:hAnsi="宋体" w:cs="Times New Roman" w:hint="eastAsia"/>
          <w:color w:val="000000"/>
          <w:kern w:val="0"/>
          <w:szCs w:val="21"/>
        </w:rPr>
        <w:t>（LOF）</w:t>
      </w:r>
      <w:r w:rsidRPr="00024615">
        <w:rPr>
          <w:rFonts w:ascii="宋体" w:eastAsia="宋体" w:hAnsi="宋体" w:cs="Times New Roman"/>
          <w:color w:val="000000"/>
          <w:kern w:val="0"/>
          <w:szCs w:val="21"/>
        </w:rPr>
        <w:t>”。</w:t>
      </w:r>
    </w:p>
    <w:p w:rsidR="00024615" w:rsidRPr="008228BA" w:rsidRDefault="00024615" w:rsidP="00967D36">
      <w:pPr>
        <w:pStyle w:val="a3"/>
        <w:spacing w:before="0" w:after="0" w:line="360" w:lineRule="auto"/>
        <w:ind w:firstLineChars="200" w:firstLine="422"/>
        <w:jc w:val="both"/>
        <w:rPr>
          <w:rFonts w:ascii="宋体" w:eastAsia="宋体" w:hAnsi="宋体"/>
          <w:sz w:val="21"/>
          <w:szCs w:val="21"/>
        </w:rPr>
      </w:pPr>
      <w:r w:rsidRPr="008228BA">
        <w:rPr>
          <w:rFonts w:ascii="宋体" w:eastAsia="宋体" w:hAnsi="宋体" w:hint="eastAsia"/>
          <w:sz w:val="21"/>
          <w:szCs w:val="21"/>
        </w:rPr>
        <w:t>二、取消分级运作机制</w:t>
      </w:r>
    </w:p>
    <w:p w:rsidR="00024615" w:rsidRPr="00024615" w:rsidRDefault="008A214F" w:rsidP="00024615">
      <w:pPr>
        <w:spacing w:line="360" w:lineRule="auto"/>
        <w:ind w:firstLineChars="200" w:firstLine="420"/>
        <w:rPr>
          <w:rFonts w:ascii="宋体" w:eastAsia="宋体" w:hAnsi="宋体" w:cs="Times New Roman"/>
          <w:color w:val="000000"/>
          <w:kern w:val="0"/>
          <w:szCs w:val="21"/>
        </w:rPr>
      </w:pPr>
      <w:r w:rsidRPr="008A214F">
        <w:rPr>
          <w:rFonts w:ascii="宋体" w:eastAsia="宋体" w:hAnsi="宋体" w:cs="Times New Roman" w:hint="eastAsia"/>
          <w:color w:val="000000"/>
          <w:kern w:val="0"/>
          <w:szCs w:val="21"/>
        </w:rPr>
        <w:t>南方中证互联网指数分级证券投资基金转型为南方中证互联网指数证券投资基金（</w:t>
      </w:r>
      <w:r w:rsidRPr="008A214F">
        <w:rPr>
          <w:rFonts w:ascii="宋体" w:eastAsia="宋体" w:hAnsi="宋体" w:cs="Times New Roman"/>
          <w:color w:val="000000"/>
          <w:kern w:val="0"/>
          <w:szCs w:val="21"/>
        </w:rPr>
        <w:t>LOF）后，取消分级运作机制。在基金份额持有人大会审议通过后且前述转型正式实施后，互联网A份额、互联网B份额、南方互联网份额将根据转型方案的约定全部转换为南方中证互联网指数证券投资基金（LOF）基金份额，因而也不再设置基金份额的分级、折算、配对转换等机制。</w:t>
      </w:r>
    </w:p>
    <w:p w:rsidR="00024615" w:rsidRPr="00967D36" w:rsidRDefault="006D1627" w:rsidP="00967D36">
      <w:pPr>
        <w:pStyle w:val="a3"/>
        <w:spacing w:before="0" w:after="0" w:line="360" w:lineRule="auto"/>
        <w:ind w:firstLineChars="200" w:firstLine="422"/>
        <w:jc w:val="both"/>
        <w:rPr>
          <w:rFonts w:ascii="宋体" w:eastAsia="宋体" w:hAnsi="宋体"/>
          <w:sz w:val="21"/>
          <w:szCs w:val="21"/>
        </w:rPr>
      </w:pPr>
      <w:r>
        <w:rPr>
          <w:rFonts w:ascii="宋体" w:eastAsia="宋体" w:hAnsi="宋体" w:hint="eastAsia"/>
          <w:sz w:val="21"/>
          <w:szCs w:val="21"/>
        </w:rPr>
        <w:t>三</w:t>
      </w:r>
      <w:r w:rsidR="00024615" w:rsidRPr="00967D36">
        <w:rPr>
          <w:rFonts w:ascii="宋体" w:eastAsia="宋体" w:hAnsi="宋体" w:hint="eastAsia"/>
          <w:sz w:val="21"/>
          <w:szCs w:val="21"/>
        </w:rPr>
        <w:t>、</w:t>
      </w:r>
      <w:r w:rsidR="00900531">
        <w:rPr>
          <w:rFonts w:ascii="宋体" w:eastAsia="宋体" w:hAnsi="宋体" w:hint="eastAsia"/>
          <w:sz w:val="21"/>
          <w:szCs w:val="21"/>
        </w:rPr>
        <w:t>互联网</w:t>
      </w:r>
      <w:r w:rsidR="00DF41F0" w:rsidRPr="00DF41F0">
        <w:rPr>
          <w:rFonts w:ascii="宋体" w:eastAsia="宋体" w:hAnsi="宋体"/>
          <w:sz w:val="21"/>
          <w:szCs w:val="21"/>
        </w:rPr>
        <w:t>A份额、</w:t>
      </w:r>
      <w:r w:rsidR="00900531">
        <w:rPr>
          <w:rFonts w:ascii="宋体" w:eastAsia="宋体" w:hAnsi="宋体"/>
          <w:sz w:val="21"/>
          <w:szCs w:val="21"/>
        </w:rPr>
        <w:t>互联网</w:t>
      </w:r>
      <w:r w:rsidR="00DF41F0" w:rsidRPr="00DF41F0">
        <w:rPr>
          <w:rFonts w:ascii="宋体" w:eastAsia="宋体" w:hAnsi="宋体"/>
          <w:sz w:val="21"/>
          <w:szCs w:val="21"/>
        </w:rPr>
        <w:t>B份额的终止上市</w:t>
      </w:r>
    </w:p>
    <w:p w:rsidR="00024615" w:rsidRPr="00024615" w:rsidRDefault="00DB0EDF" w:rsidP="00024615">
      <w:pPr>
        <w:spacing w:line="360" w:lineRule="auto"/>
        <w:ind w:firstLineChars="200" w:firstLine="420"/>
        <w:rPr>
          <w:rFonts w:ascii="宋体" w:eastAsia="宋体" w:hAnsi="宋体" w:cs="Times New Roman"/>
          <w:color w:val="000000"/>
          <w:kern w:val="0"/>
          <w:szCs w:val="21"/>
        </w:rPr>
      </w:pPr>
      <w:r>
        <w:rPr>
          <w:rFonts w:ascii="宋体" w:eastAsia="宋体" w:hAnsi="宋体" w:cs="Times New Roman" w:hint="eastAsia"/>
          <w:color w:val="000000"/>
          <w:kern w:val="0"/>
          <w:szCs w:val="21"/>
        </w:rPr>
        <w:t>基金管理人已按照深圳证券交易所的业务规则和《</w:t>
      </w:r>
      <w:r w:rsidRPr="008A214F">
        <w:rPr>
          <w:rFonts w:ascii="宋体" w:eastAsia="宋体" w:hAnsi="宋体" w:cs="Times New Roman" w:hint="eastAsia"/>
          <w:color w:val="000000"/>
          <w:kern w:val="0"/>
          <w:szCs w:val="21"/>
        </w:rPr>
        <w:t>南方中证互联网指数分级证券投资基金</w:t>
      </w:r>
      <w:r w:rsidRPr="00F33EA4">
        <w:rPr>
          <w:rFonts w:ascii="宋体" w:eastAsia="宋体" w:hAnsi="宋体" w:cs="Times New Roman" w:hint="eastAsia"/>
          <w:color w:val="000000"/>
          <w:kern w:val="0"/>
          <w:szCs w:val="21"/>
        </w:rPr>
        <w:t>基金合同》等的有关规定向深圳证券交易所申请</w:t>
      </w:r>
      <w:r w:rsidRPr="008A214F">
        <w:rPr>
          <w:rFonts w:ascii="宋体" w:eastAsia="宋体" w:hAnsi="宋体" w:cs="Times New Roman"/>
          <w:color w:val="000000"/>
          <w:kern w:val="0"/>
          <w:szCs w:val="21"/>
        </w:rPr>
        <w:t>互联网A份额、互联网B份额</w:t>
      </w:r>
      <w:r w:rsidRPr="00F33EA4">
        <w:rPr>
          <w:rFonts w:ascii="宋体" w:eastAsia="宋体" w:hAnsi="宋体" w:cs="Times New Roman" w:hint="eastAsia"/>
          <w:color w:val="000000"/>
          <w:kern w:val="0"/>
          <w:szCs w:val="21"/>
        </w:rPr>
        <w:t>的终止上市。具体安排详见基金管理人</w:t>
      </w:r>
      <w:r w:rsidRPr="00F33EA4">
        <w:rPr>
          <w:rFonts w:ascii="宋体" w:eastAsia="宋体" w:hAnsi="宋体" w:cs="Times New Roman"/>
          <w:color w:val="000000"/>
          <w:kern w:val="0"/>
          <w:szCs w:val="21"/>
        </w:rPr>
        <w:t>2020</w:t>
      </w:r>
      <w:r w:rsidRPr="00F33EA4">
        <w:rPr>
          <w:rFonts w:ascii="宋体" w:eastAsia="宋体" w:hAnsi="宋体" w:cs="Times New Roman" w:hint="eastAsia"/>
          <w:color w:val="000000"/>
          <w:kern w:val="0"/>
          <w:szCs w:val="21"/>
        </w:rPr>
        <w:t>年</w:t>
      </w:r>
      <w:r>
        <w:rPr>
          <w:rFonts w:ascii="宋体" w:eastAsia="宋体" w:hAnsi="宋体" w:cs="Times New Roman"/>
          <w:color w:val="000000"/>
          <w:kern w:val="0"/>
          <w:szCs w:val="21"/>
        </w:rPr>
        <w:t>11</w:t>
      </w:r>
      <w:r w:rsidRPr="00F33EA4">
        <w:rPr>
          <w:rFonts w:ascii="宋体" w:eastAsia="宋体" w:hAnsi="宋体" w:cs="Times New Roman" w:hint="eastAsia"/>
          <w:color w:val="000000"/>
          <w:kern w:val="0"/>
          <w:szCs w:val="21"/>
        </w:rPr>
        <w:t>月</w:t>
      </w:r>
      <w:r>
        <w:rPr>
          <w:rFonts w:ascii="宋体" w:eastAsia="宋体" w:hAnsi="宋体" w:cs="Times New Roman"/>
          <w:color w:val="000000"/>
          <w:kern w:val="0"/>
          <w:szCs w:val="21"/>
        </w:rPr>
        <w:t>25</w:t>
      </w:r>
      <w:r w:rsidRPr="00F33EA4">
        <w:rPr>
          <w:rFonts w:ascii="宋体" w:eastAsia="宋体" w:hAnsi="宋体" w:cs="Times New Roman" w:hint="eastAsia"/>
          <w:color w:val="000000"/>
          <w:kern w:val="0"/>
          <w:szCs w:val="21"/>
        </w:rPr>
        <w:t>日发布的《</w:t>
      </w:r>
      <w:r w:rsidRPr="00DB0EDF">
        <w:rPr>
          <w:rFonts w:ascii="宋体" w:eastAsia="宋体" w:hAnsi="宋体" w:cs="Times New Roman" w:hint="eastAsia"/>
          <w:color w:val="000000"/>
          <w:kern w:val="0"/>
          <w:szCs w:val="21"/>
        </w:rPr>
        <w:t>关于南方中证互联网指数分级证券投资基金之互联网</w:t>
      </w:r>
      <w:r w:rsidRPr="00DB0EDF">
        <w:rPr>
          <w:rFonts w:ascii="宋体" w:eastAsia="宋体" w:hAnsi="宋体" w:cs="Times New Roman"/>
          <w:color w:val="000000"/>
          <w:kern w:val="0"/>
          <w:szCs w:val="21"/>
        </w:rPr>
        <w:t>A份额、互联网B份额终止上市的公告</w:t>
      </w:r>
      <w:r w:rsidRPr="00F33EA4">
        <w:rPr>
          <w:rFonts w:ascii="宋体" w:eastAsia="宋体" w:hAnsi="宋体" w:cs="Times New Roman" w:hint="eastAsia"/>
          <w:color w:val="000000"/>
          <w:kern w:val="0"/>
          <w:szCs w:val="21"/>
        </w:rPr>
        <w:t>》。</w:t>
      </w:r>
    </w:p>
    <w:p w:rsidR="00024615" w:rsidRPr="00967D36" w:rsidRDefault="006D1627" w:rsidP="00967D36">
      <w:pPr>
        <w:pStyle w:val="a3"/>
        <w:spacing w:before="0" w:after="0" w:line="360" w:lineRule="auto"/>
        <w:ind w:firstLineChars="200" w:firstLine="422"/>
        <w:jc w:val="both"/>
        <w:rPr>
          <w:rFonts w:ascii="宋体" w:eastAsia="宋体" w:hAnsi="宋体"/>
          <w:sz w:val="21"/>
          <w:szCs w:val="21"/>
        </w:rPr>
      </w:pPr>
      <w:r>
        <w:rPr>
          <w:rFonts w:ascii="宋体" w:eastAsia="宋体" w:hAnsi="宋体" w:hint="eastAsia"/>
          <w:sz w:val="21"/>
          <w:szCs w:val="21"/>
        </w:rPr>
        <w:t>四</w:t>
      </w:r>
      <w:r w:rsidR="00024615" w:rsidRPr="00967D36">
        <w:rPr>
          <w:rFonts w:ascii="宋体" w:eastAsia="宋体" w:hAnsi="宋体" w:hint="eastAsia"/>
          <w:sz w:val="21"/>
          <w:szCs w:val="21"/>
        </w:rPr>
        <w:t>、基金份额的转换</w:t>
      </w:r>
    </w:p>
    <w:p w:rsidR="004A0F46" w:rsidRPr="004A0F46" w:rsidRDefault="00037676" w:rsidP="004A0F46">
      <w:pPr>
        <w:spacing w:line="360" w:lineRule="auto"/>
        <w:ind w:firstLineChars="200" w:firstLine="420"/>
        <w:rPr>
          <w:rFonts w:ascii="宋体" w:eastAsia="宋体" w:hAnsi="宋体" w:cs="Times New Roman"/>
          <w:color w:val="000000"/>
          <w:kern w:val="0"/>
          <w:szCs w:val="21"/>
        </w:rPr>
      </w:pPr>
      <w:r>
        <w:rPr>
          <w:rFonts w:ascii="宋体" w:eastAsia="宋体" w:hAnsi="宋体" w:cs="Times New Roman" w:hint="eastAsia"/>
          <w:color w:val="000000"/>
          <w:kern w:val="0"/>
          <w:szCs w:val="21"/>
        </w:rPr>
        <w:t>本</w:t>
      </w:r>
      <w:r w:rsidR="004A0F46" w:rsidRPr="004A0F46">
        <w:rPr>
          <w:rFonts w:ascii="宋体" w:eastAsia="宋体" w:hAnsi="宋体" w:cs="Times New Roman"/>
          <w:color w:val="000000"/>
          <w:kern w:val="0"/>
          <w:szCs w:val="21"/>
        </w:rPr>
        <w:t>基金</w:t>
      </w:r>
      <w:r>
        <w:rPr>
          <w:rFonts w:ascii="宋体" w:eastAsia="宋体" w:hAnsi="宋体" w:cs="Times New Roman" w:hint="eastAsia"/>
          <w:color w:val="000000"/>
          <w:kern w:val="0"/>
          <w:szCs w:val="21"/>
        </w:rPr>
        <w:t>的</w:t>
      </w:r>
      <w:r w:rsidR="004A0F46" w:rsidRPr="004A0F46">
        <w:rPr>
          <w:rFonts w:ascii="宋体" w:eastAsia="宋体" w:hAnsi="宋体" w:cs="Times New Roman"/>
          <w:color w:val="000000"/>
          <w:kern w:val="0"/>
          <w:szCs w:val="21"/>
        </w:rPr>
        <w:t>份额转换基准日</w:t>
      </w:r>
      <w:r>
        <w:rPr>
          <w:rFonts w:ascii="宋体" w:eastAsia="宋体" w:hAnsi="宋体" w:cs="Times New Roman" w:hint="eastAsia"/>
          <w:color w:val="000000"/>
          <w:kern w:val="0"/>
          <w:szCs w:val="21"/>
        </w:rPr>
        <w:t>为2020年11月30日</w:t>
      </w:r>
      <w:r w:rsidR="004A0F46" w:rsidRPr="004A0F46">
        <w:rPr>
          <w:rFonts w:ascii="宋体" w:eastAsia="宋体" w:hAnsi="宋体" w:cs="Times New Roman"/>
          <w:color w:val="000000"/>
          <w:kern w:val="0"/>
          <w:szCs w:val="21"/>
        </w:rPr>
        <w:t>。</w:t>
      </w:r>
      <w:r w:rsidR="00900531" w:rsidRPr="00900531">
        <w:rPr>
          <w:rFonts w:ascii="宋体" w:eastAsia="宋体" w:hAnsi="宋体" w:cs="Times New Roman" w:hint="eastAsia"/>
          <w:color w:val="000000"/>
          <w:kern w:val="0"/>
          <w:szCs w:val="21"/>
        </w:rPr>
        <w:t>南方互联网份额、互联网</w:t>
      </w:r>
      <w:r w:rsidR="00900531" w:rsidRPr="00900531">
        <w:rPr>
          <w:rFonts w:ascii="宋体" w:eastAsia="宋体" w:hAnsi="宋体" w:cs="Times New Roman"/>
          <w:color w:val="000000"/>
          <w:kern w:val="0"/>
          <w:szCs w:val="21"/>
        </w:rPr>
        <w:t>A份额、互联网B份额将于份额转换基准日进行转换，最终将转换成基金份额净值为1.0000元的南方中证互联网指数证券投资基金（LOF）基金份额。在中国证券登记结算有限责任公司深圳分</w:t>
      </w:r>
      <w:r w:rsidR="00900531" w:rsidRPr="00900531">
        <w:rPr>
          <w:rFonts w:ascii="宋体" w:eastAsia="宋体" w:hAnsi="宋体" w:cs="Times New Roman"/>
          <w:color w:val="000000"/>
          <w:kern w:val="0"/>
          <w:szCs w:val="21"/>
        </w:rPr>
        <w:lastRenderedPageBreak/>
        <w:t>公司证券登记系统登记在册的南方互联网份额、互联网A份额、互联网B份额将转换为南方中证互联网指数证券投资基金（LOF）的场内份额，在中国证券登记结算有限责任公司开放式基金登记结算系统登记在册的南方互联网份额将转换为南方中证互联网指数证券投资基金（LOF）的场外份额。</w:t>
      </w:r>
    </w:p>
    <w:p w:rsidR="00900531" w:rsidRPr="00900531" w:rsidRDefault="00900531" w:rsidP="00900531">
      <w:pPr>
        <w:spacing w:line="360" w:lineRule="auto"/>
        <w:ind w:firstLineChars="200" w:firstLine="420"/>
        <w:rPr>
          <w:rFonts w:ascii="宋体" w:eastAsia="宋体" w:hAnsi="宋体" w:cs="Times New Roman"/>
          <w:color w:val="000000"/>
          <w:kern w:val="0"/>
          <w:szCs w:val="21"/>
        </w:rPr>
      </w:pPr>
      <w:r w:rsidRPr="00900531">
        <w:rPr>
          <w:rFonts w:ascii="宋体" w:eastAsia="宋体" w:hAnsi="宋体" w:cs="Times New Roman" w:hint="eastAsia"/>
          <w:color w:val="000000"/>
          <w:kern w:val="0"/>
          <w:szCs w:val="21"/>
        </w:rPr>
        <w:t>由南方互联网份额的场内份额或南方互联网份额的场外份额转换的南方中证互联网指数证券投资基金（</w:t>
      </w:r>
      <w:r w:rsidRPr="00900531">
        <w:rPr>
          <w:rFonts w:ascii="宋体" w:eastAsia="宋体" w:hAnsi="宋体" w:cs="Times New Roman"/>
          <w:color w:val="000000"/>
          <w:kern w:val="0"/>
          <w:szCs w:val="21"/>
        </w:rPr>
        <w:t>LOF）基金份额数=南方互联网份额的场内份额或南方互联网份额的场外份额数×份额转换基准日每份南方互联网份额净值÷1.0000</w:t>
      </w:r>
    </w:p>
    <w:p w:rsidR="00900531" w:rsidRPr="00900531" w:rsidRDefault="00900531" w:rsidP="00900531">
      <w:pPr>
        <w:spacing w:line="360" w:lineRule="auto"/>
        <w:ind w:firstLineChars="200" w:firstLine="420"/>
        <w:rPr>
          <w:rFonts w:ascii="宋体" w:eastAsia="宋体" w:hAnsi="宋体" w:cs="Times New Roman"/>
          <w:color w:val="000000"/>
          <w:kern w:val="0"/>
          <w:szCs w:val="21"/>
        </w:rPr>
      </w:pPr>
      <w:r w:rsidRPr="00900531">
        <w:rPr>
          <w:rFonts w:ascii="宋体" w:eastAsia="宋体" w:hAnsi="宋体" w:cs="Times New Roman" w:hint="eastAsia"/>
          <w:color w:val="000000"/>
          <w:kern w:val="0"/>
          <w:szCs w:val="21"/>
        </w:rPr>
        <w:t>由互联网</w:t>
      </w:r>
      <w:r w:rsidRPr="00900531">
        <w:rPr>
          <w:rFonts w:ascii="宋体" w:eastAsia="宋体" w:hAnsi="宋体" w:cs="Times New Roman"/>
          <w:color w:val="000000"/>
          <w:kern w:val="0"/>
          <w:szCs w:val="21"/>
        </w:rPr>
        <w:t>A份额转换的南方中证互联网指数证券投资基金（LOF）基金份额数=互联网A份额的场内份额数×份额转换基准日每份互联网A份额的基金份额参考净值÷1.0000</w:t>
      </w:r>
    </w:p>
    <w:p w:rsidR="00900531" w:rsidRPr="00900531" w:rsidRDefault="00900531" w:rsidP="00900531">
      <w:pPr>
        <w:spacing w:line="360" w:lineRule="auto"/>
        <w:ind w:firstLineChars="200" w:firstLine="420"/>
        <w:rPr>
          <w:rFonts w:ascii="宋体" w:eastAsia="宋体" w:hAnsi="宋体" w:cs="Times New Roman"/>
          <w:color w:val="000000"/>
          <w:kern w:val="0"/>
          <w:szCs w:val="21"/>
        </w:rPr>
      </w:pPr>
      <w:r w:rsidRPr="00900531">
        <w:rPr>
          <w:rFonts w:ascii="宋体" w:eastAsia="宋体" w:hAnsi="宋体" w:cs="Times New Roman" w:hint="eastAsia"/>
          <w:color w:val="000000"/>
          <w:kern w:val="0"/>
          <w:szCs w:val="21"/>
        </w:rPr>
        <w:t>由互联网</w:t>
      </w:r>
      <w:r w:rsidRPr="00900531">
        <w:rPr>
          <w:rFonts w:ascii="宋体" w:eastAsia="宋体" w:hAnsi="宋体" w:cs="Times New Roman"/>
          <w:color w:val="000000"/>
          <w:kern w:val="0"/>
          <w:szCs w:val="21"/>
        </w:rPr>
        <w:t>B份额转换的南方中证互联网指数证券投资基金（LOF）基金份额数=互联网B份额的场内份额数×份额转换基准日每份互联网B份额的基金份额参考净值÷1.0000</w:t>
      </w:r>
    </w:p>
    <w:p w:rsidR="00024615" w:rsidRPr="00024615" w:rsidRDefault="00900531" w:rsidP="00900531">
      <w:pPr>
        <w:spacing w:line="360" w:lineRule="auto"/>
        <w:ind w:firstLineChars="200" w:firstLine="420"/>
        <w:rPr>
          <w:rFonts w:ascii="宋体" w:eastAsia="宋体" w:hAnsi="宋体" w:cs="Times New Roman"/>
          <w:color w:val="000000"/>
          <w:kern w:val="0"/>
          <w:szCs w:val="21"/>
        </w:rPr>
      </w:pPr>
      <w:r w:rsidRPr="00900531">
        <w:rPr>
          <w:rFonts w:ascii="宋体" w:eastAsia="宋体" w:hAnsi="宋体" w:cs="Times New Roman" w:hint="eastAsia"/>
          <w:color w:val="000000"/>
          <w:kern w:val="0"/>
          <w:szCs w:val="21"/>
        </w:rPr>
        <w:t>基金份额转换后，南方中证互联网指数证券投资基金（</w:t>
      </w:r>
      <w:r w:rsidRPr="00900531">
        <w:rPr>
          <w:rFonts w:ascii="宋体" w:eastAsia="宋体" w:hAnsi="宋体" w:cs="Times New Roman"/>
          <w:color w:val="000000"/>
          <w:kern w:val="0"/>
          <w:szCs w:val="21"/>
        </w:rPr>
        <w:t>LOF）的基金份额净值为1.0000元，南方中证互联网指数证券投资基金（LOF）的场内份额数取整计算（最小单位为1份），余额计入基金财产。基金份额转换后，南方中证互联网指数证券投资基金（LOF）的场外份额数保留到小数点后两位，小数点后两位以后的部分舍弃，余额计入基金财产。由于上述基金份额数计算方法产生的误差，基金份额持有人可能将面临资产净值减小的风险；对于持有份额数较少的南方互联网份额、互联网A份额、互联网B份额的场内份额持有人，将面临因持有的基金份额转换后份</w:t>
      </w:r>
      <w:r w:rsidRPr="00900531">
        <w:rPr>
          <w:rFonts w:ascii="宋体" w:eastAsia="宋体" w:hAnsi="宋体" w:cs="Times New Roman" w:hint="eastAsia"/>
          <w:color w:val="000000"/>
          <w:kern w:val="0"/>
          <w:szCs w:val="21"/>
        </w:rPr>
        <w:t>额数不足</w:t>
      </w:r>
      <w:r w:rsidRPr="00900531">
        <w:rPr>
          <w:rFonts w:ascii="宋体" w:eastAsia="宋体" w:hAnsi="宋体" w:cs="Times New Roman"/>
          <w:color w:val="000000"/>
          <w:kern w:val="0"/>
          <w:szCs w:val="21"/>
        </w:rPr>
        <w:t>1份而被计入基金财产的风险。</w:t>
      </w:r>
    </w:p>
    <w:p w:rsidR="00024615" w:rsidRPr="00967D36" w:rsidRDefault="00D17112" w:rsidP="00967D36">
      <w:pPr>
        <w:pStyle w:val="a3"/>
        <w:spacing w:before="0" w:after="0" w:line="360" w:lineRule="auto"/>
        <w:ind w:firstLineChars="200" w:firstLine="422"/>
        <w:jc w:val="both"/>
        <w:rPr>
          <w:rFonts w:ascii="宋体" w:eastAsia="宋体" w:hAnsi="宋体"/>
          <w:sz w:val="21"/>
          <w:szCs w:val="21"/>
        </w:rPr>
      </w:pPr>
      <w:r>
        <w:rPr>
          <w:rFonts w:ascii="宋体" w:eastAsia="宋体" w:hAnsi="宋体" w:hint="eastAsia"/>
          <w:sz w:val="21"/>
          <w:szCs w:val="21"/>
        </w:rPr>
        <w:t>五</w:t>
      </w:r>
      <w:r w:rsidR="00024615" w:rsidRPr="00967D36">
        <w:rPr>
          <w:rFonts w:ascii="宋体" w:eastAsia="宋体" w:hAnsi="宋体" w:hint="eastAsia"/>
          <w:sz w:val="21"/>
          <w:szCs w:val="21"/>
        </w:rPr>
        <w:t>、</w:t>
      </w:r>
      <w:r w:rsidR="0030783D" w:rsidRPr="0030783D">
        <w:rPr>
          <w:rFonts w:ascii="宋体" w:eastAsia="宋体" w:hAnsi="宋体" w:hint="eastAsia"/>
          <w:sz w:val="21"/>
          <w:szCs w:val="21"/>
        </w:rPr>
        <w:t>调整自动清盘条款</w:t>
      </w:r>
    </w:p>
    <w:p w:rsidR="00024615" w:rsidRPr="00024615" w:rsidRDefault="00D17112" w:rsidP="00024615">
      <w:pPr>
        <w:spacing w:line="360" w:lineRule="auto"/>
        <w:ind w:firstLineChars="200" w:firstLine="420"/>
        <w:rPr>
          <w:rFonts w:ascii="宋体" w:eastAsia="宋体" w:hAnsi="宋体" w:cs="Times New Roman"/>
          <w:color w:val="000000"/>
          <w:kern w:val="0"/>
          <w:szCs w:val="21"/>
        </w:rPr>
      </w:pPr>
      <w:r w:rsidRPr="00D17112">
        <w:rPr>
          <w:rFonts w:ascii="宋体" w:eastAsia="宋体" w:hAnsi="宋体" w:cs="Times New Roman" w:hint="eastAsia"/>
          <w:color w:val="000000"/>
          <w:kern w:val="0"/>
          <w:szCs w:val="21"/>
        </w:rPr>
        <w:t>《南方中证互联网指数证券投资基金（</w:t>
      </w:r>
      <w:r w:rsidRPr="00D17112">
        <w:rPr>
          <w:rFonts w:ascii="宋体" w:eastAsia="宋体" w:hAnsi="宋体" w:cs="Times New Roman"/>
          <w:color w:val="000000"/>
          <w:kern w:val="0"/>
          <w:szCs w:val="21"/>
        </w:rPr>
        <w:t>LOF）基金合同》约定，连续30个工作日出现基金份额持有人数量不满200人或者基金资产净值低于1亿元情形的，基金合同应当终止，无需召开基金份额持有人大会。</w:t>
      </w:r>
    </w:p>
    <w:p w:rsidR="00024615" w:rsidRPr="00967D36" w:rsidRDefault="00B729A6" w:rsidP="00967D36">
      <w:pPr>
        <w:pStyle w:val="a3"/>
        <w:spacing w:before="0" w:after="0" w:line="360" w:lineRule="auto"/>
        <w:ind w:firstLineChars="200" w:firstLine="422"/>
        <w:jc w:val="both"/>
        <w:rPr>
          <w:rFonts w:ascii="宋体" w:eastAsia="宋体" w:hAnsi="宋体"/>
          <w:sz w:val="21"/>
          <w:szCs w:val="21"/>
        </w:rPr>
      </w:pPr>
      <w:r>
        <w:rPr>
          <w:rFonts w:ascii="宋体" w:eastAsia="宋体" w:hAnsi="宋体" w:hint="eastAsia"/>
          <w:sz w:val="21"/>
          <w:szCs w:val="21"/>
        </w:rPr>
        <w:t>六</w:t>
      </w:r>
      <w:r w:rsidR="00024615" w:rsidRPr="00967D36">
        <w:rPr>
          <w:rFonts w:ascii="宋体" w:eastAsia="宋体" w:hAnsi="宋体" w:hint="eastAsia"/>
          <w:sz w:val="21"/>
          <w:szCs w:val="21"/>
        </w:rPr>
        <w:t>、变更后基金的基本情况</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1</w:t>
      </w:r>
      <w:r w:rsidRPr="00B729A6">
        <w:rPr>
          <w:rFonts w:ascii="宋体" w:eastAsia="宋体" w:hAnsi="宋体" w:cs="Times New Roman" w:hint="eastAsia"/>
          <w:color w:val="000000"/>
          <w:kern w:val="0"/>
          <w:szCs w:val="21"/>
        </w:rPr>
        <w:t>、基金的名称：</w:t>
      </w:r>
      <w:r w:rsidRPr="00B729A6">
        <w:rPr>
          <w:rFonts w:ascii="宋体" w:eastAsia="宋体" w:hAnsi="宋体" w:cs="Times New Roman" w:hint="eastAsia"/>
          <w:bCs/>
          <w:color w:val="000000"/>
          <w:kern w:val="0"/>
          <w:szCs w:val="21"/>
        </w:rPr>
        <w:t>南方中证互联网指数证券投资基金（LOF）</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t>2、基金类型：股票型</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t>3、基金运作方式：上市契约型开放式（LOF）</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4</w:t>
      </w:r>
      <w:r w:rsidRPr="00B729A6">
        <w:rPr>
          <w:rFonts w:ascii="宋体" w:eastAsia="宋体" w:hAnsi="宋体" w:cs="Times New Roman" w:hint="eastAsia"/>
          <w:color w:val="000000"/>
          <w:kern w:val="0"/>
          <w:szCs w:val="21"/>
        </w:rPr>
        <w:t>、基金存续期限：不定期</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5</w:t>
      </w:r>
      <w:r w:rsidRPr="00B729A6">
        <w:rPr>
          <w:rFonts w:ascii="宋体" w:eastAsia="宋体" w:hAnsi="宋体" w:cs="Times New Roman" w:hint="eastAsia"/>
          <w:color w:val="000000"/>
          <w:kern w:val="0"/>
          <w:szCs w:val="21"/>
        </w:rPr>
        <w:t>、基金份额的上市交易</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基金合同生效后，在符合法律法规和深圳证券交易所规定的上市条件的情况下，基金管理人可申请本基金在深圳证券交易所上市交易。</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lastRenderedPageBreak/>
        <w:t>6、投资目标</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bCs/>
          <w:color w:val="000000"/>
          <w:kern w:val="0"/>
          <w:szCs w:val="21"/>
        </w:rPr>
        <w:t>本基金进行被动式指数化投资，紧密跟踪标的指数，追求与业绩比较基准相似的回报。</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7</w:t>
      </w:r>
      <w:r w:rsidRPr="00B729A6">
        <w:rPr>
          <w:rFonts w:ascii="宋体" w:eastAsia="宋体" w:hAnsi="宋体" w:cs="Times New Roman" w:hint="eastAsia"/>
          <w:color w:val="000000"/>
          <w:kern w:val="0"/>
          <w:szCs w:val="21"/>
        </w:rPr>
        <w:t>、投资范围</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本基金主要投资于标的指数成份股、备选成份股。为更好地实现投资目标，本基金可少量投资于非成份股（包括中小板、创业板及</w:t>
      </w:r>
      <w:r w:rsidRPr="009106FA">
        <w:rPr>
          <w:rFonts w:ascii="宋体" w:eastAsia="宋体" w:hAnsi="宋体" w:cs="Times New Roman" w:hint="eastAsia"/>
          <w:bCs/>
          <w:color w:val="000000"/>
          <w:kern w:val="0"/>
          <w:szCs w:val="21"/>
        </w:rPr>
        <w:t>其他经中国证监会核准上市的股票</w:t>
      </w:r>
      <w:r w:rsidR="005D6275" w:rsidRPr="009106FA">
        <w:rPr>
          <w:rFonts w:ascii="宋体" w:eastAsia="宋体" w:hAnsi="宋体" w:cs="Times New Roman" w:hint="eastAsia"/>
          <w:bCs/>
          <w:color w:val="000000"/>
          <w:kern w:val="0"/>
          <w:szCs w:val="21"/>
        </w:rPr>
        <w:t>以及</w:t>
      </w:r>
      <w:r w:rsidR="005D6275" w:rsidRPr="009106FA">
        <w:rPr>
          <w:rFonts w:ascii="宋体" w:eastAsia="宋体" w:hAnsi="宋体" w:cs="Times New Roman"/>
          <w:bCs/>
          <w:color w:val="000000"/>
          <w:kern w:val="0"/>
          <w:szCs w:val="21"/>
        </w:rPr>
        <w:t>存托凭证</w:t>
      </w:r>
      <w:r w:rsidR="005D6275" w:rsidRPr="009106FA">
        <w:rPr>
          <w:rFonts w:ascii="宋体" w:eastAsia="宋体" w:hAnsi="宋体" w:cs="Times New Roman" w:hint="eastAsia"/>
          <w:bCs/>
          <w:color w:val="000000"/>
          <w:kern w:val="0"/>
          <w:szCs w:val="21"/>
        </w:rPr>
        <w:t>（下同）</w:t>
      </w:r>
      <w:r w:rsidRPr="009106FA">
        <w:rPr>
          <w:rFonts w:ascii="宋体" w:eastAsia="宋体" w:hAnsi="宋体" w:cs="Times New Roman" w:hint="eastAsia"/>
          <w:bCs/>
          <w:color w:val="000000"/>
          <w:kern w:val="0"/>
          <w:szCs w:val="21"/>
        </w:rPr>
        <w:t>）、债券（国债、央行票据、金融</w:t>
      </w:r>
      <w:r w:rsidRPr="00B729A6">
        <w:rPr>
          <w:rFonts w:ascii="宋体" w:eastAsia="宋体" w:hAnsi="宋体" w:cs="Times New Roman" w:hint="eastAsia"/>
          <w:bCs/>
          <w:color w:val="000000"/>
          <w:kern w:val="0"/>
          <w:szCs w:val="21"/>
        </w:rPr>
        <w:t>债券、企业债券、公司债券、中期票据、短期融资券、超短期融资券、次级债券、政府支持机构债、政府支持债券、地方政府债、可转换债券及其他经中国证监会允许投资的债券）、资产支持证券、债券回购、银行存款、货币市场工具、股指期货以及经中国证监会允</w:t>
      </w:r>
      <w:bookmarkStart w:id="0" w:name="_GoBack"/>
      <w:bookmarkEnd w:id="0"/>
      <w:r w:rsidRPr="00B729A6">
        <w:rPr>
          <w:rFonts w:ascii="宋体" w:eastAsia="宋体" w:hAnsi="宋体" w:cs="Times New Roman" w:hint="eastAsia"/>
          <w:bCs/>
          <w:color w:val="000000"/>
          <w:kern w:val="0"/>
          <w:szCs w:val="21"/>
        </w:rPr>
        <w:t>许基金投资的其他金融工具，但需符合中国证监会的相关规定。</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基金的投资组合比例为：在建仓完成后，本基金80%以上的基金资产投资于股票</w:t>
      </w:r>
      <w:r w:rsidR="005D6275" w:rsidRPr="00C87334">
        <w:rPr>
          <w:rFonts w:ascii="宋体" w:eastAsia="宋体" w:hAnsi="宋体" w:cs="Times New Roman" w:hint="eastAsia"/>
          <w:bCs/>
          <w:color w:val="000000"/>
          <w:kern w:val="0"/>
          <w:szCs w:val="21"/>
        </w:rPr>
        <w:t>（含存托凭证）</w:t>
      </w:r>
      <w:r w:rsidRPr="00B729A6">
        <w:rPr>
          <w:rFonts w:ascii="宋体" w:eastAsia="宋体" w:hAnsi="宋体" w:cs="Times New Roman" w:hint="eastAsia"/>
          <w:bCs/>
          <w:color w:val="000000"/>
          <w:kern w:val="0"/>
          <w:szCs w:val="21"/>
        </w:rPr>
        <w:t>。本基金投资于标的指数成份股和备选成份股的比例不低于基金资产净值的90%，且不低于非现金基金资产的80%。每个交易日日终在扣除股指期货合约需缴纳的交易保证金后，现金或到期日在一年以内的政府债券的投资比例不低于基金资产净值的5%，其中现金不包括结算备付金、存出保证金、应收申购款等。</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如法律法规或监管机构以后允许基金投资其他品种，基金管理人在履行适当程序后，可以将其纳入投资范围。</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8</w:t>
      </w:r>
      <w:r w:rsidRPr="00B729A6">
        <w:rPr>
          <w:rFonts w:ascii="宋体" w:eastAsia="宋体" w:hAnsi="宋体" w:cs="Times New Roman" w:hint="eastAsia"/>
          <w:color w:val="000000"/>
          <w:kern w:val="0"/>
          <w:szCs w:val="21"/>
        </w:rPr>
        <w:t>、投资限制</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（1）</w:t>
      </w:r>
      <w:r w:rsidRPr="00B729A6">
        <w:rPr>
          <w:rFonts w:ascii="宋体" w:eastAsia="宋体" w:hAnsi="宋体" w:cs="Times New Roman" w:hint="eastAsia"/>
          <w:bCs/>
          <w:color w:val="000000"/>
          <w:kern w:val="0"/>
          <w:szCs w:val="21"/>
        </w:rPr>
        <w:t>本基金80%以上的基金资产投资于股票</w:t>
      </w:r>
      <w:r w:rsidR="005D6275" w:rsidRPr="00C87334">
        <w:rPr>
          <w:rFonts w:ascii="宋体" w:eastAsia="宋体" w:hAnsi="宋体" w:cs="Times New Roman" w:hint="eastAsia"/>
          <w:bCs/>
          <w:color w:val="000000"/>
          <w:kern w:val="0"/>
          <w:szCs w:val="21"/>
        </w:rPr>
        <w:t>（含存托凭证）</w:t>
      </w:r>
      <w:r w:rsidRPr="00B729A6">
        <w:rPr>
          <w:rFonts w:ascii="宋体" w:eastAsia="宋体" w:hAnsi="宋体" w:cs="Times New Roman" w:hint="eastAsia"/>
          <w:bCs/>
          <w:color w:val="000000"/>
          <w:kern w:val="0"/>
          <w:szCs w:val="21"/>
        </w:rPr>
        <w:t>；</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（2）本基金投资于标的指数成份股及其备选成份股的比例不低于基金资产净值的90％，且不低于非现金基金资产的80%；</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（3）</w:t>
      </w:r>
      <w:r w:rsidRPr="00B729A6">
        <w:rPr>
          <w:rFonts w:ascii="宋体" w:eastAsia="宋体" w:hAnsi="宋体" w:cs="Times New Roman" w:hint="eastAsia"/>
          <w:bCs/>
          <w:color w:val="000000"/>
          <w:kern w:val="0"/>
          <w:szCs w:val="21"/>
        </w:rPr>
        <w:t>本基金每个交易日日终在扣除股指期货合约需缴纳的交易保证金后，应当</w:t>
      </w:r>
      <w:r w:rsidRPr="00B729A6">
        <w:rPr>
          <w:rFonts w:ascii="宋体" w:eastAsia="宋体" w:hAnsi="宋体" w:cs="Times New Roman"/>
          <w:bCs/>
          <w:color w:val="000000"/>
          <w:kern w:val="0"/>
          <w:szCs w:val="21"/>
        </w:rPr>
        <w:t>保持不低于基金资产净值5％的现金或者到期日在一年以内的政府债券</w:t>
      </w:r>
      <w:r w:rsidRPr="00B729A6">
        <w:rPr>
          <w:rFonts w:ascii="宋体" w:eastAsia="宋体" w:hAnsi="宋体" w:cs="Times New Roman" w:hint="eastAsia"/>
          <w:bCs/>
          <w:color w:val="000000"/>
          <w:kern w:val="0"/>
          <w:szCs w:val="21"/>
        </w:rPr>
        <w:t>，</w:t>
      </w:r>
      <w:r w:rsidRPr="00B729A6">
        <w:rPr>
          <w:rFonts w:ascii="宋体" w:eastAsia="宋体" w:hAnsi="宋体" w:cs="Times New Roman"/>
          <w:color w:val="000000"/>
          <w:kern w:val="0"/>
          <w:szCs w:val="21"/>
        </w:rPr>
        <w:t>其中现金不包括结算备付金、存出保证金和应收申购款等</w:t>
      </w:r>
      <w:r w:rsidRPr="00B729A6">
        <w:rPr>
          <w:rFonts w:ascii="宋体" w:eastAsia="宋体" w:hAnsi="宋体" w:cs="Times New Roman"/>
          <w:bCs/>
          <w:color w:val="000000"/>
          <w:kern w:val="0"/>
          <w:szCs w:val="21"/>
        </w:rPr>
        <w:t>；</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（4）本基金投资于同一原始权益人的各类资产支持证券的比例，不得超过基金资产净值的10％；</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（5）本基金持有的全部资产支持证券，其市值不得超过基金资产净值的20％；</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（6）本基金持有的同一(指同一信用级别)资产支持证券的比例，不得超过该资产支持证券规模的10％；</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（7）本基金管理人管理的全部基金投资于同一原始权益人的各类资产支持证券，不得超过其各类资产支持证券合计规模的10％；</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（8）本基金应投资于信用级别评级为BBB以上(含BBB)的资产支持证券。基金持有资产支持证券期间，如果其信用等级下降、不再符合投资标准，应在评级报告发布之日起3个月内予以全部卖出；</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（9）基金财产参与股票发行申购，本基金所申报的金额不超过本基金的总资产，本基金所申报的股票数量不超过拟发行股票公司本次发行股票的总量；</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bCs/>
          <w:color w:val="000000"/>
          <w:kern w:val="0"/>
          <w:szCs w:val="21"/>
        </w:rPr>
        <w:t>（</w:t>
      </w:r>
      <w:r w:rsidRPr="00B729A6">
        <w:rPr>
          <w:rFonts w:ascii="宋体" w:eastAsia="宋体" w:hAnsi="宋体" w:cs="Times New Roman" w:hint="eastAsia"/>
          <w:bCs/>
          <w:color w:val="000000"/>
          <w:kern w:val="0"/>
          <w:szCs w:val="21"/>
        </w:rPr>
        <w:t>1</w:t>
      </w:r>
      <w:r w:rsidRPr="00B729A6">
        <w:rPr>
          <w:rFonts w:ascii="宋体" w:eastAsia="宋体" w:hAnsi="宋体" w:cs="Times New Roman"/>
          <w:bCs/>
          <w:color w:val="000000"/>
          <w:kern w:val="0"/>
          <w:szCs w:val="21"/>
        </w:rPr>
        <w:t>0）本基金进入全国银行间同业市场进行债券回购的资金余额不得超过基金资产净值的40%</w:t>
      </w:r>
      <w:r w:rsidRPr="00B729A6">
        <w:rPr>
          <w:rFonts w:ascii="宋体" w:eastAsia="宋体" w:hAnsi="宋体" w:cs="Times New Roman" w:hint="eastAsia"/>
          <w:bCs/>
          <w:color w:val="000000"/>
          <w:kern w:val="0"/>
          <w:szCs w:val="21"/>
        </w:rPr>
        <w:t>，</w:t>
      </w:r>
      <w:r w:rsidRPr="00B729A6">
        <w:rPr>
          <w:rFonts w:ascii="宋体" w:eastAsia="宋体" w:hAnsi="宋体" w:cs="Times New Roman" w:hint="eastAsia"/>
          <w:color w:val="000000"/>
          <w:kern w:val="0"/>
          <w:szCs w:val="21"/>
        </w:rPr>
        <w:t>进入全国银行间同业市场进行债券回购的最长期限为1年，债券回购到期后不得展期</w:t>
      </w:r>
      <w:r w:rsidRPr="00B729A6">
        <w:rPr>
          <w:rFonts w:ascii="宋体" w:eastAsia="宋体" w:hAnsi="宋体" w:cs="Times New Roman"/>
          <w:color w:val="000000"/>
          <w:kern w:val="0"/>
          <w:szCs w:val="21"/>
        </w:rPr>
        <w:t>；</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w:t>
      </w:r>
      <w:r w:rsidRPr="00B729A6">
        <w:rPr>
          <w:rFonts w:ascii="宋体" w:eastAsia="宋体" w:hAnsi="宋体" w:cs="Times New Roman" w:hint="eastAsia"/>
          <w:color w:val="000000"/>
          <w:kern w:val="0"/>
          <w:szCs w:val="21"/>
        </w:rPr>
        <w:t>1</w:t>
      </w:r>
      <w:r w:rsidRPr="00B729A6">
        <w:rPr>
          <w:rFonts w:ascii="宋体" w:eastAsia="宋体" w:hAnsi="宋体" w:cs="Times New Roman"/>
          <w:color w:val="000000"/>
          <w:kern w:val="0"/>
          <w:szCs w:val="21"/>
        </w:rPr>
        <w:t>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w:t>
      </w:r>
      <w:r w:rsidRPr="00B729A6">
        <w:rPr>
          <w:rFonts w:ascii="宋体" w:eastAsia="宋体" w:hAnsi="宋体" w:cs="Times New Roman" w:hint="eastAsia"/>
          <w:color w:val="000000"/>
          <w:kern w:val="0"/>
          <w:szCs w:val="21"/>
        </w:rPr>
        <w:t>1</w:t>
      </w:r>
      <w:r w:rsidRPr="00B729A6">
        <w:rPr>
          <w:rFonts w:ascii="宋体" w:eastAsia="宋体" w:hAnsi="宋体" w:cs="Times New Roman"/>
          <w:color w:val="000000"/>
          <w:kern w:val="0"/>
          <w:szCs w:val="21"/>
        </w:rPr>
        <w:t>2）本基金与私募类证券资管产品及中国证监会认定的其他主体为交易对手开展逆回购交易的，可接受质押品的资质要求应当与本基金合同约定的投资范围保持一致；</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bCs/>
          <w:color w:val="000000"/>
          <w:kern w:val="0"/>
          <w:szCs w:val="21"/>
        </w:rPr>
        <w:t>（1</w:t>
      </w:r>
      <w:r w:rsidRPr="00B729A6">
        <w:rPr>
          <w:rFonts w:ascii="宋体" w:eastAsia="宋体" w:hAnsi="宋体" w:cs="Times New Roman"/>
          <w:bCs/>
          <w:color w:val="000000"/>
          <w:kern w:val="0"/>
          <w:szCs w:val="21"/>
        </w:rPr>
        <w:t>3</w:t>
      </w:r>
      <w:r w:rsidRPr="00B729A6">
        <w:rPr>
          <w:rFonts w:ascii="宋体" w:eastAsia="宋体" w:hAnsi="宋体" w:cs="Times New Roman" w:hint="eastAsia"/>
          <w:bCs/>
          <w:color w:val="000000"/>
          <w:kern w:val="0"/>
          <w:szCs w:val="21"/>
        </w:rPr>
        <w:t>）</w:t>
      </w:r>
      <w:r w:rsidRPr="00B729A6">
        <w:rPr>
          <w:rFonts w:ascii="宋体" w:eastAsia="宋体" w:hAnsi="宋体" w:cs="Times New Roman" w:hint="eastAsia"/>
          <w:color w:val="000000"/>
          <w:kern w:val="0"/>
          <w:szCs w:val="21"/>
        </w:rPr>
        <w:t>本基金参与股指期货交易，应当符合下列投资限制：</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t>1）本基金在任何交易日日终，持有的买入股指期货合约价值，不得超过基金资产净值的10%；</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t>3）本基金在任何交易日日终，持有的卖出股指期货合约价值不得超过基金持有的股票总市值的20%。</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t>4）本基金所持有的股票市值和买入、卖出股指期货合约价值，合计（轧差计算）应当符合基金合同关于股票投资比例的有关约定；</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t>5）本基金在任何交易日内交易（不包括平仓）的股指期货合约的成交金额不得超过上一交易日基金资产净值的20%；</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color w:val="000000"/>
          <w:kern w:val="0"/>
          <w:szCs w:val="21"/>
        </w:rPr>
        <w:t>（14）本基金资产总值不超过基金资产净值的140%；</w:t>
      </w:r>
    </w:p>
    <w:p w:rsidR="00137F9C" w:rsidRPr="00137F9C" w:rsidRDefault="00B729A6" w:rsidP="00137F9C">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（15）</w:t>
      </w:r>
      <w:r w:rsidR="00137F9C" w:rsidRPr="00137F9C">
        <w:rPr>
          <w:rFonts w:ascii="宋体" w:eastAsia="宋体" w:hAnsi="宋体" w:cs="Times New Roman" w:hint="eastAsia"/>
          <w:bCs/>
          <w:color w:val="000000"/>
          <w:kern w:val="0"/>
          <w:szCs w:val="21"/>
        </w:rPr>
        <w:t>本基金投资存托凭证的比例限制依照内地上市交易的股票执行；</w:t>
      </w:r>
    </w:p>
    <w:p w:rsidR="00B729A6" w:rsidRPr="00B729A6" w:rsidRDefault="00137F9C" w:rsidP="00137F9C">
      <w:pPr>
        <w:spacing w:line="360" w:lineRule="auto"/>
        <w:ind w:firstLineChars="200" w:firstLine="420"/>
        <w:rPr>
          <w:rFonts w:ascii="宋体" w:eastAsia="宋体" w:hAnsi="宋体" w:cs="Times New Roman"/>
          <w:color w:val="000000"/>
          <w:kern w:val="0"/>
          <w:szCs w:val="21"/>
        </w:rPr>
      </w:pPr>
      <w:r w:rsidRPr="00137F9C">
        <w:rPr>
          <w:rFonts w:ascii="宋体" w:eastAsia="宋体" w:hAnsi="宋体" w:cs="Times New Roman"/>
          <w:bCs/>
          <w:color w:val="000000"/>
          <w:kern w:val="0"/>
          <w:szCs w:val="21"/>
        </w:rPr>
        <w:t>（1</w:t>
      </w:r>
      <w:r>
        <w:rPr>
          <w:rFonts w:ascii="宋体" w:eastAsia="宋体" w:hAnsi="宋体" w:cs="Times New Roman"/>
          <w:bCs/>
          <w:color w:val="000000"/>
          <w:kern w:val="0"/>
          <w:szCs w:val="21"/>
        </w:rPr>
        <w:t>6</w:t>
      </w:r>
      <w:r w:rsidRPr="00137F9C">
        <w:rPr>
          <w:rFonts w:ascii="宋体" w:eastAsia="宋体" w:hAnsi="宋体" w:cs="Times New Roman"/>
          <w:bCs/>
          <w:color w:val="000000"/>
          <w:kern w:val="0"/>
          <w:szCs w:val="21"/>
        </w:rPr>
        <w:t>）</w:t>
      </w:r>
      <w:r w:rsidR="00B729A6" w:rsidRPr="00B729A6">
        <w:rPr>
          <w:rFonts w:ascii="宋体" w:eastAsia="宋体" w:hAnsi="宋体" w:cs="Times New Roman" w:hint="eastAsia"/>
          <w:bCs/>
          <w:color w:val="000000"/>
          <w:kern w:val="0"/>
          <w:szCs w:val="21"/>
        </w:rPr>
        <w:t>法律法规及中国证监会规定的和《基金合同》约定的其他投资限制。</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9</w:t>
      </w:r>
      <w:r w:rsidRPr="00B729A6">
        <w:rPr>
          <w:rFonts w:ascii="宋体" w:eastAsia="宋体" w:hAnsi="宋体" w:cs="Times New Roman" w:hint="eastAsia"/>
          <w:color w:val="000000"/>
          <w:kern w:val="0"/>
          <w:szCs w:val="21"/>
        </w:rPr>
        <w:t>、</w:t>
      </w:r>
      <w:r w:rsidRPr="00B729A6">
        <w:rPr>
          <w:rFonts w:ascii="宋体" w:eastAsia="宋体" w:hAnsi="宋体" w:cs="Times New Roman" w:hint="eastAsia"/>
          <w:bCs/>
          <w:color w:val="000000"/>
          <w:kern w:val="0"/>
          <w:szCs w:val="21"/>
        </w:rPr>
        <w:t>标的指数与</w:t>
      </w:r>
      <w:r w:rsidRPr="00B729A6">
        <w:rPr>
          <w:rFonts w:ascii="宋体" w:eastAsia="宋体" w:hAnsi="宋体" w:cs="Times New Roman" w:hint="eastAsia"/>
          <w:color w:val="000000"/>
          <w:kern w:val="0"/>
          <w:szCs w:val="21"/>
        </w:rPr>
        <w:t>业绩比较基准</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本基金的标的指数：中证互联网指数及其未来可能发生的变更。</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本基金的业绩比较基准：标的指数收益率×95%+银行人民币活期存款利率（税后）×5%。</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10</w:t>
      </w:r>
      <w:r w:rsidRPr="00B729A6">
        <w:rPr>
          <w:rFonts w:ascii="宋体" w:eastAsia="宋体" w:hAnsi="宋体" w:cs="Times New Roman" w:hint="eastAsia"/>
          <w:color w:val="000000"/>
          <w:kern w:val="0"/>
          <w:szCs w:val="21"/>
        </w:rPr>
        <w:t>、风险收益特征</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本基金属于股票型基金，</w:t>
      </w:r>
      <w:r w:rsidRPr="00B729A6">
        <w:rPr>
          <w:rFonts w:ascii="宋体" w:eastAsia="宋体" w:hAnsi="宋体" w:cs="Times New Roman" w:hint="eastAsia"/>
          <w:bCs/>
          <w:color w:val="000000"/>
          <w:kern w:val="0"/>
          <w:szCs w:val="21"/>
        </w:rPr>
        <w:t>一般而言</w:t>
      </w:r>
      <w:r w:rsidRPr="00B729A6">
        <w:rPr>
          <w:rFonts w:ascii="宋体" w:eastAsia="宋体" w:hAnsi="宋体" w:cs="Times New Roman"/>
          <w:bCs/>
          <w:color w:val="000000"/>
          <w:kern w:val="0"/>
          <w:szCs w:val="21"/>
        </w:rPr>
        <w:t>，其</w:t>
      </w:r>
      <w:r w:rsidRPr="00B729A6">
        <w:rPr>
          <w:rFonts w:ascii="宋体" w:eastAsia="宋体" w:hAnsi="宋体" w:cs="Times New Roman" w:hint="eastAsia"/>
          <w:bCs/>
          <w:color w:val="000000"/>
          <w:kern w:val="0"/>
          <w:szCs w:val="21"/>
        </w:rPr>
        <w:t>长期平均</w:t>
      </w:r>
      <w:r w:rsidRPr="00B729A6">
        <w:rPr>
          <w:rFonts w:ascii="宋体" w:eastAsia="宋体" w:hAnsi="宋体" w:cs="Times New Roman"/>
          <w:bCs/>
          <w:color w:val="000000"/>
          <w:kern w:val="0"/>
          <w:szCs w:val="21"/>
        </w:rPr>
        <w:t>风险与</w:t>
      </w:r>
      <w:r w:rsidRPr="00B729A6">
        <w:rPr>
          <w:rFonts w:ascii="宋体" w:eastAsia="宋体" w:hAnsi="宋体" w:cs="Times New Roman" w:hint="eastAsia"/>
          <w:bCs/>
          <w:color w:val="000000"/>
          <w:kern w:val="0"/>
          <w:szCs w:val="21"/>
        </w:rPr>
        <w:t>预期</w:t>
      </w:r>
      <w:r w:rsidRPr="00B729A6">
        <w:rPr>
          <w:rFonts w:ascii="宋体" w:eastAsia="宋体" w:hAnsi="宋体" w:cs="Times New Roman"/>
          <w:bCs/>
          <w:color w:val="000000"/>
          <w:kern w:val="0"/>
          <w:szCs w:val="21"/>
        </w:rPr>
        <w:t>收益高于混合型基金、债券型基金与货币市场基金。同时本基金通过跟踪标的指数表现，具有与标的指数相似的风险收益特征。</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t>1</w:t>
      </w:r>
      <w:r w:rsidRPr="00B729A6">
        <w:rPr>
          <w:rFonts w:ascii="宋体" w:eastAsia="宋体" w:hAnsi="宋体" w:cs="Times New Roman"/>
          <w:color w:val="000000"/>
          <w:kern w:val="0"/>
          <w:szCs w:val="21"/>
        </w:rPr>
        <w:t>1</w:t>
      </w:r>
      <w:r w:rsidRPr="00B729A6">
        <w:rPr>
          <w:rFonts w:ascii="宋体" w:eastAsia="宋体" w:hAnsi="宋体" w:cs="Times New Roman" w:hint="eastAsia"/>
          <w:color w:val="000000"/>
          <w:kern w:val="0"/>
          <w:szCs w:val="21"/>
        </w:rPr>
        <w:t>、摆动定价</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当发生大额申购或赎回情形时，基金管理人可以采用摆动定价机制，以确保基金估值的公平性。</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color w:val="000000"/>
          <w:kern w:val="0"/>
          <w:szCs w:val="21"/>
        </w:rPr>
        <w:t>12</w:t>
      </w:r>
      <w:r w:rsidRPr="00B729A6">
        <w:rPr>
          <w:rFonts w:ascii="宋体" w:eastAsia="宋体" w:hAnsi="宋体" w:cs="Times New Roman" w:hint="eastAsia"/>
          <w:color w:val="000000"/>
          <w:kern w:val="0"/>
          <w:szCs w:val="21"/>
        </w:rPr>
        <w:t>、费率水平</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（1）</w:t>
      </w:r>
      <w:r w:rsidRPr="00B729A6">
        <w:rPr>
          <w:rFonts w:ascii="宋体" w:eastAsia="宋体" w:hAnsi="宋体" w:cs="Times New Roman"/>
          <w:bCs/>
          <w:color w:val="000000"/>
          <w:kern w:val="0"/>
          <w:szCs w:val="21"/>
        </w:rPr>
        <w:t>基金管理人的管理费</w:t>
      </w:r>
      <w:r w:rsidRPr="00B729A6">
        <w:rPr>
          <w:rFonts w:ascii="宋体" w:eastAsia="宋体" w:hAnsi="宋体" w:cs="Times New Roman" w:hint="eastAsia"/>
          <w:bCs/>
          <w:color w:val="000000"/>
          <w:kern w:val="0"/>
          <w:szCs w:val="21"/>
        </w:rPr>
        <w:t>：</w:t>
      </w:r>
      <w:r w:rsidRPr="00B729A6">
        <w:rPr>
          <w:rFonts w:ascii="宋体" w:eastAsia="宋体" w:hAnsi="宋体" w:cs="Times New Roman"/>
          <w:bCs/>
          <w:color w:val="000000"/>
          <w:kern w:val="0"/>
          <w:szCs w:val="21"/>
        </w:rPr>
        <w:t>1.0%/</w:t>
      </w:r>
      <w:r w:rsidRPr="00B729A6">
        <w:rPr>
          <w:rFonts w:ascii="宋体" w:eastAsia="宋体" w:hAnsi="宋体" w:cs="Times New Roman" w:hint="eastAsia"/>
          <w:bCs/>
          <w:color w:val="000000"/>
          <w:kern w:val="0"/>
          <w:szCs w:val="21"/>
        </w:rPr>
        <w:t>年；</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（2）</w:t>
      </w:r>
      <w:r w:rsidRPr="00B729A6">
        <w:rPr>
          <w:rFonts w:ascii="宋体" w:eastAsia="宋体" w:hAnsi="宋体" w:cs="Times New Roman"/>
          <w:bCs/>
          <w:color w:val="000000"/>
          <w:kern w:val="0"/>
          <w:szCs w:val="21"/>
        </w:rPr>
        <w:t>基金托管人的托管费</w:t>
      </w:r>
      <w:r w:rsidRPr="00B729A6">
        <w:rPr>
          <w:rFonts w:ascii="宋体" w:eastAsia="宋体" w:hAnsi="宋体" w:cs="Times New Roman" w:hint="eastAsia"/>
          <w:bCs/>
          <w:color w:val="000000"/>
          <w:kern w:val="0"/>
          <w:szCs w:val="21"/>
        </w:rPr>
        <w:t>：0.</w:t>
      </w:r>
      <w:r w:rsidRPr="00B729A6">
        <w:rPr>
          <w:rFonts w:ascii="宋体" w:eastAsia="宋体" w:hAnsi="宋体" w:cs="Times New Roman"/>
          <w:bCs/>
          <w:color w:val="000000"/>
          <w:kern w:val="0"/>
          <w:szCs w:val="21"/>
        </w:rPr>
        <w:t>22%/</w:t>
      </w:r>
      <w:r w:rsidRPr="00B729A6">
        <w:rPr>
          <w:rFonts w:ascii="宋体" w:eastAsia="宋体" w:hAnsi="宋体" w:cs="Times New Roman" w:hint="eastAsia"/>
          <w:bCs/>
          <w:color w:val="000000"/>
          <w:kern w:val="0"/>
          <w:szCs w:val="21"/>
        </w:rPr>
        <w:t>年；</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color w:val="000000"/>
          <w:kern w:val="0"/>
          <w:szCs w:val="21"/>
        </w:rPr>
        <w:t>（</w:t>
      </w:r>
      <w:r w:rsidRPr="00B729A6">
        <w:rPr>
          <w:rFonts w:ascii="宋体" w:eastAsia="宋体" w:hAnsi="宋体" w:cs="Times New Roman"/>
          <w:color w:val="000000"/>
          <w:kern w:val="0"/>
          <w:szCs w:val="21"/>
        </w:rPr>
        <w:t>3</w:t>
      </w:r>
      <w:r w:rsidRPr="00B729A6">
        <w:rPr>
          <w:rFonts w:ascii="宋体" w:eastAsia="宋体" w:hAnsi="宋体" w:cs="Times New Roman" w:hint="eastAsia"/>
          <w:color w:val="000000"/>
          <w:kern w:val="0"/>
          <w:szCs w:val="21"/>
        </w:rPr>
        <w:t>）基金的指数许可使用费：</w:t>
      </w:r>
      <w:r w:rsidRPr="00B729A6">
        <w:rPr>
          <w:rFonts w:ascii="宋体" w:eastAsia="宋体" w:hAnsi="宋体" w:cs="Times New Roman" w:hint="eastAsia"/>
          <w:bCs/>
          <w:color w:val="000000"/>
          <w:kern w:val="0"/>
          <w:szCs w:val="21"/>
        </w:rPr>
        <w:t>按照基金管理人与标的指数许可方所签订的指数使用许可协议中所规定的指数使用许可费计提方法支付。</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t>1</w:t>
      </w:r>
      <w:r w:rsidRPr="00B729A6">
        <w:rPr>
          <w:rFonts w:ascii="宋体" w:eastAsia="宋体" w:hAnsi="宋体" w:cs="Times New Roman"/>
          <w:color w:val="000000"/>
          <w:kern w:val="0"/>
          <w:szCs w:val="21"/>
        </w:rPr>
        <w:t>3</w:t>
      </w:r>
      <w:r w:rsidRPr="00B729A6">
        <w:rPr>
          <w:rFonts w:ascii="宋体" w:eastAsia="宋体" w:hAnsi="宋体" w:cs="Times New Roman" w:hint="eastAsia"/>
          <w:color w:val="000000"/>
          <w:kern w:val="0"/>
          <w:szCs w:val="21"/>
        </w:rPr>
        <w:t>、收益分配原则</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（1）</w:t>
      </w:r>
      <w:r w:rsidRPr="00B729A6">
        <w:rPr>
          <w:rFonts w:ascii="宋体" w:eastAsia="宋体" w:hAnsi="宋体" w:cs="Times New Roman"/>
          <w:bCs/>
          <w:color w:val="000000"/>
          <w:kern w:val="0"/>
          <w:szCs w:val="21"/>
        </w:rPr>
        <w:t>在符合有关基金分红条件的前提下，</w:t>
      </w:r>
      <w:r w:rsidRPr="00B729A6">
        <w:rPr>
          <w:rFonts w:ascii="宋体" w:eastAsia="宋体" w:hAnsi="宋体" w:cs="Times New Roman" w:hint="eastAsia"/>
          <w:bCs/>
          <w:color w:val="000000"/>
          <w:kern w:val="0"/>
          <w:szCs w:val="21"/>
        </w:rPr>
        <w:t>基金管理人可以根据实际情况进行收益分配，具体分配方案详见届时基金管理人发布的公告</w:t>
      </w:r>
      <w:r w:rsidRPr="00B729A6">
        <w:rPr>
          <w:rFonts w:ascii="宋体" w:eastAsia="宋体" w:hAnsi="宋体" w:cs="Times New Roman"/>
          <w:bCs/>
          <w:color w:val="000000"/>
          <w:kern w:val="0"/>
          <w:szCs w:val="21"/>
        </w:rPr>
        <w:t>，若《基金合同》生效不满3个月可不进行收益分配；</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w:t>
      </w:r>
      <w:r w:rsidRPr="00B729A6">
        <w:rPr>
          <w:rFonts w:ascii="宋体" w:eastAsia="宋体" w:hAnsi="宋体" w:cs="Times New Roman"/>
          <w:bCs/>
          <w:color w:val="000000"/>
          <w:kern w:val="0"/>
          <w:szCs w:val="21"/>
        </w:rPr>
        <w:t>2</w:t>
      </w:r>
      <w:r w:rsidRPr="00B729A6">
        <w:rPr>
          <w:rFonts w:ascii="宋体" w:eastAsia="宋体" w:hAnsi="宋体" w:cs="Times New Roman" w:hint="eastAsia"/>
          <w:bCs/>
          <w:color w:val="000000"/>
          <w:kern w:val="0"/>
          <w:szCs w:val="21"/>
        </w:rPr>
        <w:t>）</w:t>
      </w:r>
      <w:r w:rsidRPr="00B729A6">
        <w:rPr>
          <w:rFonts w:ascii="宋体" w:eastAsia="宋体" w:hAnsi="宋体" w:cs="Times New Roman"/>
          <w:bCs/>
          <w:color w:val="000000"/>
          <w:kern w:val="0"/>
          <w:szCs w:val="21"/>
        </w:rPr>
        <w:t>本基金收益分配方式分两种：现金分红与红利再投资，</w:t>
      </w:r>
      <w:r w:rsidRPr="00B729A6">
        <w:rPr>
          <w:rFonts w:ascii="宋体" w:eastAsia="宋体" w:hAnsi="宋体" w:cs="Times New Roman" w:hint="eastAsia"/>
          <w:bCs/>
          <w:color w:val="000000"/>
          <w:kern w:val="0"/>
          <w:szCs w:val="21"/>
        </w:rPr>
        <w:t>登记在基金份额持有人开放式基金账户下的基金份额，</w:t>
      </w:r>
      <w:r w:rsidRPr="00B729A6">
        <w:rPr>
          <w:rFonts w:ascii="宋体" w:eastAsia="宋体" w:hAnsi="宋体" w:cs="Times New Roman"/>
          <w:bCs/>
          <w:color w:val="000000"/>
          <w:kern w:val="0"/>
          <w:szCs w:val="21"/>
        </w:rPr>
        <w:t>投资者可选择现金红利或将现金红利自动转为基金份额进行再投资；若投资者不选择，本基金默认的收益分配方式是现金分红；</w:t>
      </w:r>
      <w:r w:rsidRPr="00B729A6">
        <w:rPr>
          <w:rFonts w:ascii="宋体" w:eastAsia="宋体" w:hAnsi="宋体" w:cs="Times New Roman" w:hint="eastAsia"/>
          <w:bCs/>
          <w:color w:val="000000"/>
          <w:kern w:val="0"/>
          <w:szCs w:val="21"/>
        </w:rPr>
        <w:t>登记在基金份额持有人深圳证券账户下的基金份额，只能选择现金分红的方式，具体权益分配程序等有关事项遵循深圳证券交易所及中国证券登记结算有限责任公司的相关规定；</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（3）</w:t>
      </w:r>
      <w:r w:rsidRPr="00B729A6">
        <w:rPr>
          <w:rFonts w:ascii="宋体" w:eastAsia="宋体" w:hAnsi="宋体" w:cs="Times New Roman"/>
          <w:bCs/>
          <w:color w:val="000000"/>
          <w:kern w:val="0"/>
          <w:szCs w:val="21"/>
        </w:rPr>
        <w:t>基金收益分配后基金份额净值不能低于面值；即基金收益分配基准日的基金份额净值减去每单位基金份额收益分配金额后不能低于面值</w:t>
      </w:r>
      <w:r w:rsidRPr="00B729A6">
        <w:rPr>
          <w:rFonts w:ascii="宋体" w:eastAsia="宋体" w:hAnsi="宋体" w:cs="Times New Roman" w:hint="eastAsia"/>
          <w:bCs/>
          <w:color w:val="000000"/>
          <w:kern w:val="0"/>
          <w:szCs w:val="21"/>
        </w:rPr>
        <w:t>；</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w:t>
      </w:r>
      <w:r w:rsidRPr="00B729A6">
        <w:rPr>
          <w:rFonts w:ascii="宋体" w:eastAsia="宋体" w:hAnsi="宋体" w:cs="Times New Roman"/>
          <w:bCs/>
          <w:color w:val="000000"/>
          <w:kern w:val="0"/>
          <w:szCs w:val="21"/>
        </w:rPr>
        <w:t>4</w:t>
      </w:r>
      <w:r w:rsidRPr="00B729A6">
        <w:rPr>
          <w:rFonts w:ascii="宋体" w:eastAsia="宋体" w:hAnsi="宋体" w:cs="Times New Roman" w:hint="eastAsia"/>
          <w:bCs/>
          <w:color w:val="000000"/>
          <w:kern w:val="0"/>
          <w:szCs w:val="21"/>
        </w:rPr>
        <w:t>）</w:t>
      </w:r>
      <w:r w:rsidRPr="00B729A6">
        <w:rPr>
          <w:rFonts w:ascii="宋体" w:eastAsia="宋体" w:hAnsi="宋体" w:cs="Times New Roman"/>
          <w:bCs/>
          <w:color w:val="000000"/>
          <w:kern w:val="0"/>
          <w:szCs w:val="21"/>
        </w:rPr>
        <w:t>每一基金份额享有同等分配权；</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w:t>
      </w:r>
      <w:r w:rsidRPr="00B729A6">
        <w:rPr>
          <w:rFonts w:ascii="宋体" w:eastAsia="宋体" w:hAnsi="宋体" w:cs="Times New Roman"/>
          <w:bCs/>
          <w:color w:val="000000"/>
          <w:kern w:val="0"/>
          <w:szCs w:val="21"/>
        </w:rPr>
        <w:t>5</w:t>
      </w:r>
      <w:r w:rsidRPr="00B729A6">
        <w:rPr>
          <w:rFonts w:ascii="宋体" w:eastAsia="宋体" w:hAnsi="宋体" w:cs="Times New Roman" w:hint="eastAsia"/>
          <w:bCs/>
          <w:color w:val="000000"/>
          <w:kern w:val="0"/>
          <w:szCs w:val="21"/>
        </w:rPr>
        <w:t>）</w:t>
      </w:r>
      <w:r w:rsidRPr="00B729A6">
        <w:rPr>
          <w:rFonts w:ascii="宋体" w:eastAsia="宋体" w:hAnsi="宋体" w:cs="Times New Roman"/>
          <w:bCs/>
          <w:color w:val="000000"/>
          <w:kern w:val="0"/>
          <w:szCs w:val="21"/>
        </w:rPr>
        <w:t>法律法规或监管机关另有规定的，从其规定。</w:t>
      </w:r>
    </w:p>
    <w:p w:rsidR="00B729A6" w:rsidRPr="00B729A6" w:rsidRDefault="00B729A6" w:rsidP="00B729A6">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color w:val="000000"/>
          <w:kern w:val="0"/>
          <w:szCs w:val="21"/>
        </w:rPr>
        <w:t>1</w:t>
      </w:r>
      <w:r w:rsidRPr="00B729A6">
        <w:rPr>
          <w:rFonts w:ascii="宋体" w:eastAsia="宋体" w:hAnsi="宋体" w:cs="Times New Roman"/>
          <w:color w:val="000000"/>
          <w:kern w:val="0"/>
          <w:szCs w:val="21"/>
        </w:rPr>
        <w:t>4</w:t>
      </w:r>
      <w:r w:rsidRPr="00B729A6">
        <w:rPr>
          <w:rFonts w:ascii="宋体" w:eastAsia="宋体" w:hAnsi="宋体" w:cs="Times New Roman" w:hint="eastAsia"/>
          <w:color w:val="000000"/>
          <w:kern w:val="0"/>
          <w:szCs w:val="21"/>
        </w:rPr>
        <w:t>、申购费、赎回费</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color w:val="000000"/>
          <w:kern w:val="0"/>
          <w:szCs w:val="21"/>
        </w:rPr>
        <w:t>（1）</w:t>
      </w:r>
      <w:r w:rsidRPr="00B729A6">
        <w:rPr>
          <w:rFonts w:ascii="宋体" w:eastAsia="宋体" w:hAnsi="宋体" w:cs="Times New Roman"/>
          <w:bCs/>
          <w:color w:val="000000"/>
          <w:kern w:val="0"/>
          <w:szCs w:val="21"/>
        </w:rPr>
        <w:t>本基金的</w:t>
      </w:r>
      <w:r w:rsidRPr="00B729A6">
        <w:rPr>
          <w:rFonts w:ascii="宋体" w:eastAsia="宋体" w:hAnsi="宋体" w:cs="Times New Roman" w:hint="eastAsia"/>
          <w:bCs/>
          <w:color w:val="000000"/>
          <w:kern w:val="0"/>
          <w:szCs w:val="21"/>
        </w:rPr>
        <w:t>场外</w:t>
      </w:r>
      <w:r w:rsidRPr="00B729A6">
        <w:rPr>
          <w:rFonts w:ascii="宋体" w:eastAsia="宋体" w:hAnsi="宋体" w:cs="Times New Roman"/>
          <w:bCs/>
          <w:color w:val="000000"/>
          <w:kern w:val="0"/>
          <w:szCs w:val="21"/>
        </w:rPr>
        <w:t>申购费率最高不高于1.2%，如下表所示</w:t>
      </w:r>
      <w:r w:rsidRPr="00B729A6">
        <w:rPr>
          <w:rFonts w:ascii="宋体" w:eastAsia="宋体" w:hAnsi="宋体" w:cs="Times New Roman" w:hint="eastAsia"/>
          <w:bCs/>
          <w:color w:val="000000"/>
          <w:kern w:val="0"/>
          <w:szCs w:val="21"/>
        </w:rPr>
        <w:t>：</w:t>
      </w: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1"/>
        <w:gridCol w:w="3882"/>
      </w:tblGrid>
      <w:tr w:rsidR="00B729A6" w:rsidRPr="00B729A6" w:rsidTr="001504AC">
        <w:trPr>
          <w:trHeight w:val="397"/>
          <w:jc w:val="center"/>
        </w:trPr>
        <w:tc>
          <w:tcPr>
            <w:tcW w:w="2385" w:type="pct"/>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申购金额（M）</w:t>
            </w:r>
          </w:p>
        </w:tc>
        <w:tc>
          <w:tcPr>
            <w:tcW w:w="2615" w:type="pct"/>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场外申购费率</w:t>
            </w:r>
          </w:p>
        </w:tc>
      </w:tr>
      <w:tr w:rsidR="00B729A6" w:rsidRPr="00B729A6" w:rsidTr="001504AC">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M＜100万</w:t>
            </w:r>
          </w:p>
        </w:tc>
        <w:tc>
          <w:tcPr>
            <w:tcW w:w="2615" w:type="pct"/>
            <w:tcBorders>
              <w:top w:val="single" w:sz="4" w:space="0" w:color="auto"/>
              <w:left w:val="single" w:sz="4" w:space="0" w:color="auto"/>
              <w:bottom w:val="single" w:sz="4" w:space="0" w:color="auto"/>
              <w:right w:val="single" w:sz="4" w:space="0" w:color="auto"/>
            </w:tcBorders>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1.2</w:t>
            </w:r>
            <w:r w:rsidRPr="00B729A6">
              <w:rPr>
                <w:rFonts w:ascii="宋体" w:eastAsia="宋体" w:hAnsi="宋体" w:cs="Times New Roman"/>
                <w:bCs/>
                <w:color w:val="000000"/>
                <w:kern w:val="0"/>
                <w:szCs w:val="21"/>
              </w:rPr>
              <w:t>%</w:t>
            </w:r>
          </w:p>
        </w:tc>
      </w:tr>
      <w:tr w:rsidR="00B729A6" w:rsidRPr="00B729A6" w:rsidTr="001504AC">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100万≤M＜200万</w:t>
            </w:r>
          </w:p>
        </w:tc>
        <w:tc>
          <w:tcPr>
            <w:tcW w:w="2615" w:type="pct"/>
            <w:tcBorders>
              <w:top w:val="single" w:sz="4" w:space="0" w:color="auto"/>
              <w:left w:val="single" w:sz="4" w:space="0" w:color="auto"/>
              <w:bottom w:val="single" w:sz="4" w:space="0" w:color="auto"/>
              <w:right w:val="single" w:sz="4" w:space="0" w:color="auto"/>
            </w:tcBorders>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0.8%</w:t>
            </w:r>
          </w:p>
        </w:tc>
      </w:tr>
      <w:tr w:rsidR="00B729A6" w:rsidRPr="00B729A6" w:rsidTr="001504AC">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200万≤M＜</w:t>
            </w:r>
            <w:r w:rsidRPr="00B729A6">
              <w:rPr>
                <w:rFonts w:ascii="宋体" w:eastAsia="宋体" w:hAnsi="宋体" w:cs="Times New Roman" w:hint="eastAsia"/>
                <w:bCs/>
                <w:color w:val="000000"/>
                <w:kern w:val="0"/>
                <w:szCs w:val="21"/>
              </w:rPr>
              <w:t>50</w:t>
            </w:r>
            <w:r w:rsidRPr="00B729A6">
              <w:rPr>
                <w:rFonts w:ascii="宋体" w:eastAsia="宋体" w:hAnsi="宋体" w:cs="Times New Roman"/>
                <w:bCs/>
                <w:color w:val="000000"/>
                <w:kern w:val="0"/>
                <w:szCs w:val="21"/>
              </w:rPr>
              <w:t>0万</w:t>
            </w:r>
          </w:p>
        </w:tc>
        <w:tc>
          <w:tcPr>
            <w:tcW w:w="2615" w:type="pct"/>
            <w:tcBorders>
              <w:top w:val="single" w:sz="4" w:space="0" w:color="auto"/>
              <w:left w:val="single" w:sz="4" w:space="0" w:color="auto"/>
              <w:bottom w:val="single" w:sz="4" w:space="0" w:color="auto"/>
              <w:right w:val="single" w:sz="4" w:space="0" w:color="auto"/>
            </w:tcBorders>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0.</w:t>
            </w:r>
            <w:r w:rsidRPr="00B729A6">
              <w:rPr>
                <w:rFonts w:ascii="宋体" w:eastAsia="宋体" w:hAnsi="宋体" w:cs="Times New Roman"/>
                <w:bCs/>
                <w:color w:val="000000"/>
                <w:kern w:val="0"/>
                <w:szCs w:val="21"/>
              </w:rPr>
              <w:t>5</w:t>
            </w:r>
            <w:r w:rsidRPr="00B729A6">
              <w:rPr>
                <w:rFonts w:ascii="宋体" w:eastAsia="宋体" w:hAnsi="宋体" w:cs="Times New Roman" w:hint="eastAsia"/>
                <w:bCs/>
                <w:color w:val="000000"/>
                <w:kern w:val="0"/>
                <w:szCs w:val="21"/>
              </w:rPr>
              <w:t>%</w:t>
            </w:r>
          </w:p>
        </w:tc>
      </w:tr>
      <w:tr w:rsidR="00B729A6" w:rsidRPr="00B729A6" w:rsidTr="001504AC">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M≥</w:t>
            </w:r>
            <w:r w:rsidRPr="00B729A6">
              <w:rPr>
                <w:rFonts w:ascii="宋体" w:eastAsia="宋体" w:hAnsi="宋体" w:cs="Times New Roman" w:hint="eastAsia"/>
                <w:bCs/>
                <w:color w:val="000000"/>
                <w:kern w:val="0"/>
                <w:szCs w:val="21"/>
              </w:rPr>
              <w:t>5</w:t>
            </w:r>
            <w:r w:rsidRPr="00B729A6">
              <w:rPr>
                <w:rFonts w:ascii="宋体" w:eastAsia="宋体" w:hAnsi="宋体" w:cs="Times New Roman"/>
                <w:bCs/>
                <w:color w:val="000000"/>
                <w:kern w:val="0"/>
                <w:szCs w:val="21"/>
              </w:rPr>
              <w:t>00万</w:t>
            </w:r>
          </w:p>
        </w:tc>
        <w:tc>
          <w:tcPr>
            <w:tcW w:w="2615" w:type="pct"/>
            <w:tcBorders>
              <w:top w:val="single" w:sz="4" w:space="0" w:color="auto"/>
              <w:left w:val="single" w:sz="4" w:space="0" w:color="auto"/>
              <w:bottom w:val="single" w:sz="4" w:space="0" w:color="auto"/>
              <w:right w:val="single" w:sz="4" w:space="0" w:color="auto"/>
            </w:tcBorders>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每笔1</w:t>
            </w:r>
            <w:r w:rsidRPr="00B729A6">
              <w:rPr>
                <w:rFonts w:ascii="宋体" w:eastAsia="宋体" w:hAnsi="宋体" w:cs="Times New Roman" w:hint="eastAsia"/>
                <w:bCs/>
                <w:color w:val="000000"/>
                <w:kern w:val="0"/>
                <w:szCs w:val="21"/>
              </w:rPr>
              <w:t>,</w:t>
            </w:r>
            <w:r w:rsidRPr="00B729A6">
              <w:rPr>
                <w:rFonts w:ascii="宋体" w:eastAsia="宋体" w:hAnsi="宋体" w:cs="Times New Roman"/>
                <w:bCs/>
                <w:color w:val="000000"/>
                <w:kern w:val="0"/>
                <w:szCs w:val="21"/>
              </w:rPr>
              <w:t>000元</w:t>
            </w:r>
          </w:p>
        </w:tc>
      </w:tr>
    </w:tbl>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本基金的场内申购费率为0。</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投资人重复申购，须按每次申购所对应的费率档次分别计费。</w:t>
      </w:r>
    </w:p>
    <w:p w:rsidR="00B729A6" w:rsidRPr="00B729A6" w:rsidRDefault="00B729A6" w:rsidP="00B729A6">
      <w:pPr>
        <w:spacing w:line="360" w:lineRule="auto"/>
        <w:ind w:firstLineChars="200" w:firstLine="420"/>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（2）本基金场外赎回费率最高不超过1.5%，具体如下表</w:t>
      </w:r>
      <w:r w:rsidRPr="00B729A6">
        <w:rPr>
          <w:rFonts w:ascii="宋体" w:eastAsia="宋体" w:hAnsi="宋体" w:cs="Times New Roman"/>
          <w:bCs/>
          <w:color w:val="000000"/>
          <w:kern w:val="0"/>
          <w:szCs w:val="21"/>
        </w:rPr>
        <w:t>所示</w:t>
      </w:r>
      <w:r w:rsidRPr="00B729A6">
        <w:rPr>
          <w:rFonts w:ascii="宋体" w:eastAsia="宋体" w:hAnsi="宋体" w:cs="Times New Roman" w:hint="eastAsia"/>
          <w:bCs/>
          <w:color w:val="000000"/>
          <w:kern w:val="0"/>
          <w:szCs w:val="21"/>
        </w:rPr>
        <w:t>：</w:t>
      </w:r>
    </w:p>
    <w:tbl>
      <w:tblPr>
        <w:tblW w:w="41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9"/>
        <w:gridCol w:w="3406"/>
      </w:tblGrid>
      <w:tr w:rsidR="00B729A6" w:rsidRPr="00B729A6" w:rsidTr="001504AC">
        <w:trPr>
          <w:trHeight w:val="397"/>
          <w:jc w:val="center"/>
        </w:trPr>
        <w:tc>
          <w:tcPr>
            <w:tcW w:w="2572" w:type="pct"/>
            <w:shd w:val="clear" w:color="auto" w:fill="auto"/>
            <w:vAlign w:val="center"/>
            <w:hideMark/>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持有期限（T）</w:t>
            </w:r>
          </w:p>
        </w:tc>
        <w:tc>
          <w:tcPr>
            <w:tcW w:w="2428" w:type="pct"/>
            <w:shd w:val="clear" w:color="auto" w:fill="auto"/>
            <w:vAlign w:val="center"/>
            <w:hideMark/>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场外</w:t>
            </w:r>
            <w:r w:rsidRPr="00B729A6">
              <w:rPr>
                <w:rFonts w:ascii="宋体" w:eastAsia="宋体" w:hAnsi="宋体" w:cs="Times New Roman"/>
                <w:bCs/>
                <w:color w:val="000000"/>
                <w:kern w:val="0"/>
                <w:szCs w:val="21"/>
              </w:rPr>
              <w:t>赎回费率</w:t>
            </w:r>
          </w:p>
        </w:tc>
      </w:tr>
      <w:tr w:rsidR="00B729A6" w:rsidRPr="00B729A6" w:rsidTr="001504AC">
        <w:trPr>
          <w:trHeight w:val="397"/>
          <w:jc w:val="center"/>
        </w:trPr>
        <w:tc>
          <w:tcPr>
            <w:tcW w:w="2572" w:type="pct"/>
            <w:shd w:val="clear" w:color="auto" w:fill="auto"/>
            <w:vAlign w:val="center"/>
            <w:hideMark/>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T</w:t>
            </w:r>
            <w:r w:rsidRPr="00B729A6">
              <w:rPr>
                <w:rFonts w:ascii="宋体" w:eastAsia="宋体" w:hAnsi="宋体" w:cs="Times New Roman"/>
                <w:bCs/>
                <w:color w:val="000000"/>
                <w:kern w:val="0"/>
                <w:szCs w:val="21"/>
              </w:rPr>
              <w:t>＜7</w:t>
            </w:r>
            <w:r w:rsidRPr="00B729A6">
              <w:rPr>
                <w:rFonts w:ascii="宋体" w:eastAsia="宋体" w:hAnsi="宋体" w:cs="Times New Roman" w:hint="eastAsia"/>
                <w:bCs/>
                <w:color w:val="000000"/>
                <w:kern w:val="0"/>
                <w:szCs w:val="21"/>
              </w:rPr>
              <w:t>天</w:t>
            </w:r>
          </w:p>
        </w:tc>
        <w:tc>
          <w:tcPr>
            <w:tcW w:w="2428" w:type="pct"/>
            <w:shd w:val="clear" w:color="auto" w:fill="auto"/>
            <w:vAlign w:val="center"/>
            <w:hideMark/>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1.5</w:t>
            </w:r>
            <w:r w:rsidRPr="00B729A6">
              <w:rPr>
                <w:rFonts w:ascii="宋体" w:eastAsia="宋体" w:hAnsi="宋体" w:cs="Times New Roman" w:hint="eastAsia"/>
                <w:bCs/>
                <w:color w:val="000000"/>
                <w:kern w:val="0"/>
                <w:szCs w:val="21"/>
              </w:rPr>
              <w:t>%</w:t>
            </w:r>
          </w:p>
        </w:tc>
      </w:tr>
      <w:tr w:rsidR="00B729A6" w:rsidRPr="00B729A6" w:rsidTr="001504AC">
        <w:trPr>
          <w:trHeight w:val="397"/>
          <w:jc w:val="center"/>
        </w:trPr>
        <w:tc>
          <w:tcPr>
            <w:tcW w:w="2572" w:type="pct"/>
            <w:shd w:val="clear" w:color="auto" w:fill="auto"/>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7日≤N＜1年</w:t>
            </w:r>
          </w:p>
        </w:tc>
        <w:tc>
          <w:tcPr>
            <w:tcW w:w="2428" w:type="pct"/>
            <w:shd w:val="clear" w:color="auto" w:fill="auto"/>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0.5%</w:t>
            </w:r>
          </w:p>
        </w:tc>
      </w:tr>
      <w:tr w:rsidR="00B729A6" w:rsidRPr="00B729A6" w:rsidTr="001504AC">
        <w:trPr>
          <w:trHeight w:val="397"/>
          <w:jc w:val="center"/>
        </w:trPr>
        <w:tc>
          <w:tcPr>
            <w:tcW w:w="2572" w:type="pct"/>
            <w:shd w:val="clear" w:color="auto" w:fill="auto"/>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1年≤N＜2年</w:t>
            </w:r>
          </w:p>
        </w:tc>
        <w:tc>
          <w:tcPr>
            <w:tcW w:w="2428" w:type="pct"/>
            <w:shd w:val="clear" w:color="auto" w:fill="auto"/>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bCs/>
                <w:color w:val="000000"/>
                <w:kern w:val="0"/>
                <w:szCs w:val="21"/>
              </w:rPr>
              <w:t>0.25%</w:t>
            </w:r>
          </w:p>
        </w:tc>
      </w:tr>
      <w:tr w:rsidR="00B729A6" w:rsidRPr="00B729A6" w:rsidTr="001504AC">
        <w:trPr>
          <w:trHeight w:val="590"/>
          <w:jc w:val="center"/>
        </w:trPr>
        <w:tc>
          <w:tcPr>
            <w:tcW w:w="2572" w:type="pct"/>
            <w:shd w:val="clear" w:color="auto" w:fill="auto"/>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T</w:t>
            </w:r>
            <w:r w:rsidRPr="00B729A6">
              <w:rPr>
                <w:rFonts w:ascii="宋体" w:eastAsia="宋体" w:hAnsi="宋体" w:cs="Times New Roman"/>
                <w:bCs/>
                <w:color w:val="000000"/>
                <w:kern w:val="0"/>
                <w:szCs w:val="21"/>
              </w:rPr>
              <w:t>≥2</w:t>
            </w:r>
            <w:r w:rsidRPr="00B729A6">
              <w:rPr>
                <w:rFonts w:ascii="宋体" w:eastAsia="宋体" w:hAnsi="宋体" w:cs="Times New Roman" w:hint="eastAsia"/>
                <w:bCs/>
                <w:color w:val="000000"/>
                <w:kern w:val="0"/>
                <w:szCs w:val="21"/>
              </w:rPr>
              <w:t>年</w:t>
            </w:r>
          </w:p>
        </w:tc>
        <w:tc>
          <w:tcPr>
            <w:tcW w:w="2428" w:type="pct"/>
            <w:shd w:val="clear" w:color="auto" w:fill="auto"/>
            <w:vAlign w:val="center"/>
          </w:tcPr>
          <w:p w:rsidR="00B729A6" w:rsidRPr="00B729A6" w:rsidRDefault="00B729A6" w:rsidP="00B729A6">
            <w:pPr>
              <w:spacing w:line="360" w:lineRule="auto"/>
              <w:jc w:val="center"/>
              <w:rPr>
                <w:rFonts w:ascii="宋体" w:eastAsia="宋体" w:hAnsi="宋体" w:cs="Times New Roman"/>
                <w:bCs/>
                <w:color w:val="000000"/>
                <w:kern w:val="0"/>
                <w:szCs w:val="21"/>
              </w:rPr>
            </w:pPr>
            <w:r w:rsidRPr="00B729A6">
              <w:rPr>
                <w:rFonts w:ascii="宋体" w:eastAsia="宋体" w:hAnsi="宋体" w:cs="Times New Roman" w:hint="eastAsia"/>
                <w:bCs/>
                <w:color w:val="000000"/>
                <w:kern w:val="0"/>
                <w:szCs w:val="21"/>
              </w:rPr>
              <w:t>0</w:t>
            </w:r>
          </w:p>
        </w:tc>
      </w:tr>
    </w:tbl>
    <w:p w:rsidR="00024615" w:rsidRPr="00024615" w:rsidRDefault="00B729A6" w:rsidP="00024615">
      <w:pPr>
        <w:spacing w:line="360" w:lineRule="auto"/>
        <w:ind w:firstLineChars="200" w:firstLine="420"/>
        <w:rPr>
          <w:rFonts w:ascii="宋体" w:eastAsia="宋体" w:hAnsi="宋体" w:cs="Times New Roman"/>
          <w:color w:val="000000"/>
          <w:kern w:val="0"/>
          <w:szCs w:val="21"/>
        </w:rPr>
      </w:pPr>
      <w:r w:rsidRPr="00B729A6">
        <w:rPr>
          <w:rFonts w:ascii="宋体" w:eastAsia="宋体" w:hAnsi="宋体" w:cs="Times New Roman" w:hint="eastAsia"/>
          <w:bCs/>
          <w:color w:val="000000"/>
          <w:kern w:val="0"/>
          <w:szCs w:val="21"/>
        </w:rPr>
        <w:t>本基金的场内赎回费率为0.5%，但对持续持有期少于7日的投资者收取1.5%的赎回费。</w:t>
      </w:r>
    </w:p>
    <w:p w:rsidR="005E527B" w:rsidRPr="00967D36" w:rsidRDefault="002F4D82" w:rsidP="005E527B">
      <w:pPr>
        <w:pStyle w:val="a3"/>
        <w:spacing w:before="0" w:after="0" w:line="360" w:lineRule="auto"/>
        <w:ind w:firstLineChars="200" w:firstLine="422"/>
        <w:jc w:val="both"/>
        <w:rPr>
          <w:rFonts w:ascii="宋体" w:eastAsia="宋体" w:hAnsi="宋体"/>
          <w:sz w:val="21"/>
          <w:szCs w:val="21"/>
        </w:rPr>
      </w:pPr>
      <w:r>
        <w:rPr>
          <w:rFonts w:ascii="宋体" w:eastAsia="宋体" w:hAnsi="宋体" w:hint="eastAsia"/>
          <w:sz w:val="21"/>
          <w:szCs w:val="21"/>
        </w:rPr>
        <w:t>七</w:t>
      </w:r>
      <w:r w:rsidR="005E527B" w:rsidRPr="00967D36">
        <w:rPr>
          <w:rFonts w:ascii="宋体" w:eastAsia="宋体" w:hAnsi="宋体" w:hint="eastAsia"/>
          <w:sz w:val="21"/>
          <w:szCs w:val="21"/>
        </w:rPr>
        <w:t>、《</w:t>
      </w:r>
      <w:r w:rsidR="008A214F">
        <w:rPr>
          <w:rFonts w:ascii="宋体" w:eastAsia="宋体" w:hAnsi="宋体" w:hint="eastAsia"/>
          <w:sz w:val="21"/>
          <w:szCs w:val="21"/>
        </w:rPr>
        <w:t>南方中证互联网指数证券投资基金</w:t>
      </w:r>
      <w:r w:rsidR="002C56C1">
        <w:rPr>
          <w:rFonts w:ascii="宋体" w:eastAsia="宋体" w:hAnsi="宋体" w:hint="eastAsia"/>
          <w:sz w:val="21"/>
          <w:szCs w:val="21"/>
        </w:rPr>
        <w:t>（LOF）</w:t>
      </w:r>
      <w:r w:rsidR="005E527B" w:rsidRPr="00967D36">
        <w:rPr>
          <w:rFonts w:ascii="宋体" w:eastAsia="宋体" w:hAnsi="宋体"/>
          <w:sz w:val="21"/>
          <w:szCs w:val="21"/>
        </w:rPr>
        <w:t>基金合同》的生效及后续安排</w:t>
      </w:r>
    </w:p>
    <w:p w:rsidR="007A1AFA" w:rsidRPr="007A1AFA" w:rsidRDefault="00662539" w:rsidP="007A1AFA">
      <w:pPr>
        <w:spacing w:line="360" w:lineRule="auto"/>
        <w:ind w:firstLineChars="200" w:firstLine="420"/>
        <w:rPr>
          <w:rFonts w:ascii="宋体" w:eastAsia="宋体" w:hAnsi="宋体" w:cs="Times New Roman"/>
          <w:color w:val="000000"/>
          <w:kern w:val="0"/>
          <w:szCs w:val="21"/>
        </w:rPr>
      </w:pPr>
      <w:r w:rsidRPr="00744992">
        <w:rPr>
          <w:rFonts w:ascii="宋体" w:eastAsia="宋体" w:hAnsi="宋体" w:cs="Times New Roman" w:hint="eastAsia"/>
          <w:color w:val="000000"/>
          <w:kern w:val="0"/>
          <w:szCs w:val="21"/>
        </w:rPr>
        <w:t>自</w:t>
      </w:r>
      <w:r>
        <w:rPr>
          <w:rFonts w:ascii="宋体" w:eastAsia="宋体" w:hAnsi="宋体" w:cs="Times New Roman"/>
          <w:color w:val="000000"/>
          <w:kern w:val="0"/>
          <w:szCs w:val="21"/>
        </w:rPr>
        <w:t>2020</w:t>
      </w:r>
      <w:r w:rsidRPr="00744992">
        <w:rPr>
          <w:rFonts w:ascii="宋体" w:eastAsia="宋体" w:hAnsi="宋体" w:cs="Times New Roman"/>
          <w:color w:val="000000"/>
          <w:kern w:val="0"/>
          <w:szCs w:val="21"/>
        </w:rPr>
        <w:t>年</w:t>
      </w:r>
      <w:r>
        <w:rPr>
          <w:rFonts w:ascii="宋体" w:eastAsia="宋体" w:hAnsi="宋体" w:cs="Times New Roman"/>
          <w:color w:val="000000"/>
          <w:kern w:val="0"/>
          <w:szCs w:val="21"/>
        </w:rPr>
        <w:t>12</w:t>
      </w:r>
      <w:r w:rsidRPr="00744992">
        <w:rPr>
          <w:rFonts w:ascii="宋体" w:eastAsia="宋体" w:hAnsi="宋体" w:cs="Times New Roman"/>
          <w:color w:val="000000"/>
          <w:kern w:val="0"/>
          <w:szCs w:val="21"/>
        </w:rPr>
        <w:t>月</w:t>
      </w:r>
      <w:r>
        <w:rPr>
          <w:rFonts w:ascii="宋体" w:eastAsia="宋体" w:hAnsi="宋体" w:cs="Times New Roman"/>
          <w:color w:val="000000"/>
          <w:kern w:val="0"/>
          <w:szCs w:val="21"/>
        </w:rPr>
        <w:t>1日起</w:t>
      </w:r>
      <w:r w:rsidR="007A1AFA" w:rsidRPr="007A1AFA">
        <w:rPr>
          <w:rFonts w:ascii="宋体" w:eastAsia="宋体" w:hAnsi="宋体" w:cs="Times New Roman" w:hint="eastAsia"/>
          <w:color w:val="000000"/>
          <w:kern w:val="0"/>
          <w:szCs w:val="21"/>
        </w:rPr>
        <w:t>，</w:t>
      </w:r>
      <w:r w:rsidR="008A214F">
        <w:rPr>
          <w:rFonts w:ascii="宋体" w:eastAsia="宋体" w:hAnsi="宋体" w:cs="Times New Roman" w:hint="eastAsia"/>
          <w:color w:val="000000"/>
          <w:kern w:val="0"/>
          <w:szCs w:val="21"/>
        </w:rPr>
        <w:t>南方中证互联网指数分级证券投资基金</w:t>
      </w:r>
      <w:r w:rsidR="007A1AFA" w:rsidRPr="007A1AFA">
        <w:rPr>
          <w:rFonts w:ascii="宋体" w:eastAsia="宋体" w:hAnsi="宋体" w:cs="Times New Roman" w:hint="eastAsia"/>
          <w:color w:val="000000"/>
          <w:kern w:val="0"/>
          <w:szCs w:val="21"/>
        </w:rPr>
        <w:t>正式转型为</w:t>
      </w:r>
      <w:r w:rsidR="008A214F">
        <w:rPr>
          <w:rFonts w:ascii="宋体" w:eastAsia="宋体" w:hAnsi="宋体" w:cs="Times New Roman" w:hint="eastAsia"/>
          <w:color w:val="000000"/>
          <w:kern w:val="0"/>
          <w:szCs w:val="21"/>
        </w:rPr>
        <w:t>南方中证互联网指数证券投资基金</w:t>
      </w:r>
      <w:r w:rsidR="007A1AFA" w:rsidRPr="007A1AFA">
        <w:rPr>
          <w:rFonts w:ascii="宋体" w:eastAsia="宋体" w:hAnsi="宋体" w:cs="Times New Roman" w:hint="eastAsia"/>
          <w:color w:val="000000"/>
          <w:kern w:val="0"/>
          <w:szCs w:val="21"/>
        </w:rPr>
        <w:t>（LOF）。基金名称将由“</w:t>
      </w:r>
      <w:r w:rsidR="008A214F">
        <w:rPr>
          <w:rFonts w:ascii="宋体" w:eastAsia="宋体" w:hAnsi="宋体" w:cs="Times New Roman" w:hint="eastAsia"/>
          <w:color w:val="000000"/>
          <w:kern w:val="0"/>
          <w:szCs w:val="21"/>
        </w:rPr>
        <w:t>南方中证互联网指数分级证券投资基金</w:t>
      </w:r>
      <w:r w:rsidR="007A1AFA" w:rsidRPr="007A1AFA">
        <w:rPr>
          <w:rFonts w:ascii="宋体" w:eastAsia="宋体" w:hAnsi="宋体" w:cs="Times New Roman" w:hint="eastAsia"/>
          <w:color w:val="000000"/>
          <w:kern w:val="0"/>
          <w:szCs w:val="21"/>
        </w:rPr>
        <w:t>” 更名为“</w:t>
      </w:r>
      <w:r w:rsidR="008A214F">
        <w:rPr>
          <w:rFonts w:ascii="宋体" w:eastAsia="宋体" w:hAnsi="宋体" w:cs="Times New Roman" w:hint="eastAsia"/>
          <w:color w:val="000000"/>
          <w:kern w:val="0"/>
          <w:szCs w:val="21"/>
        </w:rPr>
        <w:t>南方中证互联网指数证券投资基金</w:t>
      </w:r>
      <w:r w:rsidR="007A1AFA" w:rsidRPr="007A1AFA">
        <w:rPr>
          <w:rFonts w:ascii="宋体" w:eastAsia="宋体" w:hAnsi="宋体" w:cs="Times New Roman" w:hint="eastAsia"/>
          <w:color w:val="000000"/>
          <w:kern w:val="0"/>
          <w:szCs w:val="21"/>
        </w:rPr>
        <w:t>（LOF）”。《</w:t>
      </w:r>
      <w:r w:rsidR="008A214F">
        <w:rPr>
          <w:rFonts w:ascii="宋体" w:eastAsia="宋体" w:hAnsi="宋体" w:cs="Times New Roman" w:hint="eastAsia"/>
          <w:color w:val="000000"/>
          <w:kern w:val="0"/>
          <w:szCs w:val="21"/>
        </w:rPr>
        <w:t>南方中证互联网指数证券投资基金</w:t>
      </w:r>
      <w:r w:rsidR="007A1AFA" w:rsidRPr="007A1AFA">
        <w:rPr>
          <w:rFonts w:ascii="宋体" w:eastAsia="宋体" w:hAnsi="宋体" w:cs="Times New Roman" w:hint="eastAsia"/>
          <w:color w:val="000000"/>
          <w:kern w:val="0"/>
          <w:szCs w:val="21"/>
        </w:rPr>
        <w:t>（LOF）基金合同》生效，《</w:t>
      </w:r>
      <w:r w:rsidR="008A214F">
        <w:rPr>
          <w:rFonts w:ascii="宋体" w:eastAsia="宋体" w:hAnsi="宋体" w:cs="Times New Roman" w:hint="eastAsia"/>
          <w:color w:val="000000"/>
          <w:kern w:val="0"/>
          <w:szCs w:val="21"/>
        </w:rPr>
        <w:t>南方中证互联网指数分级证券投资基金</w:t>
      </w:r>
      <w:r w:rsidR="007A1AFA" w:rsidRPr="007A1AFA">
        <w:rPr>
          <w:rFonts w:ascii="宋体" w:eastAsia="宋体" w:hAnsi="宋体" w:cs="Times New Roman" w:hint="eastAsia"/>
          <w:color w:val="000000"/>
          <w:kern w:val="0"/>
          <w:szCs w:val="21"/>
        </w:rPr>
        <w:t>基金合同》同日失效。</w:t>
      </w:r>
    </w:p>
    <w:p w:rsidR="005E527B" w:rsidRPr="00024615" w:rsidRDefault="007A1AFA" w:rsidP="007A1AFA">
      <w:pPr>
        <w:spacing w:line="360" w:lineRule="auto"/>
        <w:ind w:firstLineChars="200" w:firstLine="420"/>
        <w:rPr>
          <w:rFonts w:ascii="宋体" w:eastAsia="宋体" w:hAnsi="宋体" w:cs="Times New Roman"/>
          <w:color w:val="000000"/>
          <w:kern w:val="0"/>
          <w:szCs w:val="21"/>
        </w:rPr>
      </w:pPr>
      <w:r w:rsidRPr="007A1AFA">
        <w:rPr>
          <w:rFonts w:ascii="宋体" w:eastAsia="宋体" w:hAnsi="宋体" w:cs="Times New Roman" w:hint="eastAsia"/>
          <w:color w:val="000000"/>
          <w:kern w:val="0"/>
          <w:szCs w:val="21"/>
        </w:rPr>
        <w:t>《</w:t>
      </w:r>
      <w:r w:rsidR="008A214F">
        <w:rPr>
          <w:rFonts w:ascii="宋体" w:eastAsia="宋体" w:hAnsi="宋体" w:cs="Times New Roman" w:hint="eastAsia"/>
          <w:color w:val="000000"/>
          <w:kern w:val="0"/>
          <w:szCs w:val="21"/>
        </w:rPr>
        <w:t>南方中证互联网指数证券投资基金</w:t>
      </w:r>
      <w:r w:rsidRPr="007A1AFA">
        <w:rPr>
          <w:rFonts w:ascii="宋体" w:eastAsia="宋体" w:hAnsi="宋体" w:cs="Times New Roman" w:hint="eastAsia"/>
          <w:color w:val="000000"/>
          <w:kern w:val="0"/>
          <w:szCs w:val="21"/>
        </w:rPr>
        <w:t>（LOF）基金合同》生效后，基金管理人将根据相关规定办理</w:t>
      </w:r>
      <w:r w:rsidR="008A214F">
        <w:rPr>
          <w:rFonts w:ascii="宋体" w:eastAsia="宋体" w:hAnsi="宋体" w:cs="Times New Roman" w:hint="eastAsia"/>
          <w:color w:val="000000"/>
          <w:kern w:val="0"/>
          <w:szCs w:val="21"/>
        </w:rPr>
        <w:t>南方中证互联网指数证券投资基金</w:t>
      </w:r>
      <w:r w:rsidRPr="007A1AFA">
        <w:rPr>
          <w:rFonts w:ascii="宋体" w:eastAsia="宋体" w:hAnsi="宋体" w:cs="Times New Roman" w:hint="eastAsia"/>
          <w:color w:val="000000"/>
          <w:kern w:val="0"/>
          <w:szCs w:val="21"/>
        </w:rPr>
        <w:t>（LOF）的申购赎回、上市交易等业务。</w:t>
      </w:r>
    </w:p>
    <w:p w:rsidR="00024615" w:rsidRPr="00967D36" w:rsidRDefault="002F4D82" w:rsidP="00967D36">
      <w:pPr>
        <w:pStyle w:val="a3"/>
        <w:spacing w:before="0" w:after="0" w:line="360" w:lineRule="auto"/>
        <w:ind w:firstLineChars="200" w:firstLine="422"/>
        <w:jc w:val="both"/>
        <w:rPr>
          <w:rFonts w:ascii="宋体" w:eastAsia="宋体" w:hAnsi="宋体"/>
          <w:sz w:val="21"/>
          <w:szCs w:val="21"/>
        </w:rPr>
      </w:pPr>
      <w:r>
        <w:rPr>
          <w:rFonts w:ascii="宋体" w:eastAsia="宋体" w:hAnsi="宋体" w:hint="eastAsia"/>
          <w:sz w:val="21"/>
          <w:szCs w:val="21"/>
        </w:rPr>
        <w:t>八</w:t>
      </w:r>
      <w:r w:rsidR="00967D36">
        <w:rPr>
          <w:rFonts w:ascii="宋体" w:eastAsia="宋体" w:hAnsi="宋体" w:hint="eastAsia"/>
          <w:sz w:val="21"/>
          <w:szCs w:val="21"/>
        </w:rPr>
        <w:t>、</w:t>
      </w:r>
      <w:r w:rsidR="00024615" w:rsidRPr="00967D36">
        <w:rPr>
          <w:rFonts w:ascii="宋体" w:eastAsia="宋体" w:hAnsi="宋体" w:hint="eastAsia"/>
          <w:sz w:val="21"/>
          <w:szCs w:val="21"/>
        </w:rPr>
        <w:t>其他修改</w:t>
      </w:r>
    </w:p>
    <w:p w:rsidR="00024615" w:rsidRPr="00024615" w:rsidRDefault="00225F8E" w:rsidP="00024615">
      <w:pPr>
        <w:spacing w:line="360" w:lineRule="auto"/>
        <w:ind w:firstLineChars="200" w:firstLine="420"/>
        <w:rPr>
          <w:rFonts w:ascii="宋体" w:eastAsia="宋体" w:hAnsi="宋体" w:cs="Times New Roman"/>
          <w:color w:val="000000"/>
          <w:kern w:val="0"/>
          <w:szCs w:val="21"/>
        </w:rPr>
      </w:pPr>
      <w:r w:rsidRPr="00225F8E">
        <w:rPr>
          <w:rFonts w:ascii="宋体" w:eastAsia="宋体" w:hAnsi="宋体" w:cs="Times New Roman" w:hint="eastAsia"/>
          <w:color w:val="000000"/>
          <w:kern w:val="0"/>
          <w:szCs w:val="21"/>
        </w:rPr>
        <w:t>除上述主要内容的调整需要修改《南方中证互联网指数分级证券投资基金基金合同》以外，考虑到自《南方中证互联网指数分级证券投资基金基金合同》生效以来，《中华人民共和国证券投资基金法》、《证券投资基金销售管理办法》、《公开募集证券投资基金运作管理办法》、《公开募集开放式证券投资基金流动性风险管理规定》、《公开募集证券投资基金信息披露管理办法》及其配套准则等法律法规陆续颁布和实施，基金管理人需要根据现行有效的法律法规要求及变更后的南方中证互联网指数证券投资基金（</w:t>
      </w:r>
      <w:r w:rsidRPr="00225F8E">
        <w:rPr>
          <w:rFonts w:ascii="宋体" w:eastAsia="宋体" w:hAnsi="宋体" w:cs="Times New Roman"/>
          <w:color w:val="000000"/>
          <w:kern w:val="0"/>
          <w:szCs w:val="21"/>
        </w:rPr>
        <w:t>LOF）的产品特征修订基金合同的相关内容。</w:t>
      </w:r>
    </w:p>
    <w:p w:rsidR="008C056E" w:rsidRPr="00F81851" w:rsidRDefault="00225F8E" w:rsidP="008C056E">
      <w:pPr>
        <w:pStyle w:val="a3"/>
        <w:spacing w:before="0" w:after="0" w:line="360" w:lineRule="auto"/>
        <w:ind w:firstLineChars="200" w:firstLine="422"/>
        <w:jc w:val="both"/>
        <w:rPr>
          <w:rFonts w:ascii="宋体" w:eastAsia="宋体" w:hAnsi="宋体" w:cs="Times New Roman"/>
          <w:color w:val="000000"/>
          <w:kern w:val="0"/>
          <w:szCs w:val="21"/>
        </w:rPr>
      </w:pPr>
      <w:r>
        <w:rPr>
          <w:rFonts w:ascii="宋体" w:eastAsia="宋体" w:hAnsi="宋体" w:hint="eastAsia"/>
          <w:sz w:val="21"/>
          <w:szCs w:val="21"/>
        </w:rPr>
        <w:t>九</w:t>
      </w:r>
      <w:r w:rsidR="00967D36" w:rsidRPr="00967D36">
        <w:rPr>
          <w:rFonts w:ascii="宋体" w:eastAsia="宋体" w:hAnsi="宋体" w:hint="eastAsia"/>
          <w:sz w:val="21"/>
          <w:szCs w:val="21"/>
        </w:rPr>
        <w:t>、</w:t>
      </w:r>
      <w:r w:rsidR="00C02332" w:rsidRPr="00C02332">
        <w:rPr>
          <w:rFonts w:ascii="宋体" w:eastAsia="宋体" w:hAnsi="宋体" w:hint="eastAsia"/>
          <w:sz w:val="21"/>
          <w:szCs w:val="21"/>
        </w:rPr>
        <w:t>基金转换的特别风险揭示</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color w:val="000000"/>
          <w:kern w:val="0"/>
          <w:szCs w:val="21"/>
        </w:rPr>
        <w:t>1、互联网A份额和互联网B份额转换后风险收益特征发生较大变化的风险</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hint="eastAsia"/>
          <w:color w:val="000000"/>
          <w:kern w:val="0"/>
          <w:szCs w:val="21"/>
        </w:rPr>
        <w:t>份额转换后，互联网</w:t>
      </w:r>
      <w:r w:rsidRPr="00C12A4D">
        <w:rPr>
          <w:rFonts w:ascii="宋体" w:eastAsia="宋体" w:hAnsi="宋体" w:cs="Times New Roman"/>
          <w:color w:val="000000"/>
          <w:kern w:val="0"/>
          <w:szCs w:val="21"/>
        </w:rPr>
        <w:t>A份额持有人原持有的互联网A份额将变为南方中证互联网指数证券投资基金（LOF）场内份额，基金份额风险收益特征将因转换而发生较大变化。份额转换后，互联网B份额持有人原持有的互联网B份额将变为南方中证互联网指数证券投资基金（LOF）场内份额，基金份额风险收益特征将因转换而发生较大变化。</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hint="eastAsia"/>
          <w:color w:val="000000"/>
          <w:kern w:val="0"/>
          <w:szCs w:val="21"/>
        </w:rPr>
        <w:t>由于南方中证互联网指数证券投资基金（</w:t>
      </w:r>
      <w:r w:rsidRPr="00C12A4D">
        <w:rPr>
          <w:rFonts w:ascii="宋体" w:eastAsia="宋体" w:hAnsi="宋体" w:cs="Times New Roman"/>
          <w:color w:val="000000"/>
          <w:kern w:val="0"/>
          <w:szCs w:val="21"/>
        </w:rPr>
        <w:t>LOF）为股票型基金，一般而言，其长期平均风险和预期收益率高于债券型基金、货币市场基金和混合型基金。</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color w:val="000000"/>
          <w:kern w:val="0"/>
          <w:szCs w:val="21"/>
        </w:rPr>
        <w:t>2、互联网A份额和互联网B份额的流动性风险</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hint="eastAsia"/>
          <w:color w:val="000000"/>
          <w:kern w:val="0"/>
          <w:szCs w:val="21"/>
        </w:rPr>
        <w:t>互联网</w:t>
      </w:r>
      <w:r w:rsidRPr="00C12A4D">
        <w:rPr>
          <w:rFonts w:ascii="宋体" w:eastAsia="宋体" w:hAnsi="宋体" w:cs="Times New Roman"/>
          <w:color w:val="000000"/>
          <w:kern w:val="0"/>
          <w:szCs w:val="21"/>
        </w:rPr>
        <w:t>A份额和互联网B份额转换为南方中证互联网指数证券投资基金（LOF）场内份额前，互联网A份额和互联网B份额的持有人有两种方式退出：1）在场内按市价卖出基金份额；2）在场内买入等量的对应份额（即互联网A份额持有人买入等量的互联网B份额，或者互联网B份额持有人买入等量的互联网A份额），合并为南方互联网份额，按照南方互联网份额的基金份额净值申请场内赎回或转托管至场外后申请赎回。</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hint="eastAsia"/>
          <w:color w:val="000000"/>
          <w:kern w:val="0"/>
          <w:szCs w:val="21"/>
        </w:rPr>
        <w:t>由于互联网</w:t>
      </w:r>
      <w:r w:rsidRPr="00C12A4D">
        <w:rPr>
          <w:rFonts w:ascii="宋体" w:eastAsia="宋体" w:hAnsi="宋体" w:cs="Times New Roman"/>
          <w:color w:val="000000"/>
          <w:kern w:val="0"/>
          <w:szCs w:val="21"/>
        </w:rPr>
        <w:t>A份额和互联网B份额的持有人可能选择场内卖出或合并赎回，场内份额数量可能发生较大下降，可能出现场内流动性不足的情况，特提请投资者注意流动性风险。</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color w:val="000000"/>
          <w:kern w:val="0"/>
          <w:szCs w:val="21"/>
        </w:rPr>
        <w:t>3、转换前存在溢价交易的互联网A份额和互联网B份额的持有人因溢价消失而造成损失的风险</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hint="eastAsia"/>
          <w:color w:val="000000"/>
          <w:kern w:val="0"/>
          <w:szCs w:val="21"/>
        </w:rPr>
        <w:t>基金份额转换基准日前（不含基金份额转换基准日），互联网</w:t>
      </w:r>
      <w:r w:rsidRPr="00C12A4D">
        <w:rPr>
          <w:rFonts w:ascii="宋体" w:eastAsia="宋体" w:hAnsi="宋体" w:cs="Times New Roman"/>
          <w:color w:val="000000"/>
          <w:kern w:val="0"/>
          <w:szCs w:val="21"/>
        </w:rPr>
        <w:t>A份额和互联网B份额仍可正常交易。期间，互联网A份额和互联网B份额可能存在折溢价交易情形，其折溢价率可能发生较大变化。</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hint="eastAsia"/>
          <w:color w:val="000000"/>
          <w:kern w:val="0"/>
          <w:szCs w:val="21"/>
        </w:rPr>
        <w:t>由于基金份额转换完成后，互联网</w:t>
      </w:r>
      <w:r w:rsidRPr="00C12A4D">
        <w:rPr>
          <w:rFonts w:ascii="宋体" w:eastAsia="宋体" w:hAnsi="宋体" w:cs="Times New Roman"/>
          <w:color w:val="000000"/>
          <w:kern w:val="0"/>
          <w:szCs w:val="21"/>
        </w:rPr>
        <w:t>A份额和互联网B份额均按各自的基金份额参考净值（而不是二级市场价格）转换为南方中证互联网指数证券投资基金（LOF）场内份额，如果投资者在转换前以溢价买入，转换后可能遭受较大损失。特提请参与二级市场交易的投资者注意折溢价所带来的风险。</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hint="eastAsia"/>
          <w:color w:val="000000"/>
          <w:kern w:val="0"/>
          <w:szCs w:val="21"/>
        </w:rPr>
        <w:t>投资者应密切关注互联网</w:t>
      </w:r>
      <w:r w:rsidRPr="00C12A4D">
        <w:rPr>
          <w:rFonts w:ascii="宋体" w:eastAsia="宋体" w:hAnsi="宋体" w:cs="Times New Roman"/>
          <w:color w:val="000000"/>
          <w:kern w:val="0"/>
          <w:szCs w:val="21"/>
        </w:rPr>
        <w:t>A份额和互联网B份额的基金份额参考净值变化情况，可通过本公司网站（www.nffund.com）等方式进行查询。</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color w:val="000000"/>
          <w:kern w:val="0"/>
          <w:szCs w:val="21"/>
        </w:rPr>
        <w:t>4、互联网A份额和互联网B份额的基金份额持有人持有的基金份额数量将会在转换后发生变化的风险</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hint="eastAsia"/>
          <w:color w:val="000000"/>
          <w:kern w:val="0"/>
          <w:szCs w:val="21"/>
        </w:rPr>
        <w:t>基金份额转换完成后，互联网</w:t>
      </w:r>
      <w:r w:rsidRPr="00C12A4D">
        <w:rPr>
          <w:rFonts w:ascii="宋体" w:eastAsia="宋体" w:hAnsi="宋体" w:cs="Times New Roman"/>
          <w:color w:val="000000"/>
          <w:kern w:val="0"/>
          <w:szCs w:val="21"/>
        </w:rPr>
        <w:t>A份额和互联网B份额均按各自的基金份额参考净值转换为南方中证互联网指数证券投资基金（LOF）场内份额，并进行取整计算（最小单位为1份），因此互联网A份额和互联网B份额的基金份额持有人持有的基金份额数量将会在转换后发生变化。</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color w:val="000000"/>
          <w:kern w:val="0"/>
          <w:szCs w:val="21"/>
        </w:rPr>
        <w:t>5、互联网A份额和互联网B份额转换为南方中证互联网指数证券投资基金（LOF）场内份额后无法办理场内赎回的风险</w:t>
      </w:r>
    </w:p>
    <w:p w:rsidR="00C12A4D" w:rsidRPr="00C12A4D"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hint="eastAsia"/>
          <w:color w:val="000000"/>
          <w:kern w:val="0"/>
          <w:szCs w:val="21"/>
        </w:rPr>
        <w:t>互联网</w:t>
      </w:r>
      <w:r w:rsidRPr="00C12A4D">
        <w:rPr>
          <w:rFonts w:ascii="宋体" w:eastAsia="宋体" w:hAnsi="宋体" w:cs="Times New Roman"/>
          <w:color w:val="000000"/>
          <w:kern w:val="0"/>
          <w:szCs w:val="21"/>
        </w:rPr>
        <w:t>A份额和互联网B份额转换为南方中证互联网指数证券投资基金（LOF）场内份额后，投资者可以申请场内赎回基金份额或者转托管至场外后申请赎回基金份额。具有二级市场交易资格的证券公司并不全部具备中国证监会颁发的基金销售资格，而投资者只能通过具备基金销售资格的证券公司赎回基金份额。如果投资者通过不具备基金销售资格的证券公司购买互联网A份额或互联网B份额，转换为南方中证互联网指数证券投资基金（LOF）场内份额后可能无法办理场内赎回。对于无法办理场内赎回的投资者，需先转托管至场外后再申请赎回或者先转托管到具有基金销</w:t>
      </w:r>
      <w:r w:rsidRPr="00C12A4D">
        <w:rPr>
          <w:rFonts w:ascii="宋体" w:eastAsia="宋体" w:hAnsi="宋体" w:cs="Times New Roman" w:hint="eastAsia"/>
          <w:color w:val="000000"/>
          <w:kern w:val="0"/>
          <w:szCs w:val="21"/>
        </w:rPr>
        <w:t>售资格的证券公司后再申请赎回。</w:t>
      </w:r>
    </w:p>
    <w:p w:rsidR="00024615" w:rsidRDefault="00C12A4D" w:rsidP="00C12A4D">
      <w:pPr>
        <w:spacing w:line="336" w:lineRule="auto"/>
        <w:ind w:firstLineChars="200" w:firstLine="420"/>
        <w:rPr>
          <w:rFonts w:ascii="宋体" w:eastAsia="宋体" w:hAnsi="宋体" w:cs="Times New Roman"/>
          <w:color w:val="000000"/>
          <w:kern w:val="0"/>
          <w:szCs w:val="21"/>
        </w:rPr>
      </w:pPr>
      <w:r w:rsidRPr="00C12A4D">
        <w:rPr>
          <w:rFonts w:ascii="宋体" w:eastAsia="宋体" w:hAnsi="宋体" w:cs="Times New Roman"/>
          <w:color w:val="000000"/>
          <w:kern w:val="0"/>
          <w:szCs w:val="21"/>
        </w:rPr>
        <w:t>6、在南方中证互联网指数证券投资基金（LOF）开放赎回之前，投资者将无法办理基金赎回业务；在南方中证互联网指数证券投资基金（LOF）上市交易之前，投资者将无法进行基金份额的上市交易，存在一定的流动性风险。</w:t>
      </w:r>
    </w:p>
    <w:p w:rsidR="00D02822" w:rsidRDefault="00D02822" w:rsidP="009A0490">
      <w:pPr>
        <w:spacing w:line="360" w:lineRule="auto"/>
        <w:ind w:firstLineChars="200" w:firstLine="420"/>
        <w:rPr>
          <w:rFonts w:ascii="宋体" w:eastAsia="宋体" w:hAnsi="宋体" w:cs="Times New Roman"/>
          <w:color w:val="000000"/>
          <w:kern w:val="0"/>
          <w:szCs w:val="21"/>
        </w:rPr>
      </w:pPr>
    </w:p>
    <w:p w:rsidR="00D02822" w:rsidRDefault="00D02822" w:rsidP="009A0490">
      <w:pPr>
        <w:spacing w:line="360" w:lineRule="auto"/>
        <w:ind w:firstLineChars="200" w:firstLine="420"/>
        <w:rPr>
          <w:rFonts w:ascii="宋体" w:eastAsia="宋体" w:hAnsi="宋体" w:cs="Times New Roman"/>
          <w:color w:val="000000"/>
          <w:kern w:val="0"/>
          <w:szCs w:val="21"/>
        </w:rPr>
      </w:pPr>
      <w:r w:rsidRPr="00D02822">
        <w:rPr>
          <w:rFonts w:ascii="宋体" w:eastAsia="宋体" w:hAnsi="宋体" w:cs="Times New Roman" w:hint="eastAsia"/>
          <w:color w:val="000000"/>
          <w:kern w:val="0"/>
          <w:szCs w:val="21"/>
        </w:rPr>
        <w:t>本次基金份额持有人大会有关公告可通过基金管理人网站（</w:t>
      </w:r>
      <w:r w:rsidRPr="00D02822">
        <w:rPr>
          <w:rFonts w:ascii="宋体" w:eastAsia="宋体" w:hAnsi="宋体" w:cs="Times New Roman"/>
          <w:color w:val="000000"/>
          <w:kern w:val="0"/>
          <w:szCs w:val="21"/>
        </w:rPr>
        <w:t>www.nffund.com）查阅，投资者如有任何疑问，可致电基金管理人客户服务电话400-889-8899咨询。</w:t>
      </w:r>
    </w:p>
    <w:p w:rsidR="00837FA8" w:rsidRPr="00837FA8" w:rsidRDefault="00837FA8" w:rsidP="00837FA8">
      <w:pPr>
        <w:spacing w:line="360" w:lineRule="auto"/>
        <w:ind w:firstLineChars="200" w:firstLine="420"/>
        <w:rPr>
          <w:rFonts w:ascii="宋体" w:eastAsia="宋体" w:hAnsi="宋体" w:cs="Times New Roman"/>
          <w:color w:val="000000"/>
          <w:kern w:val="0"/>
          <w:szCs w:val="21"/>
        </w:rPr>
      </w:pPr>
      <w:r>
        <w:rPr>
          <w:rFonts w:ascii="宋体" w:eastAsia="宋体" w:hAnsi="宋体" w:cs="Times New Roman" w:hint="eastAsia"/>
          <w:color w:val="000000"/>
          <w:kern w:val="0"/>
          <w:szCs w:val="21"/>
        </w:rPr>
        <w:t>风险提示：</w:t>
      </w:r>
      <w:r w:rsidRPr="00837FA8">
        <w:rPr>
          <w:rFonts w:ascii="宋体" w:eastAsia="宋体" w:hAnsi="宋体" w:cs="Times New Roman" w:hint="eastAsia"/>
          <w:color w:val="000000"/>
          <w:kern w:val="0"/>
          <w:szCs w:val="21"/>
        </w:rPr>
        <w:t>基金管理人承诺以诚实信用、勤勉尽责的原则管理和运用基金资产，但不保证基金一定盈利，也不保证最低收益。投资者投资于本基金前应认真阅读本基金的基金合同和招募说明书等相关法律文件。敬请投资者注意投资风险。</w:t>
      </w:r>
    </w:p>
    <w:p w:rsidR="00837FA8" w:rsidRDefault="00837FA8" w:rsidP="00837FA8">
      <w:pPr>
        <w:spacing w:line="360" w:lineRule="auto"/>
        <w:ind w:firstLineChars="200" w:firstLine="420"/>
        <w:rPr>
          <w:rFonts w:ascii="宋体" w:eastAsia="宋体" w:hAnsi="宋体" w:cs="Times New Roman"/>
          <w:color w:val="000000"/>
          <w:kern w:val="0"/>
          <w:szCs w:val="21"/>
        </w:rPr>
      </w:pPr>
      <w:r w:rsidRPr="00837FA8">
        <w:rPr>
          <w:rFonts w:ascii="宋体" w:eastAsia="宋体" w:hAnsi="宋体" w:cs="Times New Roman" w:hint="eastAsia"/>
          <w:color w:val="000000"/>
          <w:kern w:val="0"/>
          <w:szCs w:val="21"/>
        </w:rPr>
        <w:t>特此公告。</w:t>
      </w:r>
    </w:p>
    <w:p w:rsidR="00B36161" w:rsidRDefault="00B36161" w:rsidP="00837FA8">
      <w:pPr>
        <w:spacing w:line="360" w:lineRule="auto"/>
        <w:ind w:firstLineChars="200" w:firstLine="420"/>
        <w:rPr>
          <w:rFonts w:ascii="宋体" w:eastAsia="宋体" w:hAnsi="宋体" w:cs="Times New Roman"/>
          <w:color w:val="000000"/>
          <w:kern w:val="0"/>
          <w:szCs w:val="21"/>
        </w:rPr>
      </w:pPr>
    </w:p>
    <w:p w:rsidR="001D54F9" w:rsidRDefault="001D54F9" w:rsidP="001D54F9">
      <w:pPr>
        <w:spacing w:line="360" w:lineRule="auto"/>
        <w:ind w:firstLineChars="200" w:firstLine="420"/>
        <w:jc w:val="right"/>
        <w:rPr>
          <w:rFonts w:ascii="宋体" w:eastAsia="宋体" w:hAnsi="宋体" w:cs="Times New Roman"/>
          <w:color w:val="000000"/>
          <w:kern w:val="0"/>
          <w:szCs w:val="21"/>
        </w:rPr>
      </w:pPr>
      <w:r>
        <w:rPr>
          <w:rFonts w:ascii="宋体" w:eastAsia="宋体" w:hAnsi="宋体" w:cs="Times New Roman" w:hint="eastAsia"/>
          <w:color w:val="000000"/>
          <w:kern w:val="0"/>
          <w:szCs w:val="21"/>
        </w:rPr>
        <w:t>南方基金管理股份有限公司</w:t>
      </w:r>
    </w:p>
    <w:p w:rsidR="001D54F9" w:rsidRPr="00F81851" w:rsidRDefault="001D54F9" w:rsidP="001D54F9">
      <w:pPr>
        <w:spacing w:line="360" w:lineRule="auto"/>
        <w:ind w:firstLineChars="200" w:firstLine="420"/>
        <w:jc w:val="right"/>
        <w:rPr>
          <w:rFonts w:ascii="宋体" w:eastAsia="宋体" w:hAnsi="宋体" w:cs="Times New Roman"/>
          <w:color w:val="000000"/>
          <w:kern w:val="0"/>
          <w:szCs w:val="21"/>
        </w:rPr>
      </w:pPr>
      <w:r>
        <w:rPr>
          <w:rFonts w:ascii="宋体" w:eastAsia="宋体" w:hAnsi="宋体" w:cs="Times New Roman" w:hint="eastAsia"/>
          <w:color w:val="000000"/>
          <w:kern w:val="0"/>
          <w:szCs w:val="21"/>
        </w:rPr>
        <w:t>2020年</w:t>
      </w:r>
      <w:r w:rsidR="00E56A95">
        <w:rPr>
          <w:rFonts w:ascii="宋体" w:eastAsia="宋体" w:hAnsi="宋体" w:cs="Times New Roman"/>
          <w:color w:val="000000"/>
          <w:kern w:val="0"/>
          <w:szCs w:val="21"/>
        </w:rPr>
        <w:t>11</w:t>
      </w:r>
      <w:r>
        <w:rPr>
          <w:rFonts w:ascii="宋体" w:eastAsia="宋体" w:hAnsi="宋体" w:cs="Times New Roman" w:hint="eastAsia"/>
          <w:color w:val="000000"/>
          <w:kern w:val="0"/>
          <w:szCs w:val="21"/>
        </w:rPr>
        <w:t>月</w:t>
      </w:r>
      <w:r w:rsidR="00845B1C">
        <w:rPr>
          <w:rFonts w:ascii="宋体" w:eastAsia="宋体" w:hAnsi="宋体" w:cs="Times New Roman"/>
          <w:color w:val="000000"/>
          <w:kern w:val="0"/>
          <w:szCs w:val="21"/>
        </w:rPr>
        <w:t>25</w:t>
      </w:r>
      <w:r>
        <w:rPr>
          <w:rFonts w:ascii="宋体" w:eastAsia="宋体" w:hAnsi="宋体" w:cs="Times New Roman" w:hint="eastAsia"/>
          <w:color w:val="000000"/>
          <w:kern w:val="0"/>
          <w:szCs w:val="21"/>
        </w:rPr>
        <w:t>日</w:t>
      </w:r>
    </w:p>
    <w:sectPr w:rsidR="001D54F9" w:rsidRPr="00F81851" w:rsidSect="00920DA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E59" w:rsidRDefault="004E2E59" w:rsidP="00F76E1E">
      <w:r>
        <w:separator/>
      </w:r>
    </w:p>
  </w:endnote>
  <w:endnote w:type="continuationSeparator" w:id="0">
    <w:p w:rsidR="004E2E59" w:rsidRDefault="004E2E59" w:rsidP="00F76E1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92586"/>
      <w:docPartObj>
        <w:docPartGallery w:val="Page Numbers (Bottom of Page)"/>
        <w:docPartUnique/>
      </w:docPartObj>
    </w:sdtPr>
    <w:sdtContent>
      <w:p w:rsidR="001539EA" w:rsidRDefault="00920DAD" w:rsidP="001539EA">
        <w:pPr>
          <w:pStyle w:val="a6"/>
          <w:jc w:val="center"/>
        </w:pPr>
        <w:r>
          <w:fldChar w:fldCharType="begin"/>
        </w:r>
        <w:r w:rsidR="001539EA">
          <w:instrText>PAGE   \* MERGEFORMAT</w:instrText>
        </w:r>
        <w:r>
          <w:fldChar w:fldCharType="separate"/>
        </w:r>
        <w:r w:rsidR="00154C3D" w:rsidRPr="00154C3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E59" w:rsidRDefault="004E2E59" w:rsidP="00F76E1E">
      <w:r>
        <w:separator/>
      </w:r>
    </w:p>
  </w:footnote>
  <w:footnote w:type="continuationSeparator" w:id="0">
    <w:p w:rsidR="004E2E59" w:rsidRDefault="004E2E59" w:rsidP="00F76E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058"/>
    <w:rsid w:val="00024615"/>
    <w:rsid w:val="00037676"/>
    <w:rsid w:val="00071567"/>
    <w:rsid w:val="000878E5"/>
    <w:rsid w:val="000A32B7"/>
    <w:rsid w:val="000D375F"/>
    <w:rsid w:val="000E7F68"/>
    <w:rsid w:val="00137F9C"/>
    <w:rsid w:val="001539EA"/>
    <w:rsid w:val="00154C3D"/>
    <w:rsid w:val="0017702D"/>
    <w:rsid w:val="001C626C"/>
    <w:rsid w:val="001D54F9"/>
    <w:rsid w:val="001D5F7E"/>
    <w:rsid w:val="001F161F"/>
    <w:rsid w:val="00205FEC"/>
    <w:rsid w:val="002141CC"/>
    <w:rsid w:val="00225F8E"/>
    <w:rsid w:val="00282BC1"/>
    <w:rsid w:val="002B6AD9"/>
    <w:rsid w:val="002C56C1"/>
    <w:rsid w:val="002F4D82"/>
    <w:rsid w:val="0030783D"/>
    <w:rsid w:val="00336DDC"/>
    <w:rsid w:val="00427897"/>
    <w:rsid w:val="00435F71"/>
    <w:rsid w:val="004A0F46"/>
    <w:rsid w:val="004B03B9"/>
    <w:rsid w:val="004E2E59"/>
    <w:rsid w:val="004E5C48"/>
    <w:rsid w:val="00505495"/>
    <w:rsid w:val="005D6275"/>
    <w:rsid w:val="005E527B"/>
    <w:rsid w:val="00605324"/>
    <w:rsid w:val="00662539"/>
    <w:rsid w:val="0066460B"/>
    <w:rsid w:val="006D1627"/>
    <w:rsid w:val="00795F62"/>
    <w:rsid w:val="007A1AFA"/>
    <w:rsid w:val="007A47F9"/>
    <w:rsid w:val="00820699"/>
    <w:rsid w:val="008228BA"/>
    <w:rsid w:val="00837FA8"/>
    <w:rsid w:val="00845B1C"/>
    <w:rsid w:val="00851D36"/>
    <w:rsid w:val="00876AF6"/>
    <w:rsid w:val="00896D34"/>
    <w:rsid w:val="008A214F"/>
    <w:rsid w:val="008C056E"/>
    <w:rsid w:val="008C4227"/>
    <w:rsid w:val="00900531"/>
    <w:rsid w:val="009106FA"/>
    <w:rsid w:val="00920DAD"/>
    <w:rsid w:val="00967D36"/>
    <w:rsid w:val="009A0490"/>
    <w:rsid w:val="00A83A2C"/>
    <w:rsid w:val="00A90A44"/>
    <w:rsid w:val="00AB2A75"/>
    <w:rsid w:val="00AE2851"/>
    <w:rsid w:val="00AE3122"/>
    <w:rsid w:val="00B36161"/>
    <w:rsid w:val="00B729A6"/>
    <w:rsid w:val="00C02332"/>
    <w:rsid w:val="00C12A4D"/>
    <w:rsid w:val="00C62ED2"/>
    <w:rsid w:val="00CD0058"/>
    <w:rsid w:val="00D02822"/>
    <w:rsid w:val="00D17112"/>
    <w:rsid w:val="00D549E0"/>
    <w:rsid w:val="00D6446C"/>
    <w:rsid w:val="00DB0EDF"/>
    <w:rsid w:val="00DD4067"/>
    <w:rsid w:val="00DE6729"/>
    <w:rsid w:val="00DF41F0"/>
    <w:rsid w:val="00E56A95"/>
    <w:rsid w:val="00E608D4"/>
    <w:rsid w:val="00EA7D7D"/>
    <w:rsid w:val="00F606C2"/>
    <w:rsid w:val="00F76E1E"/>
    <w:rsid w:val="00F81851"/>
    <w:rsid w:val="00FA5B61"/>
    <w:rsid w:val="00FB2AEA"/>
    <w:rsid w:val="00FD3FDE"/>
    <w:rsid w:val="00FE4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A83A2C"/>
    <w:pPr>
      <w:spacing w:before="240" w:after="60" w:line="312" w:lineRule="auto"/>
      <w:jc w:val="center"/>
      <w:outlineLvl w:val="1"/>
    </w:pPr>
    <w:rPr>
      <w:b/>
      <w:bCs/>
      <w:kern w:val="28"/>
      <w:sz w:val="32"/>
      <w:szCs w:val="32"/>
    </w:rPr>
  </w:style>
  <w:style w:type="character" w:customStyle="1" w:styleId="Char">
    <w:name w:val="副标题 Char"/>
    <w:basedOn w:val="a0"/>
    <w:link w:val="a3"/>
    <w:uiPriority w:val="11"/>
    <w:rsid w:val="00A83A2C"/>
    <w:rPr>
      <w:b/>
      <w:bCs/>
      <w:kern w:val="28"/>
      <w:sz w:val="32"/>
      <w:szCs w:val="32"/>
    </w:rPr>
  </w:style>
  <w:style w:type="paragraph" w:styleId="a4">
    <w:name w:val="Balloon Text"/>
    <w:basedOn w:val="a"/>
    <w:link w:val="Char0"/>
    <w:uiPriority w:val="99"/>
    <w:semiHidden/>
    <w:unhideWhenUsed/>
    <w:rsid w:val="00E56A95"/>
    <w:rPr>
      <w:sz w:val="18"/>
      <w:szCs w:val="18"/>
    </w:rPr>
  </w:style>
  <w:style w:type="character" w:customStyle="1" w:styleId="Char0">
    <w:name w:val="批注框文本 Char"/>
    <w:basedOn w:val="a0"/>
    <w:link w:val="a4"/>
    <w:uiPriority w:val="99"/>
    <w:semiHidden/>
    <w:rsid w:val="00E56A95"/>
    <w:rPr>
      <w:sz w:val="18"/>
      <w:szCs w:val="18"/>
    </w:rPr>
  </w:style>
  <w:style w:type="paragraph" w:styleId="a5">
    <w:name w:val="header"/>
    <w:basedOn w:val="a"/>
    <w:link w:val="Char1"/>
    <w:uiPriority w:val="99"/>
    <w:unhideWhenUsed/>
    <w:rsid w:val="00F76E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76E1E"/>
    <w:rPr>
      <w:sz w:val="18"/>
      <w:szCs w:val="18"/>
    </w:rPr>
  </w:style>
  <w:style w:type="paragraph" w:styleId="a6">
    <w:name w:val="footer"/>
    <w:basedOn w:val="a"/>
    <w:link w:val="Char2"/>
    <w:uiPriority w:val="99"/>
    <w:unhideWhenUsed/>
    <w:rsid w:val="00F76E1E"/>
    <w:pPr>
      <w:tabs>
        <w:tab w:val="center" w:pos="4153"/>
        <w:tab w:val="right" w:pos="8306"/>
      </w:tabs>
      <w:snapToGrid w:val="0"/>
      <w:jc w:val="left"/>
    </w:pPr>
    <w:rPr>
      <w:sz w:val="18"/>
      <w:szCs w:val="18"/>
    </w:rPr>
  </w:style>
  <w:style w:type="character" w:customStyle="1" w:styleId="Char2">
    <w:name w:val="页脚 Char"/>
    <w:basedOn w:val="a0"/>
    <w:link w:val="a6"/>
    <w:uiPriority w:val="99"/>
    <w:rsid w:val="00F76E1E"/>
    <w:rPr>
      <w:sz w:val="18"/>
      <w:szCs w:val="18"/>
    </w:rPr>
  </w:style>
  <w:style w:type="character" w:styleId="a7">
    <w:name w:val="annotation reference"/>
    <w:basedOn w:val="a0"/>
    <w:uiPriority w:val="99"/>
    <w:semiHidden/>
    <w:unhideWhenUsed/>
    <w:rsid w:val="00F76E1E"/>
    <w:rPr>
      <w:sz w:val="21"/>
      <w:szCs w:val="21"/>
    </w:rPr>
  </w:style>
  <w:style w:type="paragraph" w:styleId="a8">
    <w:name w:val="annotation text"/>
    <w:basedOn w:val="a"/>
    <w:link w:val="Char3"/>
    <w:uiPriority w:val="99"/>
    <w:semiHidden/>
    <w:unhideWhenUsed/>
    <w:rsid w:val="00F76E1E"/>
    <w:pPr>
      <w:jc w:val="left"/>
    </w:pPr>
  </w:style>
  <w:style w:type="character" w:customStyle="1" w:styleId="Char3">
    <w:name w:val="批注文字 Char"/>
    <w:basedOn w:val="a0"/>
    <w:link w:val="a8"/>
    <w:uiPriority w:val="99"/>
    <w:semiHidden/>
    <w:rsid w:val="00F76E1E"/>
  </w:style>
  <w:style w:type="paragraph" w:styleId="a9">
    <w:name w:val="annotation subject"/>
    <w:basedOn w:val="a8"/>
    <w:next w:val="a8"/>
    <w:link w:val="Char4"/>
    <w:uiPriority w:val="99"/>
    <w:semiHidden/>
    <w:unhideWhenUsed/>
    <w:rsid w:val="00F76E1E"/>
    <w:rPr>
      <w:b/>
      <w:bCs/>
    </w:rPr>
  </w:style>
  <w:style w:type="character" w:customStyle="1" w:styleId="Char4">
    <w:name w:val="批注主题 Char"/>
    <w:basedOn w:val="Char3"/>
    <w:link w:val="a9"/>
    <w:uiPriority w:val="99"/>
    <w:semiHidden/>
    <w:rsid w:val="00F76E1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5942</Characters>
  <Application>Microsoft Office Word</Application>
  <DocSecurity>4</DocSecurity>
  <Lines>49</Lines>
  <Paragraphs>13</Paragraphs>
  <ScaleCrop>false</ScaleCrop>
  <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张栩铭</dc:creator>
  <cp:keywords/>
  <dc:description/>
  <cp:lastModifiedBy>ZHONGM</cp:lastModifiedBy>
  <cp:revision>2</cp:revision>
  <dcterms:created xsi:type="dcterms:W3CDTF">2020-11-24T16:02:00Z</dcterms:created>
  <dcterms:modified xsi:type="dcterms:W3CDTF">2020-11-24T16:02:00Z</dcterms:modified>
</cp:coreProperties>
</file>