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E2" w:rsidRDefault="003C51E2" w:rsidP="00DE30C4">
      <w:pPr>
        <w:jc w:val="center"/>
        <w:rPr>
          <w:rFonts w:ascii="宋体" w:hAnsi="宋体"/>
          <w:b/>
          <w:sz w:val="30"/>
          <w:szCs w:val="30"/>
        </w:rPr>
      </w:pPr>
      <w:r>
        <w:rPr>
          <w:rFonts w:ascii="宋体" w:hAnsi="宋体" w:hint="eastAsia"/>
          <w:b/>
          <w:sz w:val="30"/>
          <w:szCs w:val="30"/>
        </w:rPr>
        <w:t>宝盈</w:t>
      </w:r>
      <w:r>
        <w:rPr>
          <w:rFonts w:ascii="宋体" w:hAnsi="宋体"/>
          <w:b/>
          <w:sz w:val="30"/>
          <w:szCs w:val="30"/>
        </w:rPr>
        <w:t>基金管理有限公司</w:t>
      </w:r>
      <w:r w:rsidR="00DE30C4" w:rsidRPr="00DE30C4">
        <w:rPr>
          <w:rFonts w:ascii="宋体" w:hAnsi="宋体"/>
          <w:b/>
          <w:sz w:val="30"/>
          <w:szCs w:val="30"/>
        </w:rPr>
        <w:t>关于</w:t>
      </w:r>
      <w:r>
        <w:rPr>
          <w:rFonts w:ascii="宋体" w:hAnsi="宋体" w:hint="eastAsia"/>
          <w:b/>
          <w:sz w:val="30"/>
          <w:szCs w:val="30"/>
        </w:rPr>
        <w:t>旗下部分</w:t>
      </w:r>
      <w:r>
        <w:rPr>
          <w:rFonts w:ascii="宋体" w:hAnsi="宋体"/>
          <w:b/>
          <w:sz w:val="30"/>
          <w:szCs w:val="30"/>
        </w:rPr>
        <w:t>基金</w:t>
      </w:r>
    </w:p>
    <w:p w:rsidR="00DE30C4" w:rsidRDefault="003C51E2" w:rsidP="00DE30C4">
      <w:pPr>
        <w:jc w:val="center"/>
        <w:rPr>
          <w:rFonts w:ascii="宋体" w:hAnsi="宋体"/>
          <w:b/>
          <w:sz w:val="30"/>
          <w:szCs w:val="30"/>
        </w:rPr>
      </w:pPr>
      <w:r>
        <w:rPr>
          <w:rFonts w:ascii="宋体" w:hAnsi="宋体"/>
          <w:b/>
          <w:sz w:val="30"/>
          <w:szCs w:val="30"/>
        </w:rPr>
        <w:t>修改</w:t>
      </w:r>
      <w:r>
        <w:rPr>
          <w:rFonts w:ascii="宋体" w:hAnsi="宋体" w:hint="eastAsia"/>
          <w:b/>
          <w:sz w:val="30"/>
          <w:szCs w:val="30"/>
        </w:rPr>
        <w:t>基金</w:t>
      </w:r>
      <w:r>
        <w:rPr>
          <w:rFonts w:ascii="宋体" w:hAnsi="宋体"/>
          <w:b/>
          <w:sz w:val="30"/>
          <w:szCs w:val="30"/>
        </w:rPr>
        <w:t>合同、托管协议有关条款的公告</w:t>
      </w:r>
    </w:p>
    <w:p w:rsidR="00DE30C4" w:rsidRDefault="00DE30C4" w:rsidP="00DE30C4">
      <w:pPr>
        <w:spacing w:line="360" w:lineRule="auto"/>
        <w:ind w:firstLineChars="200" w:firstLine="480"/>
        <w:rPr>
          <w:rFonts w:ascii="Times New Roman" w:hAnsi="宋体"/>
          <w:sz w:val="24"/>
          <w:szCs w:val="24"/>
        </w:rPr>
      </w:pPr>
    </w:p>
    <w:p w:rsidR="00B6639E" w:rsidRDefault="00B6639E" w:rsidP="00B6639E">
      <w:pPr>
        <w:spacing w:line="360" w:lineRule="auto"/>
        <w:ind w:firstLineChars="200" w:firstLine="480"/>
        <w:rPr>
          <w:rFonts w:ascii="Times New Roman" w:hAnsi="宋体"/>
          <w:sz w:val="24"/>
          <w:szCs w:val="24"/>
        </w:rPr>
      </w:pPr>
      <w:r w:rsidRPr="00B6639E">
        <w:rPr>
          <w:rFonts w:ascii="Times New Roman" w:hAnsi="宋体"/>
          <w:sz w:val="24"/>
          <w:szCs w:val="24"/>
        </w:rPr>
        <w:t xml:space="preserve"> </w:t>
      </w:r>
      <w:r w:rsidRPr="00B6639E">
        <w:rPr>
          <w:rFonts w:ascii="Times New Roman" w:hAnsi="宋体" w:hint="eastAsia"/>
          <w:sz w:val="24"/>
          <w:szCs w:val="24"/>
        </w:rPr>
        <w:t>根据《中华人民共和国证券投资基金法》《公开募集证券投资基金信息披露管理办法》《存托凭证发行与交易管理办法（试行）》等法律法规及各基金基金合同</w:t>
      </w:r>
      <w:r w:rsidR="009A337F">
        <w:rPr>
          <w:rFonts w:ascii="Times New Roman" w:hAnsi="宋体" w:hint="eastAsia"/>
          <w:sz w:val="24"/>
          <w:szCs w:val="24"/>
        </w:rPr>
        <w:t>的</w:t>
      </w:r>
      <w:r w:rsidRPr="00B6639E">
        <w:rPr>
          <w:rFonts w:ascii="Times New Roman" w:hAnsi="宋体" w:hint="eastAsia"/>
          <w:sz w:val="24"/>
          <w:szCs w:val="24"/>
        </w:rPr>
        <w:t>规定，经与各基金托管人协商一致，并向中国证监会备案，</w:t>
      </w:r>
      <w:r>
        <w:rPr>
          <w:rFonts w:ascii="Times New Roman" w:hAnsi="宋体" w:hint="eastAsia"/>
          <w:sz w:val="24"/>
          <w:szCs w:val="24"/>
        </w:rPr>
        <w:t>宝盈</w:t>
      </w:r>
      <w:r w:rsidRPr="00B6639E">
        <w:rPr>
          <w:rFonts w:ascii="Times New Roman" w:hAnsi="宋体" w:hint="eastAsia"/>
          <w:sz w:val="24"/>
          <w:szCs w:val="24"/>
        </w:rPr>
        <w:t>基金管理有限公司（以下简称</w:t>
      </w:r>
      <w:r w:rsidRPr="00B6639E">
        <w:rPr>
          <w:rFonts w:ascii="Times New Roman" w:hAnsi="宋体"/>
          <w:sz w:val="24"/>
          <w:szCs w:val="24"/>
        </w:rPr>
        <w:t>“</w:t>
      </w:r>
      <w:r w:rsidR="000A7F0D">
        <w:rPr>
          <w:rFonts w:ascii="Times New Roman" w:hAnsi="宋体" w:hint="eastAsia"/>
          <w:sz w:val="24"/>
          <w:szCs w:val="24"/>
        </w:rPr>
        <w:t>本公司</w:t>
      </w:r>
      <w:r w:rsidRPr="00B6639E">
        <w:rPr>
          <w:rFonts w:ascii="Times New Roman" w:hAnsi="宋体"/>
          <w:sz w:val="24"/>
          <w:szCs w:val="24"/>
        </w:rPr>
        <w:t>”</w:t>
      </w:r>
      <w:r w:rsidR="000A7F0D">
        <w:rPr>
          <w:rFonts w:ascii="Times New Roman" w:hAnsi="宋体" w:hint="eastAsia"/>
          <w:sz w:val="24"/>
          <w:szCs w:val="24"/>
        </w:rPr>
        <w:t>或</w:t>
      </w:r>
      <w:r w:rsidR="000A7F0D">
        <w:rPr>
          <w:rFonts w:ascii="Times New Roman" w:hAnsi="宋体"/>
          <w:sz w:val="24"/>
          <w:szCs w:val="24"/>
        </w:rPr>
        <w:t>“</w:t>
      </w:r>
      <w:r w:rsidR="000A7F0D">
        <w:rPr>
          <w:rFonts w:ascii="Times New Roman" w:hAnsi="宋体" w:hint="eastAsia"/>
          <w:sz w:val="24"/>
          <w:szCs w:val="24"/>
        </w:rPr>
        <w:t>基金</w:t>
      </w:r>
      <w:r w:rsidR="000A7F0D">
        <w:rPr>
          <w:rFonts w:ascii="Times New Roman" w:hAnsi="宋体"/>
          <w:sz w:val="24"/>
          <w:szCs w:val="24"/>
        </w:rPr>
        <w:t>管理人”</w:t>
      </w:r>
      <w:r w:rsidRPr="00B6639E">
        <w:rPr>
          <w:rFonts w:ascii="Times New Roman" w:hAnsi="宋体" w:hint="eastAsia"/>
          <w:sz w:val="24"/>
          <w:szCs w:val="24"/>
        </w:rPr>
        <w:t>）旗下</w:t>
      </w:r>
      <w:r>
        <w:rPr>
          <w:rFonts w:ascii="Times New Roman" w:hAnsi="宋体"/>
          <w:sz w:val="24"/>
          <w:szCs w:val="24"/>
        </w:rPr>
        <w:t>33</w:t>
      </w:r>
      <w:r w:rsidRPr="00B6639E">
        <w:rPr>
          <w:rFonts w:ascii="Times New Roman" w:hAnsi="宋体" w:hint="eastAsia"/>
          <w:sz w:val="24"/>
          <w:szCs w:val="24"/>
        </w:rPr>
        <w:t>只公募基金就参与存托凭证投资事宜修订</w:t>
      </w:r>
      <w:r w:rsidR="00760FCA">
        <w:rPr>
          <w:rFonts w:ascii="Times New Roman" w:hAnsi="宋体" w:hint="eastAsia"/>
          <w:sz w:val="24"/>
          <w:szCs w:val="24"/>
        </w:rPr>
        <w:t>了</w:t>
      </w:r>
      <w:r w:rsidRPr="00B6639E">
        <w:rPr>
          <w:rFonts w:ascii="Times New Roman" w:hAnsi="宋体" w:hint="eastAsia"/>
          <w:sz w:val="24"/>
          <w:szCs w:val="24"/>
        </w:rPr>
        <w:t>基金合同、托管协议等法律文件，</w:t>
      </w:r>
      <w:r w:rsidR="00760FCA">
        <w:rPr>
          <w:rFonts w:ascii="Times New Roman" w:hAnsi="宋体" w:hint="eastAsia"/>
          <w:sz w:val="24"/>
          <w:szCs w:val="24"/>
        </w:rPr>
        <w:t>修订内容主要</w:t>
      </w:r>
      <w:r w:rsidRPr="00B6639E">
        <w:rPr>
          <w:rFonts w:ascii="Times New Roman" w:hAnsi="宋体" w:hint="eastAsia"/>
          <w:sz w:val="24"/>
          <w:szCs w:val="24"/>
        </w:rPr>
        <w:t>包括明确投资范围包含存托凭证、增加存托凭证投资策略、投资比例限制、估值方法</w:t>
      </w:r>
      <w:r w:rsidR="008506D8" w:rsidRPr="00D024F3">
        <w:rPr>
          <w:rFonts w:ascii="Times New Roman" w:hAnsi="宋体" w:hint="eastAsia"/>
          <w:sz w:val="24"/>
          <w:szCs w:val="24"/>
        </w:rPr>
        <w:t>、投资存托凭证的风险提示</w:t>
      </w:r>
      <w:r w:rsidRPr="00B6639E">
        <w:rPr>
          <w:rFonts w:ascii="Times New Roman" w:hAnsi="宋体" w:hint="eastAsia"/>
          <w:sz w:val="24"/>
          <w:szCs w:val="24"/>
        </w:rPr>
        <w:t>等。本次修订</w:t>
      </w:r>
      <w:r w:rsidR="008506D8">
        <w:rPr>
          <w:rFonts w:ascii="Times New Roman" w:hAnsi="宋体" w:hint="eastAsia"/>
          <w:sz w:val="24"/>
          <w:szCs w:val="24"/>
        </w:rPr>
        <w:t>后的各基金的基金合同和托管协议</w:t>
      </w:r>
      <w:r w:rsidRPr="00B6639E">
        <w:rPr>
          <w:rFonts w:ascii="Times New Roman" w:hAnsi="宋体" w:hint="eastAsia"/>
          <w:sz w:val="24"/>
          <w:szCs w:val="24"/>
        </w:rPr>
        <w:t>将自</w:t>
      </w:r>
      <w:r w:rsidRPr="00B6639E">
        <w:rPr>
          <w:rFonts w:ascii="Times New Roman" w:hAnsi="宋体"/>
          <w:sz w:val="24"/>
          <w:szCs w:val="24"/>
        </w:rPr>
        <w:t>2020</w:t>
      </w:r>
      <w:r w:rsidRPr="00B6639E">
        <w:rPr>
          <w:rFonts w:ascii="Times New Roman" w:hAnsi="宋体" w:hint="eastAsia"/>
          <w:sz w:val="24"/>
          <w:szCs w:val="24"/>
        </w:rPr>
        <w:t>年</w:t>
      </w:r>
      <w:r w:rsidR="0094133C">
        <w:rPr>
          <w:rFonts w:ascii="Times New Roman" w:hAnsi="宋体"/>
          <w:sz w:val="24"/>
          <w:szCs w:val="24"/>
        </w:rPr>
        <w:t>11</w:t>
      </w:r>
      <w:r w:rsidRPr="00B6639E">
        <w:rPr>
          <w:rFonts w:ascii="Times New Roman" w:hAnsi="宋体" w:hint="eastAsia"/>
          <w:sz w:val="24"/>
          <w:szCs w:val="24"/>
        </w:rPr>
        <w:t>月</w:t>
      </w:r>
      <w:r w:rsidR="0094133C">
        <w:rPr>
          <w:rFonts w:ascii="Times New Roman" w:hAnsi="宋体"/>
          <w:sz w:val="24"/>
          <w:szCs w:val="24"/>
        </w:rPr>
        <w:t>25</w:t>
      </w:r>
      <w:r>
        <w:rPr>
          <w:rFonts w:ascii="Times New Roman" w:hAnsi="宋体" w:hint="eastAsia"/>
          <w:sz w:val="24"/>
          <w:szCs w:val="24"/>
        </w:rPr>
        <w:t>日起正式生效。现就</w:t>
      </w:r>
      <w:r w:rsidRPr="00B6639E">
        <w:rPr>
          <w:rFonts w:ascii="Times New Roman" w:hAnsi="宋体" w:hint="eastAsia"/>
          <w:sz w:val="24"/>
          <w:szCs w:val="24"/>
        </w:rPr>
        <w:t>基金合同、托管协议</w:t>
      </w:r>
      <w:r w:rsidR="008506D8">
        <w:rPr>
          <w:rFonts w:ascii="Times New Roman" w:hAnsi="宋体" w:hint="eastAsia"/>
          <w:sz w:val="24"/>
          <w:szCs w:val="24"/>
        </w:rPr>
        <w:t>等</w:t>
      </w:r>
      <w:r w:rsidR="008506D8">
        <w:rPr>
          <w:rFonts w:ascii="Times New Roman" w:hAnsi="宋体"/>
          <w:sz w:val="24"/>
          <w:szCs w:val="24"/>
        </w:rPr>
        <w:t>法律文件的</w:t>
      </w:r>
      <w:r w:rsidRPr="00B6639E">
        <w:rPr>
          <w:rFonts w:ascii="Times New Roman" w:hAnsi="宋体" w:hint="eastAsia"/>
          <w:sz w:val="24"/>
          <w:szCs w:val="24"/>
        </w:rPr>
        <w:t>修</w:t>
      </w:r>
      <w:r>
        <w:rPr>
          <w:rFonts w:ascii="Times New Roman" w:hAnsi="宋体" w:hint="eastAsia"/>
          <w:sz w:val="24"/>
          <w:szCs w:val="24"/>
        </w:rPr>
        <w:t>改</w:t>
      </w:r>
      <w:r w:rsidRPr="00B6639E">
        <w:rPr>
          <w:rFonts w:ascii="Times New Roman" w:hAnsi="宋体" w:hint="eastAsia"/>
          <w:sz w:val="24"/>
          <w:szCs w:val="24"/>
        </w:rPr>
        <w:t>情况公告如下：</w:t>
      </w:r>
    </w:p>
    <w:p w:rsidR="00B6639E" w:rsidRPr="000A7F0D" w:rsidRDefault="00B6639E" w:rsidP="000A7F0D">
      <w:pPr>
        <w:pStyle w:val="a8"/>
        <w:numPr>
          <w:ilvl w:val="0"/>
          <w:numId w:val="1"/>
        </w:numPr>
        <w:spacing w:line="360" w:lineRule="auto"/>
        <w:ind w:left="0" w:firstLine="480"/>
        <w:rPr>
          <w:rFonts w:ascii="Times New Roman" w:eastAsiaTheme="minorEastAsia" w:hAnsi="Times New Roman"/>
          <w:sz w:val="24"/>
          <w:szCs w:val="24"/>
        </w:rPr>
      </w:pPr>
      <w:r w:rsidRPr="000A7F0D">
        <w:rPr>
          <w:rFonts w:ascii="Times New Roman" w:eastAsiaTheme="minorEastAsia" w:hAnsi="Times New Roman" w:hint="eastAsia"/>
          <w:sz w:val="24"/>
          <w:szCs w:val="24"/>
        </w:rPr>
        <w:t>本次修改涉及</w:t>
      </w:r>
      <w:r w:rsidRPr="000A7F0D">
        <w:rPr>
          <w:rFonts w:ascii="Times New Roman" w:eastAsiaTheme="minorEastAsia" w:hAnsi="Times New Roman"/>
          <w:sz w:val="24"/>
          <w:szCs w:val="24"/>
        </w:rPr>
        <w:t>的基金</w:t>
      </w:r>
    </w:p>
    <w:p w:rsidR="00B6639E" w:rsidRDefault="00B6639E" w:rsidP="00B6639E">
      <w:pPr>
        <w:spacing w:line="360" w:lineRule="auto"/>
        <w:ind w:firstLineChars="200" w:firstLine="480"/>
        <w:rPr>
          <w:rFonts w:ascii="Times New Roman" w:hAnsi="宋体"/>
          <w:sz w:val="24"/>
          <w:szCs w:val="24"/>
        </w:rPr>
      </w:pPr>
      <w:r w:rsidRPr="00B6639E">
        <w:rPr>
          <w:rFonts w:ascii="Times New Roman" w:hAnsi="宋体" w:hint="eastAsia"/>
          <w:sz w:val="24"/>
          <w:szCs w:val="24"/>
        </w:rPr>
        <w:t>本次修</w:t>
      </w:r>
      <w:r>
        <w:rPr>
          <w:rFonts w:ascii="Times New Roman" w:hAnsi="宋体" w:hint="eastAsia"/>
          <w:sz w:val="24"/>
          <w:szCs w:val="24"/>
        </w:rPr>
        <w:t>改</w:t>
      </w:r>
      <w:r w:rsidRPr="00B6639E">
        <w:rPr>
          <w:rFonts w:ascii="Times New Roman" w:hAnsi="宋体" w:hint="eastAsia"/>
          <w:sz w:val="24"/>
          <w:szCs w:val="24"/>
        </w:rPr>
        <w:t>涉及基金管理人旗下</w:t>
      </w:r>
      <w:r>
        <w:rPr>
          <w:rFonts w:ascii="Times New Roman" w:hAnsi="宋体"/>
          <w:sz w:val="24"/>
          <w:szCs w:val="24"/>
        </w:rPr>
        <w:t>33</w:t>
      </w:r>
      <w:r w:rsidRPr="00B6639E">
        <w:rPr>
          <w:rFonts w:ascii="Times New Roman" w:hAnsi="宋体" w:hint="eastAsia"/>
          <w:sz w:val="24"/>
          <w:szCs w:val="24"/>
        </w:rPr>
        <w:t>只公募基金，</w:t>
      </w:r>
      <w:r>
        <w:rPr>
          <w:rFonts w:ascii="Times New Roman" w:hAnsi="宋体" w:hint="eastAsia"/>
          <w:sz w:val="24"/>
          <w:szCs w:val="24"/>
        </w:rPr>
        <w:t>基金</w:t>
      </w:r>
      <w:r w:rsidRPr="00B6639E">
        <w:rPr>
          <w:rFonts w:ascii="Times New Roman" w:hAnsi="宋体" w:hint="eastAsia"/>
          <w:sz w:val="24"/>
          <w:szCs w:val="24"/>
        </w:rPr>
        <w:t>名单</w:t>
      </w:r>
      <w:r w:rsidR="009645E9">
        <w:rPr>
          <w:rFonts w:ascii="Times New Roman" w:hAnsi="宋体" w:hint="eastAsia"/>
          <w:sz w:val="24"/>
          <w:szCs w:val="24"/>
        </w:rPr>
        <w:t>详</w:t>
      </w:r>
      <w:r w:rsidRPr="00B6639E">
        <w:rPr>
          <w:rFonts w:ascii="Times New Roman" w:hAnsi="宋体" w:hint="eastAsia"/>
          <w:sz w:val="24"/>
          <w:szCs w:val="24"/>
        </w:rPr>
        <w:t>见本公告附表。</w:t>
      </w:r>
    </w:p>
    <w:p w:rsidR="00B6639E" w:rsidRPr="000A7F0D" w:rsidRDefault="009645E9" w:rsidP="000A7F0D">
      <w:pPr>
        <w:pStyle w:val="a8"/>
        <w:numPr>
          <w:ilvl w:val="0"/>
          <w:numId w:val="1"/>
        </w:numPr>
        <w:spacing w:line="360" w:lineRule="auto"/>
        <w:ind w:left="0" w:firstLine="480"/>
        <w:rPr>
          <w:rFonts w:ascii="Times New Roman" w:eastAsiaTheme="minorEastAsia" w:hAnsi="Times New Roman"/>
          <w:sz w:val="24"/>
          <w:szCs w:val="24"/>
        </w:rPr>
      </w:pPr>
      <w:r w:rsidRPr="000A7F0D">
        <w:rPr>
          <w:rFonts w:ascii="Times New Roman" w:eastAsiaTheme="minorEastAsia" w:hAnsi="Times New Roman" w:hint="eastAsia"/>
          <w:sz w:val="24"/>
          <w:szCs w:val="24"/>
        </w:rPr>
        <w:t>基金</w:t>
      </w:r>
      <w:r w:rsidRPr="000A7F0D">
        <w:rPr>
          <w:rFonts w:ascii="Times New Roman" w:eastAsiaTheme="minorEastAsia" w:hAnsi="Times New Roman"/>
          <w:sz w:val="24"/>
          <w:szCs w:val="24"/>
        </w:rPr>
        <w:t>合同和托管协议修改内容说明</w:t>
      </w:r>
    </w:p>
    <w:p w:rsidR="00B6639E" w:rsidRDefault="009645E9" w:rsidP="00B6639E">
      <w:pPr>
        <w:spacing w:line="360" w:lineRule="auto"/>
        <w:ind w:firstLineChars="200" w:firstLine="480"/>
        <w:rPr>
          <w:rFonts w:ascii="Times New Roman" w:hAnsi="宋体"/>
          <w:sz w:val="24"/>
          <w:szCs w:val="24"/>
        </w:rPr>
      </w:pPr>
      <w:r>
        <w:rPr>
          <w:rFonts w:ascii="Times New Roman" w:hAnsi="宋体" w:hint="eastAsia"/>
          <w:sz w:val="24"/>
          <w:szCs w:val="24"/>
        </w:rPr>
        <w:t>1</w:t>
      </w:r>
      <w:r>
        <w:rPr>
          <w:rFonts w:ascii="Times New Roman" w:hAnsi="宋体" w:hint="eastAsia"/>
          <w:sz w:val="24"/>
          <w:szCs w:val="24"/>
        </w:rPr>
        <w:t>、</w:t>
      </w:r>
      <w:r>
        <w:rPr>
          <w:rFonts w:ascii="Times New Roman" w:hAnsi="宋体"/>
          <w:sz w:val="24"/>
          <w:szCs w:val="24"/>
        </w:rPr>
        <w:t>基金合同涉及修改内容</w:t>
      </w:r>
    </w:p>
    <w:p w:rsidR="009645E9" w:rsidRDefault="009645E9" w:rsidP="009645E9">
      <w:pPr>
        <w:spacing w:line="360" w:lineRule="auto"/>
        <w:ind w:firstLineChars="200" w:firstLine="480"/>
        <w:rPr>
          <w:rFonts w:ascii="Times New Roman" w:hAnsi="宋体"/>
          <w:sz w:val="24"/>
          <w:szCs w:val="24"/>
        </w:rPr>
      </w:pPr>
      <w:r w:rsidRPr="009645E9">
        <w:rPr>
          <w:rFonts w:ascii="Times New Roman" w:hAnsi="宋体"/>
          <w:sz w:val="24"/>
          <w:szCs w:val="24"/>
        </w:rPr>
        <w:t xml:space="preserve"> </w:t>
      </w:r>
      <w:r w:rsidRPr="009645E9">
        <w:rPr>
          <w:rFonts w:ascii="Times New Roman" w:hAnsi="宋体" w:hint="eastAsia"/>
          <w:sz w:val="24"/>
          <w:szCs w:val="24"/>
        </w:rPr>
        <w:t>（</w:t>
      </w:r>
      <w:r w:rsidRPr="009645E9">
        <w:rPr>
          <w:rFonts w:ascii="Times New Roman" w:hAnsi="宋体"/>
          <w:sz w:val="24"/>
          <w:szCs w:val="24"/>
        </w:rPr>
        <w:t>1</w:t>
      </w:r>
      <w:r w:rsidRPr="009645E9">
        <w:rPr>
          <w:rFonts w:ascii="Times New Roman" w:hAnsi="宋体" w:hint="eastAsia"/>
          <w:sz w:val="24"/>
          <w:szCs w:val="24"/>
        </w:rPr>
        <w:t>）</w:t>
      </w:r>
      <w:r w:rsidRPr="009645E9">
        <w:rPr>
          <w:rFonts w:ascii="Times New Roman" w:hAnsi="宋体"/>
          <w:sz w:val="24"/>
          <w:szCs w:val="24"/>
        </w:rPr>
        <w:t>“</w:t>
      </w:r>
      <w:r w:rsidRPr="009645E9">
        <w:rPr>
          <w:rFonts w:ascii="Times New Roman" w:hAnsi="宋体" w:hint="eastAsia"/>
          <w:sz w:val="24"/>
          <w:szCs w:val="24"/>
        </w:rPr>
        <w:t>投资范围</w:t>
      </w:r>
      <w:r w:rsidRPr="009645E9">
        <w:rPr>
          <w:rFonts w:ascii="Times New Roman" w:hAnsi="宋体"/>
          <w:sz w:val="24"/>
          <w:szCs w:val="24"/>
        </w:rPr>
        <w:t>”</w:t>
      </w:r>
      <w:r w:rsidRPr="009645E9">
        <w:rPr>
          <w:rFonts w:ascii="Times New Roman" w:hAnsi="宋体" w:hint="eastAsia"/>
          <w:sz w:val="24"/>
          <w:szCs w:val="24"/>
        </w:rPr>
        <w:t>部分</w:t>
      </w:r>
      <w:r w:rsidR="008506D8">
        <w:rPr>
          <w:rFonts w:ascii="Times New Roman" w:hAnsi="宋体" w:hint="eastAsia"/>
          <w:sz w:val="24"/>
          <w:szCs w:val="24"/>
        </w:rPr>
        <w:t>增加了“</w:t>
      </w:r>
      <w:r w:rsidRPr="009645E9">
        <w:rPr>
          <w:rFonts w:ascii="Times New Roman" w:hAnsi="宋体" w:hint="eastAsia"/>
          <w:sz w:val="24"/>
          <w:szCs w:val="24"/>
        </w:rPr>
        <w:t>存托凭证</w:t>
      </w:r>
      <w:r w:rsidR="008506D8">
        <w:rPr>
          <w:rFonts w:ascii="Times New Roman" w:hAnsi="宋体" w:hint="eastAsia"/>
          <w:sz w:val="24"/>
          <w:szCs w:val="24"/>
        </w:rPr>
        <w:t>”</w:t>
      </w:r>
    </w:p>
    <w:p w:rsidR="009F5826" w:rsidRDefault="009645E9" w:rsidP="009645E9">
      <w:pPr>
        <w:spacing w:line="360" w:lineRule="auto"/>
        <w:ind w:firstLineChars="200" w:firstLine="480"/>
        <w:rPr>
          <w:rFonts w:ascii="Times New Roman" w:hAnsi="宋体"/>
          <w:sz w:val="24"/>
          <w:szCs w:val="24"/>
        </w:rPr>
      </w:pPr>
      <w:r w:rsidRPr="009645E9">
        <w:rPr>
          <w:rFonts w:ascii="Times New Roman" w:hAnsi="宋体" w:hint="eastAsia"/>
          <w:sz w:val="24"/>
          <w:szCs w:val="24"/>
        </w:rPr>
        <w:t>以宝盈睿丰创新灵活配置混合型证券投资基金为例，投资范围修改为：</w:t>
      </w:r>
    </w:p>
    <w:p w:rsidR="00F4598E" w:rsidRPr="00F4598E" w:rsidRDefault="009645E9" w:rsidP="00F4598E">
      <w:pPr>
        <w:spacing w:line="360" w:lineRule="auto"/>
        <w:ind w:firstLineChars="200" w:firstLine="480"/>
        <w:rPr>
          <w:rFonts w:ascii="Times New Roman" w:hAnsi="宋体"/>
          <w:sz w:val="24"/>
          <w:szCs w:val="24"/>
        </w:rPr>
      </w:pPr>
      <w:r w:rsidRPr="009645E9">
        <w:rPr>
          <w:rFonts w:ascii="Times New Roman" w:hAnsi="宋体"/>
          <w:sz w:val="24"/>
          <w:szCs w:val="24"/>
        </w:rPr>
        <w:t>“</w:t>
      </w:r>
      <w:r w:rsidR="00F4598E" w:rsidRPr="00F4598E">
        <w:rPr>
          <w:rFonts w:ascii="Times New Roman" w:hAnsi="宋体"/>
          <w:sz w:val="24"/>
          <w:szCs w:val="24"/>
        </w:rPr>
        <w:t>本基金的投资范围为具有较好流动性的金融工具，包括国内依法发行上市的股票（包含中小板、创业板及其他经中国证监会核准上市的股票</w:t>
      </w:r>
      <w:r w:rsidR="00F4598E" w:rsidRPr="00F4598E">
        <w:rPr>
          <w:rFonts w:ascii="Times New Roman" w:hAnsi="宋体" w:hint="eastAsia"/>
          <w:sz w:val="24"/>
          <w:szCs w:val="24"/>
        </w:rPr>
        <w:t>、</w:t>
      </w:r>
      <w:r w:rsidR="00F4598E" w:rsidRPr="00F4598E">
        <w:rPr>
          <w:rFonts w:ascii="Times New Roman" w:hAnsi="宋体"/>
          <w:sz w:val="24"/>
          <w:szCs w:val="24"/>
        </w:rPr>
        <w:t>存托凭证）、债券（包括国内依法发行和上市交易的国债、金融债、企业债、公司债、次级债、可转换债券、分离交易可转债、中小企业私募债、央行票据、中期票据、短期融资券）、资产支持证券、债券回购、银行存款、货币市场工具、权证以及法律法规或中国证监会允许基金投资的其他金融工具，但须符合中国证监会的相关规定。</w:t>
      </w:r>
    </w:p>
    <w:p w:rsidR="009645E9" w:rsidRPr="009645E9" w:rsidRDefault="00F4598E" w:rsidP="00F4598E">
      <w:pPr>
        <w:spacing w:line="360" w:lineRule="auto"/>
        <w:ind w:firstLineChars="200" w:firstLine="480"/>
        <w:rPr>
          <w:rFonts w:ascii="Times New Roman" w:hAnsi="宋体"/>
          <w:sz w:val="24"/>
          <w:szCs w:val="24"/>
        </w:rPr>
      </w:pPr>
      <w:r w:rsidRPr="00F4598E">
        <w:rPr>
          <w:rFonts w:ascii="Times New Roman" w:hAnsi="宋体"/>
          <w:sz w:val="24"/>
          <w:szCs w:val="24"/>
        </w:rPr>
        <w:t>基金的投资组合比例为：股票</w:t>
      </w:r>
      <w:r w:rsidRPr="00F4598E">
        <w:rPr>
          <w:rFonts w:ascii="Times New Roman" w:hAnsi="宋体" w:hint="eastAsia"/>
          <w:sz w:val="24"/>
          <w:szCs w:val="24"/>
        </w:rPr>
        <w:t>（含</w:t>
      </w:r>
      <w:r w:rsidRPr="00F4598E">
        <w:rPr>
          <w:rFonts w:ascii="Times New Roman" w:hAnsi="宋体"/>
          <w:sz w:val="24"/>
          <w:szCs w:val="24"/>
        </w:rPr>
        <w:t>存托凭证</w:t>
      </w:r>
      <w:r w:rsidRPr="00F4598E">
        <w:rPr>
          <w:rFonts w:ascii="Times New Roman" w:hAnsi="宋体" w:hint="eastAsia"/>
          <w:sz w:val="24"/>
          <w:szCs w:val="24"/>
        </w:rPr>
        <w:t>）</w:t>
      </w:r>
      <w:r w:rsidRPr="00F4598E">
        <w:rPr>
          <w:rFonts w:ascii="Times New Roman" w:hAnsi="宋体"/>
          <w:sz w:val="24"/>
          <w:szCs w:val="24"/>
        </w:rPr>
        <w:t>投资占基金资产的比例为</w:t>
      </w:r>
      <w:r w:rsidRPr="00F4598E">
        <w:rPr>
          <w:rFonts w:ascii="Times New Roman" w:hAnsi="宋体"/>
          <w:sz w:val="24"/>
          <w:szCs w:val="24"/>
        </w:rPr>
        <w:t>0%</w:t>
      </w:r>
      <w:r w:rsidRPr="00F4598E">
        <w:rPr>
          <w:rFonts w:ascii="Times New Roman" w:hAnsi="宋体"/>
          <w:sz w:val="24"/>
          <w:szCs w:val="24"/>
        </w:rPr>
        <w:t>–</w:t>
      </w:r>
      <w:r w:rsidRPr="00F4598E">
        <w:rPr>
          <w:rFonts w:ascii="Times New Roman" w:hAnsi="宋体"/>
          <w:sz w:val="24"/>
          <w:szCs w:val="24"/>
        </w:rPr>
        <w:t>95%</w:t>
      </w:r>
      <w:r w:rsidRPr="00F4598E">
        <w:rPr>
          <w:rFonts w:ascii="Times New Roman" w:hAnsi="宋体"/>
          <w:sz w:val="24"/>
          <w:szCs w:val="24"/>
        </w:rPr>
        <w:t>，投资于创新主题上市公司证券的比例不低于非现金基金资产的</w:t>
      </w:r>
      <w:r w:rsidRPr="00F4598E">
        <w:rPr>
          <w:rFonts w:ascii="Times New Roman" w:hAnsi="宋体"/>
          <w:sz w:val="24"/>
          <w:szCs w:val="24"/>
        </w:rPr>
        <w:t>80%</w:t>
      </w:r>
      <w:r w:rsidRPr="00F4598E">
        <w:rPr>
          <w:rFonts w:ascii="Times New Roman" w:hAnsi="宋体"/>
          <w:sz w:val="24"/>
          <w:szCs w:val="24"/>
        </w:rPr>
        <w:t>；现金或者到期日在一年以内的政府债券不低于基金资产净值的</w:t>
      </w:r>
      <w:r w:rsidRPr="00F4598E">
        <w:rPr>
          <w:rFonts w:ascii="Times New Roman" w:hAnsi="宋体"/>
          <w:sz w:val="24"/>
          <w:szCs w:val="24"/>
        </w:rPr>
        <w:t>5%</w:t>
      </w:r>
      <w:r w:rsidRPr="00F4598E">
        <w:rPr>
          <w:rFonts w:ascii="Times New Roman" w:hAnsi="宋体" w:hint="eastAsia"/>
          <w:sz w:val="24"/>
          <w:szCs w:val="24"/>
        </w:rPr>
        <w:t>，其中，现金不包括结算备付金、存出保证金、应收申购款等</w:t>
      </w:r>
      <w:r w:rsidRPr="00F4598E">
        <w:rPr>
          <w:rFonts w:ascii="Times New Roman" w:hAnsi="宋体"/>
          <w:sz w:val="24"/>
          <w:szCs w:val="24"/>
        </w:rPr>
        <w:t>；权证投资比例不得超过基金资产净值的</w:t>
      </w:r>
      <w:r w:rsidRPr="00F4598E">
        <w:rPr>
          <w:rFonts w:ascii="Times New Roman" w:hAnsi="宋体"/>
          <w:sz w:val="24"/>
          <w:szCs w:val="24"/>
        </w:rPr>
        <w:t>3%</w:t>
      </w:r>
      <w:r w:rsidRPr="00F4598E">
        <w:rPr>
          <w:rFonts w:ascii="Times New Roman" w:hAnsi="宋体"/>
          <w:sz w:val="24"/>
          <w:szCs w:val="24"/>
        </w:rPr>
        <w:t>；本基金投资于其他金融工具的投资比例依照法律法规或监管机构</w:t>
      </w:r>
      <w:r w:rsidRPr="00F4598E">
        <w:rPr>
          <w:rFonts w:ascii="Times New Roman" w:hAnsi="宋体"/>
          <w:sz w:val="24"/>
          <w:szCs w:val="24"/>
        </w:rPr>
        <w:lastRenderedPageBreak/>
        <w:t>的规定执行。</w:t>
      </w:r>
      <w:r w:rsidR="009645E9" w:rsidRPr="009645E9">
        <w:rPr>
          <w:rFonts w:ascii="Times New Roman" w:hAnsi="宋体"/>
          <w:sz w:val="24"/>
          <w:szCs w:val="24"/>
        </w:rPr>
        <w:t>”</w:t>
      </w:r>
    </w:p>
    <w:p w:rsidR="00B6639E" w:rsidRDefault="009645E9" w:rsidP="00B6639E">
      <w:pPr>
        <w:spacing w:line="360" w:lineRule="auto"/>
        <w:ind w:firstLineChars="200" w:firstLine="480"/>
        <w:rPr>
          <w:rFonts w:ascii="Times New Roman" w:hAnsi="宋体"/>
          <w:sz w:val="24"/>
          <w:szCs w:val="24"/>
        </w:rPr>
      </w:pPr>
      <w:r>
        <w:rPr>
          <w:rFonts w:ascii="Times New Roman" w:hAnsi="宋体" w:hint="eastAsia"/>
          <w:sz w:val="24"/>
          <w:szCs w:val="24"/>
        </w:rPr>
        <w:t>（</w:t>
      </w:r>
      <w:r>
        <w:rPr>
          <w:rFonts w:ascii="Times New Roman" w:hAnsi="宋体" w:hint="eastAsia"/>
          <w:sz w:val="24"/>
          <w:szCs w:val="24"/>
        </w:rPr>
        <w:t>2</w:t>
      </w:r>
      <w:r>
        <w:rPr>
          <w:rFonts w:ascii="Times New Roman" w:hAnsi="宋体" w:hint="eastAsia"/>
          <w:sz w:val="24"/>
          <w:szCs w:val="24"/>
        </w:rPr>
        <w:t>）“投资</w:t>
      </w:r>
      <w:r>
        <w:rPr>
          <w:rFonts w:ascii="Times New Roman" w:hAnsi="宋体"/>
          <w:sz w:val="24"/>
          <w:szCs w:val="24"/>
        </w:rPr>
        <w:t>策略</w:t>
      </w:r>
      <w:r>
        <w:rPr>
          <w:rFonts w:ascii="Times New Roman" w:hAnsi="宋体" w:hint="eastAsia"/>
          <w:sz w:val="24"/>
          <w:szCs w:val="24"/>
        </w:rPr>
        <w:t>”部分</w:t>
      </w:r>
      <w:r>
        <w:rPr>
          <w:rFonts w:ascii="Times New Roman" w:hAnsi="宋体"/>
          <w:sz w:val="24"/>
          <w:szCs w:val="24"/>
        </w:rPr>
        <w:t>增加了</w:t>
      </w:r>
      <w:r w:rsidR="00A70C2D">
        <w:rPr>
          <w:rFonts w:ascii="Times New Roman" w:hAnsi="宋体" w:hint="eastAsia"/>
          <w:sz w:val="24"/>
          <w:szCs w:val="24"/>
        </w:rPr>
        <w:t>“</w:t>
      </w:r>
      <w:r>
        <w:rPr>
          <w:rFonts w:ascii="Times New Roman" w:hAnsi="宋体"/>
          <w:sz w:val="24"/>
          <w:szCs w:val="24"/>
        </w:rPr>
        <w:t>存托凭证投资策略</w:t>
      </w:r>
      <w:r w:rsidR="00A70C2D">
        <w:rPr>
          <w:rFonts w:ascii="Times New Roman" w:hAnsi="宋体" w:hint="eastAsia"/>
          <w:sz w:val="24"/>
          <w:szCs w:val="24"/>
        </w:rPr>
        <w:t>”</w:t>
      </w:r>
    </w:p>
    <w:p w:rsidR="00FD77E7" w:rsidRDefault="00D77E3E" w:rsidP="00B6639E">
      <w:pPr>
        <w:spacing w:line="360" w:lineRule="auto"/>
        <w:ind w:firstLineChars="200" w:firstLine="480"/>
        <w:rPr>
          <w:rFonts w:ascii="Times New Roman" w:hAnsi="宋体"/>
          <w:sz w:val="24"/>
          <w:szCs w:val="24"/>
        </w:rPr>
      </w:pPr>
      <w:r w:rsidRPr="009645E9">
        <w:rPr>
          <w:rFonts w:ascii="Times New Roman" w:hAnsi="宋体" w:hint="eastAsia"/>
          <w:sz w:val="24"/>
          <w:szCs w:val="24"/>
        </w:rPr>
        <w:t>以宝盈睿丰创新灵活配置混合型证券投资基金为例，</w:t>
      </w:r>
      <w:r>
        <w:rPr>
          <w:rFonts w:ascii="Times New Roman" w:hAnsi="宋体" w:hint="eastAsia"/>
          <w:sz w:val="24"/>
          <w:szCs w:val="24"/>
        </w:rPr>
        <w:t>投资</w:t>
      </w:r>
      <w:r>
        <w:rPr>
          <w:rFonts w:ascii="Times New Roman" w:hAnsi="宋体"/>
          <w:sz w:val="24"/>
          <w:szCs w:val="24"/>
        </w:rPr>
        <w:t>策略增加</w:t>
      </w:r>
      <w:r w:rsidR="00FD77E7">
        <w:rPr>
          <w:rFonts w:ascii="Times New Roman" w:hAnsi="宋体" w:hint="eastAsia"/>
          <w:sz w:val="24"/>
          <w:szCs w:val="24"/>
        </w:rPr>
        <w:t>内容如下</w:t>
      </w:r>
      <w:r>
        <w:rPr>
          <w:rFonts w:ascii="Times New Roman" w:hAnsi="宋体"/>
          <w:sz w:val="24"/>
          <w:szCs w:val="24"/>
        </w:rPr>
        <w:t>：</w:t>
      </w:r>
    </w:p>
    <w:p w:rsidR="009645E9" w:rsidRDefault="00D77E3E" w:rsidP="00B6639E">
      <w:pPr>
        <w:spacing w:line="360" w:lineRule="auto"/>
        <w:ind w:firstLineChars="200" w:firstLine="480"/>
        <w:rPr>
          <w:rFonts w:ascii="Times New Roman" w:hAnsi="宋体"/>
          <w:sz w:val="24"/>
          <w:szCs w:val="24"/>
        </w:rPr>
      </w:pPr>
      <w:r>
        <w:rPr>
          <w:rFonts w:ascii="Times New Roman" w:hAnsi="宋体" w:hint="eastAsia"/>
          <w:sz w:val="24"/>
          <w:szCs w:val="24"/>
        </w:rPr>
        <w:t>“</w:t>
      </w:r>
      <w:r w:rsidR="001B6AA8" w:rsidRPr="001B6AA8">
        <w:rPr>
          <w:rFonts w:ascii="Times New Roman" w:hAnsi="宋体"/>
          <w:sz w:val="24"/>
          <w:szCs w:val="24"/>
        </w:rPr>
        <w:t>本基金将结合宏观经济状况</w:t>
      </w:r>
      <w:r w:rsidR="001B6AA8" w:rsidRPr="001B6AA8">
        <w:rPr>
          <w:rFonts w:ascii="Times New Roman" w:hAnsi="宋体" w:hint="eastAsia"/>
          <w:sz w:val="24"/>
          <w:szCs w:val="24"/>
        </w:rPr>
        <w:t>和</w:t>
      </w:r>
      <w:r w:rsidR="001B6AA8" w:rsidRPr="001B6AA8">
        <w:rPr>
          <w:rFonts w:ascii="Times New Roman" w:hAnsi="宋体"/>
          <w:sz w:val="24"/>
          <w:szCs w:val="24"/>
        </w:rPr>
        <w:t>发行人</w:t>
      </w:r>
      <w:r w:rsidR="001B6AA8" w:rsidRPr="001B6AA8">
        <w:rPr>
          <w:rFonts w:ascii="Times New Roman" w:hAnsi="宋体" w:hint="eastAsia"/>
          <w:sz w:val="24"/>
          <w:szCs w:val="24"/>
        </w:rPr>
        <w:t>所处</w:t>
      </w:r>
      <w:r w:rsidR="001B6AA8" w:rsidRPr="001B6AA8">
        <w:rPr>
          <w:rFonts w:ascii="Times New Roman" w:hAnsi="宋体"/>
          <w:sz w:val="24"/>
          <w:szCs w:val="24"/>
        </w:rPr>
        <w:t>行业</w:t>
      </w:r>
      <w:r w:rsidR="001B6AA8" w:rsidRPr="001B6AA8">
        <w:rPr>
          <w:rFonts w:ascii="Times New Roman" w:hAnsi="宋体" w:hint="eastAsia"/>
          <w:sz w:val="24"/>
          <w:szCs w:val="24"/>
        </w:rPr>
        <w:t>的</w:t>
      </w:r>
      <w:r w:rsidR="001B6AA8" w:rsidRPr="001B6AA8">
        <w:rPr>
          <w:rFonts w:ascii="Times New Roman" w:hAnsi="宋体"/>
          <w:sz w:val="24"/>
          <w:szCs w:val="24"/>
        </w:rPr>
        <w:t>景气度</w:t>
      </w:r>
      <w:r w:rsidR="001B6AA8" w:rsidRPr="001B6AA8">
        <w:rPr>
          <w:rFonts w:ascii="Times New Roman" w:hAnsi="宋体" w:hint="eastAsia"/>
          <w:sz w:val="24"/>
          <w:szCs w:val="24"/>
        </w:rPr>
        <w:t>，</w:t>
      </w:r>
      <w:r w:rsidR="001B6AA8" w:rsidRPr="001B6AA8">
        <w:rPr>
          <w:rFonts w:ascii="Times New Roman" w:hAnsi="宋体"/>
          <w:sz w:val="24"/>
          <w:szCs w:val="24"/>
        </w:rPr>
        <w:t>关注发行人基本面情况、公司竞争优势、公司治理结构、有关信息披露情况</w:t>
      </w:r>
      <w:r w:rsidR="001B6AA8" w:rsidRPr="001B6AA8">
        <w:rPr>
          <w:rFonts w:ascii="Times New Roman" w:hAnsi="宋体" w:hint="eastAsia"/>
          <w:sz w:val="24"/>
          <w:szCs w:val="24"/>
        </w:rPr>
        <w:t>、</w:t>
      </w:r>
      <w:r w:rsidR="001B6AA8" w:rsidRPr="001B6AA8">
        <w:rPr>
          <w:rFonts w:ascii="Times New Roman" w:hAnsi="宋体"/>
          <w:sz w:val="24"/>
          <w:szCs w:val="24"/>
        </w:rPr>
        <w:t>市场估值等因素，通过定性分析和定量分析相结合的办法，选择投资价值高的存托凭证进行投资，谨慎决定存托凭证的标的选择</w:t>
      </w:r>
      <w:r w:rsidR="001B6AA8" w:rsidRPr="001B6AA8">
        <w:rPr>
          <w:rFonts w:ascii="Times New Roman" w:hAnsi="宋体" w:hint="eastAsia"/>
          <w:sz w:val="24"/>
          <w:szCs w:val="24"/>
        </w:rPr>
        <w:t>和</w:t>
      </w:r>
      <w:r w:rsidR="001B6AA8" w:rsidRPr="001B6AA8">
        <w:rPr>
          <w:rFonts w:ascii="Times New Roman" w:hAnsi="宋体"/>
          <w:sz w:val="24"/>
          <w:szCs w:val="24"/>
        </w:rPr>
        <w:t>配置比例。</w:t>
      </w:r>
      <w:r>
        <w:rPr>
          <w:rFonts w:ascii="Times New Roman" w:hAnsi="宋体" w:hint="eastAsia"/>
          <w:sz w:val="24"/>
          <w:szCs w:val="24"/>
        </w:rPr>
        <w:t>”</w:t>
      </w:r>
    </w:p>
    <w:p w:rsidR="00D77E3E" w:rsidRDefault="00D77E3E" w:rsidP="00B6639E">
      <w:pPr>
        <w:spacing w:line="360" w:lineRule="auto"/>
        <w:ind w:firstLineChars="200" w:firstLine="480"/>
        <w:rPr>
          <w:rFonts w:ascii="Times New Roman" w:hAnsi="宋体"/>
          <w:sz w:val="24"/>
          <w:szCs w:val="24"/>
        </w:rPr>
      </w:pPr>
      <w:r>
        <w:rPr>
          <w:rFonts w:ascii="Times New Roman" w:hAnsi="宋体" w:hint="eastAsia"/>
          <w:sz w:val="24"/>
          <w:szCs w:val="24"/>
        </w:rPr>
        <w:t>（</w:t>
      </w:r>
      <w:r>
        <w:rPr>
          <w:rFonts w:ascii="Times New Roman" w:hAnsi="宋体" w:hint="eastAsia"/>
          <w:sz w:val="24"/>
          <w:szCs w:val="24"/>
        </w:rPr>
        <w:t>3</w:t>
      </w:r>
      <w:r>
        <w:rPr>
          <w:rFonts w:ascii="Times New Roman" w:hAnsi="宋体" w:hint="eastAsia"/>
          <w:sz w:val="24"/>
          <w:szCs w:val="24"/>
        </w:rPr>
        <w:t>）“投资</w:t>
      </w:r>
      <w:r>
        <w:rPr>
          <w:rFonts w:ascii="Times New Roman" w:hAnsi="宋体"/>
          <w:sz w:val="24"/>
          <w:szCs w:val="24"/>
        </w:rPr>
        <w:t>限制</w:t>
      </w:r>
      <w:r>
        <w:rPr>
          <w:rFonts w:ascii="Times New Roman" w:hAnsi="宋体" w:hint="eastAsia"/>
          <w:sz w:val="24"/>
          <w:szCs w:val="24"/>
        </w:rPr>
        <w:t>”</w:t>
      </w:r>
      <w:r>
        <w:rPr>
          <w:rFonts w:ascii="Times New Roman" w:hAnsi="宋体"/>
          <w:sz w:val="24"/>
          <w:szCs w:val="24"/>
        </w:rPr>
        <w:t>部分增加了</w:t>
      </w:r>
      <w:r>
        <w:rPr>
          <w:rFonts w:ascii="Times New Roman" w:hAnsi="宋体" w:hint="eastAsia"/>
          <w:sz w:val="24"/>
          <w:szCs w:val="24"/>
        </w:rPr>
        <w:t>存托</w:t>
      </w:r>
      <w:r>
        <w:rPr>
          <w:rFonts w:ascii="Times New Roman" w:hAnsi="宋体"/>
          <w:sz w:val="24"/>
          <w:szCs w:val="24"/>
        </w:rPr>
        <w:t>凭证</w:t>
      </w:r>
      <w:r>
        <w:rPr>
          <w:rFonts w:ascii="Times New Roman" w:hAnsi="宋体" w:hint="eastAsia"/>
          <w:sz w:val="24"/>
          <w:szCs w:val="24"/>
        </w:rPr>
        <w:t>的</w:t>
      </w:r>
      <w:r>
        <w:rPr>
          <w:rFonts w:ascii="Times New Roman" w:hAnsi="宋体"/>
          <w:sz w:val="24"/>
          <w:szCs w:val="24"/>
        </w:rPr>
        <w:t>投资限制</w:t>
      </w:r>
    </w:p>
    <w:p w:rsidR="00FD77E7" w:rsidRDefault="00D77E3E" w:rsidP="00B6639E">
      <w:pPr>
        <w:spacing w:line="360" w:lineRule="auto"/>
        <w:ind w:firstLineChars="200" w:firstLine="480"/>
        <w:rPr>
          <w:rFonts w:ascii="Times New Roman" w:hAnsi="宋体"/>
          <w:sz w:val="24"/>
          <w:szCs w:val="24"/>
        </w:rPr>
      </w:pPr>
      <w:r w:rsidRPr="009645E9">
        <w:rPr>
          <w:rFonts w:ascii="Times New Roman" w:hAnsi="宋体" w:hint="eastAsia"/>
          <w:sz w:val="24"/>
          <w:szCs w:val="24"/>
        </w:rPr>
        <w:t>以宝盈睿丰创新灵活配置混合型证券投资基金为例，</w:t>
      </w:r>
      <w:r w:rsidR="00FD77E7">
        <w:rPr>
          <w:rFonts w:ascii="Times New Roman" w:hAnsi="宋体" w:hint="eastAsia"/>
          <w:sz w:val="24"/>
          <w:szCs w:val="24"/>
        </w:rPr>
        <w:t>投资</w:t>
      </w:r>
      <w:r w:rsidR="00FD77E7">
        <w:rPr>
          <w:rFonts w:ascii="Times New Roman" w:hAnsi="宋体"/>
          <w:sz w:val="24"/>
          <w:szCs w:val="24"/>
        </w:rPr>
        <w:t>限制增加</w:t>
      </w:r>
      <w:r w:rsidR="00FD77E7">
        <w:rPr>
          <w:rFonts w:ascii="Times New Roman" w:hAnsi="宋体" w:hint="eastAsia"/>
          <w:sz w:val="24"/>
          <w:szCs w:val="24"/>
        </w:rPr>
        <w:t>内容如下</w:t>
      </w:r>
      <w:r w:rsidR="00FD77E7">
        <w:rPr>
          <w:rFonts w:ascii="Times New Roman" w:hAnsi="宋体"/>
          <w:sz w:val="24"/>
          <w:szCs w:val="24"/>
        </w:rPr>
        <w:t>：</w:t>
      </w:r>
    </w:p>
    <w:p w:rsidR="00403954" w:rsidRDefault="00FD77E7" w:rsidP="00B6639E">
      <w:pPr>
        <w:spacing w:line="360" w:lineRule="auto"/>
        <w:ind w:firstLineChars="200" w:firstLine="480"/>
        <w:rPr>
          <w:rFonts w:ascii="Times New Roman" w:hAnsi="宋体"/>
          <w:sz w:val="24"/>
          <w:szCs w:val="24"/>
        </w:rPr>
      </w:pPr>
      <w:r>
        <w:rPr>
          <w:rFonts w:ascii="Times New Roman" w:hAnsi="宋体" w:hint="eastAsia"/>
          <w:sz w:val="24"/>
          <w:szCs w:val="24"/>
        </w:rPr>
        <w:t>“</w:t>
      </w:r>
      <w:r w:rsidR="001B6AA8" w:rsidRPr="001B6AA8">
        <w:rPr>
          <w:rFonts w:ascii="Times New Roman" w:hAnsi="宋体"/>
          <w:sz w:val="24"/>
          <w:szCs w:val="24"/>
        </w:rPr>
        <w:t>（</w:t>
      </w:r>
      <w:r w:rsidR="001B6AA8" w:rsidRPr="001B6AA8">
        <w:rPr>
          <w:rFonts w:ascii="Times New Roman" w:hAnsi="宋体"/>
          <w:sz w:val="24"/>
          <w:szCs w:val="24"/>
        </w:rPr>
        <w:t>1</w:t>
      </w:r>
      <w:r w:rsidR="001B6AA8" w:rsidRPr="001B6AA8">
        <w:rPr>
          <w:rFonts w:ascii="Times New Roman" w:hAnsi="宋体"/>
          <w:sz w:val="24"/>
          <w:szCs w:val="24"/>
        </w:rPr>
        <w:t>）股票</w:t>
      </w:r>
      <w:r w:rsidR="001B6AA8" w:rsidRPr="001B6AA8">
        <w:rPr>
          <w:rFonts w:ascii="Times New Roman" w:hAnsi="宋体" w:hint="eastAsia"/>
          <w:sz w:val="24"/>
          <w:szCs w:val="24"/>
        </w:rPr>
        <w:t>（含</w:t>
      </w:r>
      <w:r w:rsidR="001B6AA8" w:rsidRPr="001B6AA8">
        <w:rPr>
          <w:rFonts w:ascii="Times New Roman" w:hAnsi="宋体"/>
          <w:sz w:val="24"/>
          <w:szCs w:val="24"/>
        </w:rPr>
        <w:t>存托凭证</w:t>
      </w:r>
      <w:r w:rsidR="001B6AA8" w:rsidRPr="001B6AA8">
        <w:rPr>
          <w:rFonts w:ascii="Times New Roman" w:hAnsi="宋体" w:hint="eastAsia"/>
          <w:sz w:val="24"/>
          <w:szCs w:val="24"/>
        </w:rPr>
        <w:t>）</w:t>
      </w:r>
      <w:r w:rsidR="001B6AA8" w:rsidRPr="001B6AA8">
        <w:rPr>
          <w:rFonts w:ascii="Times New Roman" w:hAnsi="宋体"/>
          <w:sz w:val="24"/>
          <w:szCs w:val="24"/>
        </w:rPr>
        <w:t>投资占基金资产的比例为</w:t>
      </w:r>
      <w:r w:rsidR="001B6AA8" w:rsidRPr="001B6AA8">
        <w:rPr>
          <w:rFonts w:ascii="Times New Roman" w:hAnsi="宋体"/>
          <w:sz w:val="24"/>
          <w:szCs w:val="24"/>
        </w:rPr>
        <w:t>0%</w:t>
      </w:r>
      <w:r w:rsidR="001B6AA8" w:rsidRPr="001B6AA8">
        <w:rPr>
          <w:rFonts w:ascii="Times New Roman" w:hAnsi="宋体"/>
          <w:sz w:val="24"/>
          <w:szCs w:val="24"/>
        </w:rPr>
        <w:t>–</w:t>
      </w:r>
      <w:r w:rsidR="001B6AA8" w:rsidRPr="001B6AA8">
        <w:rPr>
          <w:rFonts w:ascii="Times New Roman" w:hAnsi="宋体"/>
          <w:sz w:val="24"/>
          <w:szCs w:val="24"/>
        </w:rPr>
        <w:t>95%</w:t>
      </w:r>
      <w:r w:rsidR="001B6AA8" w:rsidRPr="001B6AA8">
        <w:rPr>
          <w:rFonts w:ascii="Times New Roman" w:hAnsi="宋体"/>
          <w:sz w:val="24"/>
          <w:szCs w:val="24"/>
        </w:rPr>
        <w:t>，投资于创新主题上市公司证券的比例不低于非现金基金资产的</w:t>
      </w:r>
      <w:r w:rsidR="001B6AA8" w:rsidRPr="001B6AA8">
        <w:rPr>
          <w:rFonts w:ascii="Times New Roman" w:hAnsi="宋体"/>
          <w:sz w:val="24"/>
          <w:szCs w:val="24"/>
        </w:rPr>
        <w:t>80%</w:t>
      </w:r>
      <w:r w:rsidR="001B6AA8" w:rsidRPr="001B6AA8">
        <w:rPr>
          <w:rFonts w:ascii="Times New Roman" w:hAnsi="宋体"/>
          <w:sz w:val="24"/>
          <w:szCs w:val="24"/>
        </w:rPr>
        <w:t>；</w:t>
      </w:r>
      <w:r>
        <w:rPr>
          <w:rFonts w:ascii="Times New Roman" w:hAnsi="宋体" w:hint="eastAsia"/>
          <w:sz w:val="24"/>
          <w:szCs w:val="24"/>
        </w:rPr>
        <w:t>”</w:t>
      </w:r>
    </w:p>
    <w:p w:rsidR="00D77E3E" w:rsidRDefault="00FD77E7" w:rsidP="00B6639E">
      <w:pPr>
        <w:spacing w:line="360" w:lineRule="auto"/>
        <w:ind w:firstLineChars="200" w:firstLine="480"/>
        <w:rPr>
          <w:rFonts w:ascii="Times New Roman" w:hAnsi="宋体"/>
          <w:sz w:val="24"/>
          <w:szCs w:val="24"/>
        </w:rPr>
      </w:pPr>
      <w:r>
        <w:rPr>
          <w:rFonts w:ascii="Times New Roman" w:hAnsi="宋体"/>
          <w:sz w:val="24"/>
          <w:szCs w:val="24"/>
        </w:rPr>
        <w:t>“</w:t>
      </w:r>
      <w:r w:rsidR="001B6AA8" w:rsidRPr="001B6AA8">
        <w:rPr>
          <w:rFonts w:ascii="Times New Roman" w:hAnsi="宋体" w:hint="eastAsia"/>
          <w:sz w:val="24"/>
          <w:szCs w:val="24"/>
        </w:rPr>
        <w:t>（</w:t>
      </w:r>
      <w:r w:rsidR="001B6AA8" w:rsidRPr="001B6AA8">
        <w:rPr>
          <w:rFonts w:ascii="Times New Roman" w:hAnsi="宋体" w:hint="eastAsia"/>
          <w:sz w:val="24"/>
          <w:szCs w:val="24"/>
        </w:rPr>
        <w:t>22</w:t>
      </w:r>
      <w:r w:rsidR="001B6AA8" w:rsidRPr="001B6AA8">
        <w:rPr>
          <w:rFonts w:ascii="Times New Roman" w:hAnsi="宋体" w:hint="eastAsia"/>
          <w:sz w:val="24"/>
          <w:szCs w:val="24"/>
        </w:rPr>
        <w:t>）本基金投资存托凭证的比例限制依照境内上市交易的股票执行；</w:t>
      </w:r>
      <w:r>
        <w:rPr>
          <w:rFonts w:ascii="Times New Roman" w:hAnsi="宋体"/>
          <w:sz w:val="24"/>
          <w:szCs w:val="24"/>
        </w:rPr>
        <w:t>”</w:t>
      </w:r>
    </w:p>
    <w:p w:rsidR="00403954" w:rsidRDefault="0066682D" w:rsidP="00B6639E">
      <w:pPr>
        <w:spacing w:line="360" w:lineRule="auto"/>
        <w:ind w:firstLineChars="200" w:firstLine="480"/>
        <w:rPr>
          <w:rFonts w:ascii="Times New Roman" w:hAnsi="宋体"/>
          <w:sz w:val="24"/>
          <w:szCs w:val="24"/>
        </w:rPr>
      </w:pPr>
      <w:r>
        <w:rPr>
          <w:rFonts w:ascii="Times New Roman" w:hAnsi="宋体" w:hint="eastAsia"/>
          <w:sz w:val="24"/>
          <w:szCs w:val="24"/>
        </w:rPr>
        <w:t>（</w:t>
      </w:r>
      <w:r>
        <w:rPr>
          <w:rFonts w:ascii="Times New Roman" w:hAnsi="宋体" w:hint="eastAsia"/>
          <w:sz w:val="24"/>
          <w:szCs w:val="24"/>
        </w:rPr>
        <w:t>4</w:t>
      </w:r>
      <w:r>
        <w:rPr>
          <w:rFonts w:ascii="Times New Roman" w:hAnsi="宋体" w:hint="eastAsia"/>
          <w:sz w:val="24"/>
          <w:szCs w:val="24"/>
        </w:rPr>
        <w:t>）“估值方法”部分</w:t>
      </w:r>
      <w:r>
        <w:rPr>
          <w:rFonts w:ascii="Times New Roman" w:hAnsi="宋体"/>
          <w:sz w:val="24"/>
          <w:szCs w:val="24"/>
        </w:rPr>
        <w:t>增加了存托凭证的估值方法</w:t>
      </w:r>
    </w:p>
    <w:p w:rsidR="0066682D" w:rsidRDefault="0066682D" w:rsidP="0066682D">
      <w:pPr>
        <w:spacing w:line="360" w:lineRule="auto"/>
        <w:ind w:firstLineChars="200" w:firstLine="480"/>
        <w:rPr>
          <w:rFonts w:ascii="Times New Roman" w:hAnsi="宋体"/>
          <w:sz w:val="24"/>
          <w:szCs w:val="24"/>
        </w:rPr>
      </w:pPr>
      <w:r w:rsidRPr="009645E9">
        <w:rPr>
          <w:rFonts w:ascii="Times New Roman" w:hAnsi="宋体" w:hint="eastAsia"/>
          <w:sz w:val="24"/>
          <w:szCs w:val="24"/>
        </w:rPr>
        <w:t>以宝盈睿丰创新灵活配置混合型证券投资基金为例，</w:t>
      </w:r>
      <w:r>
        <w:rPr>
          <w:rFonts w:ascii="Times New Roman" w:hAnsi="宋体" w:hint="eastAsia"/>
          <w:sz w:val="24"/>
          <w:szCs w:val="24"/>
        </w:rPr>
        <w:t>估值方法</w:t>
      </w:r>
      <w:r>
        <w:rPr>
          <w:rFonts w:ascii="Times New Roman" w:hAnsi="宋体"/>
          <w:sz w:val="24"/>
          <w:szCs w:val="24"/>
        </w:rPr>
        <w:t>增加</w:t>
      </w:r>
      <w:r>
        <w:rPr>
          <w:rFonts w:ascii="Times New Roman" w:hAnsi="宋体" w:hint="eastAsia"/>
          <w:sz w:val="24"/>
          <w:szCs w:val="24"/>
        </w:rPr>
        <w:t>内容如下</w:t>
      </w:r>
      <w:r>
        <w:rPr>
          <w:rFonts w:ascii="Times New Roman" w:hAnsi="宋体"/>
          <w:sz w:val="24"/>
          <w:szCs w:val="24"/>
        </w:rPr>
        <w:t>：</w:t>
      </w:r>
    </w:p>
    <w:p w:rsidR="0066682D" w:rsidRDefault="0066682D" w:rsidP="0066682D">
      <w:pPr>
        <w:spacing w:line="360" w:lineRule="auto"/>
        <w:ind w:firstLineChars="200" w:firstLine="480"/>
        <w:rPr>
          <w:rFonts w:ascii="Times New Roman" w:hAnsi="宋体"/>
          <w:sz w:val="24"/>
          <w:szCs w:val="24"/>
        </w:rPr>
      </w:pPr>
      <w:r w:rsidRPr="0066682D">
        <w:rPr>
          <w:rFonts w:ascii="Times New Roman" w:hAnsi="宋体"/>
          <w:sz w:val="24"/>
          <w:szCs w:val="24"/>
        </w:rPr>
        <w:t>“</w:t>
      </w:r>
      <w:r w:rsidR="001B6AA8" w:rsidRPr="001B6AA8">
        <w:rPr>
          <w:rFonts w:ascii="Times New Roman" w:hAnsi="宋体"/>
          <w:sz w:val="24"/>
          <w:szCs w:val="24"/>
        </w:rPr>
        <w:t>7</w:t>
      </w:r>
      <w:r w:rsidR="001B6AA8" w:rsidRPr="001B6AA8">
        <w:rPr>
          <w:rFonts w:ascii="Times New Roman" w:hAnsi="宋体"/>
          <w:sz w:val="24"/>
          <w:szCs w:val="24"/>
        </w:rPr>
        <w:t>、</w:t>
      </w:r>
      <w:r w:rsidR="001B6AA8" w:rsidRPr="001B6AA8">
        <w:rPr>
          <w:rFonts w:ascii="Times New Roman" w:hAnsi="宋体" w:hint="eastAsia"/>
          <w:sz w:val="24"/>
          <w:szCs w:val="24"/>
        </w:rPr>
        <w:t>本基金投资存托凭证的估值核算，依照境内上市交易的股票执行。</w:t>
      </w:r>
      <w:r w:rsidRPr="0066682D">
        <w:rPr>
          <w:rFonts w:ascii="Times New Roman" w:hAnsi="宋体"/>
          <w:sz w:val="24"/>
          <w:szCs w:val="24"/>
        </w:rPr>
        <w:t>”</w:t>
      </w:r>
    </w:p>
    <w:p w:rsidR="0066682D" w:rsidRDefault="0066682D" w:rsidP="0066682D">
      <w:pPr>
        <w:spacing w:line="360" w:lineRule="auto"/>
        <w:ind w:firstLineChars="200" w:firstLine="480"/>
        <w:rPr>
          <w:rFonts w:ascii="Times New Roman" w:hAnsi="宋体"/>
          <w:sz w:val="24"/>
          <w:szCs w:val="24"/>
        </w:rPr>
      </w:pPr>
      <w:r>
        <w:rPr>
          <w:rFonts w:ascii="Times New Roman" w:hAnsi="宋体" w:hint="eastAsia"/>
          <w:sz w:val="24"/>
          <w:szCs w:val="24"/>
        </w:rPr>
        <w:t>（</w:t>
      </w:r>
      <w:r>
        <w:rPr>
          <w:rFonts w:ascii="Times New Roman" w:hAnsi="宋体" w:hint="eastAsia"/>
          <w:sz w:val="24"/>
          <w:szCs w:val="24"/>
        </w:rPr>
        <w:t>5</w:t>
      </w:r>
      <w:r>
        <w:rPr>
          <w:rFonts w:ascii="Times New Roman" w:hAnsi="宋体" w:hint="eastAsia"/>
          <w:sz w:val="24"/>
          <w:szCs w:val="24"/>
        </w:rPr>
        <w:t>）基金</w:t>
      </w:r>
      <w:r>
        <w:rPr>
          <w:rFonts w:ascii="Times New Roman" w:hAnsi="宋体"/>
          <w:sz w:val="24"/>
          <w:szCs w:val="24"/>
        </w:rPr>
        <w:t>合同增加了基金投资存托凭证的风险提示内容</w:t>
      </w:r>
    </w:p>
    <w:p w:rsidR="0066682D" w:rsidRPr="0066682D" w:rsidRDefault="0066682D" w:rsidP="0066682D">
      <w:pPr>
        <w:spacing w:line="360" w:lineRule="auto"/>
        <w:ind w:firstLineChars="200" w:firstLine="480"/>
        <w:rPr>
          <w:rFonts w:ascii="Times New Roman" w:hAnsi="宋体"/>
          <w:sz w:val="24"/>
          <w:szCs w:val="24"/>
        </w:rPr>
      </w:pPr>
      <w:r w:rsidRPr="009645E9">
        <w:rPr>
          <w:rFonts w:ascii="Times New Roman" w:hAnsi="宋体" w:hint="eastAsia"/>
          <w:sz w:val="24"/>
          <w:szCs w:val="24"/>
        </w:rPr>
        <w:t>以宝盈睿丰创新灵活配置混合型证券投资基金为例，</w:t>
      </w:r>
      <w:r>
        <w:rPr>
          <w:rFonts w:ascii="Times New Roman" w:hAnsi="宋体" w:hint="eastAsia"/>
          <w:sz w:val="24"/>
          <w:szCs w:val="24"/>
        </w:rPr>
        <w:t>基金</w:t>
      </w:r>
      <w:r>
        <w:rPr>
          <w:rFonts w:ascii="Times New Roman" w:hAnsi="宋体"/>
          <w:sz w:val="24"/>
          <w:szCs w:val="24"/>
        </w:rPr>
        <w:t>合同</w:t>
      </w:r>
      <w:r w:rsidR="007A06BA">
        <w:rPr>
          <w:rFonts w:ascii="Times New Roman" w:hAnsi="宋体" w:hint="eastAsia"/>
          <w:sz w:val="24"/>
          <w:szCs w:val="24"/>
        </w:rPr>
        <w:t>“前言”部分</w:t>
      </w:r>
      <w:r>
        <w:rPr>
          <w:rFonts w:ascii="Times New Roman" w:hAnsi="宋体"/>
          <w:sz w:val="24"/>
          <w:szCs w:val="24"/>
        </w:rPr>
        <w:t>新增的风险提示</w:t>
      </w:r>
      <w:r>
        <w:rPr>
          <w:rFonts w:ascii="Times New Roman" w:hAnsi="宋体" w:hint="eastAsia"/>
          <w:sz w:val="24"/>
          <w:szCs w:val="24"/>
        </w:rPr>
        <w:t>内容如下</w:t>
      </w:r>
      <w:r>
        <w:rPr>
          <w:rFonts w:ascii="Times New Roman" w:hAnsi="宋体"/>
          <w:sz w:val="24"/>
          <w:szCs w:val="24"/>
        </w:rPr>
        <w:t>：</w:t>
      </w:r>
    </w:p>
    <w:p w:rsidR="00403954" w:rsidRDefault="0066682D" w:rsidP="00B6639E">
      <w:pPr>
        <w:spacing w:line="360" w:lineRule="auto"/>
        <w:ind w:firstLineChars="200" w:firstLine="480"/>
        <w:rPr>
          <w:rFonts w:ascii="Times New Roman" w:hAnsi="宋体"/>
          <w:sz w:val="24"/>
          <w:szCs w:val="24"/>
        </w:rPr>
      </w:pPr>
      <w:r>
        <w:rPr>
          <w:rFonts w:ascii="Times New Roman" w:hAnsi="宋体" w:hint="eastAsia"/>
          <w:sz w:val="24"/>
          <w:szCs w:val="24"/>
        </w:rPr>
        <w:t>“</w:t>
      </w:r>
      <w:r w:rsidRPr="0066682D">
        <w:rPr>
          <w:rFonts w:ascii="Times New Roman" w:hAnsi="宋体" w:hint="eastAsia"/>
          <w:sz w:val="24"/>
          <w:szCs w:val="24"/>
        </w:rPr>
        <w:t>七</w:t>
      </w:r>
      <w:r w:rsidRPr="0066682D">
        <w:rPr>
          <w:rFonts w:ascii="Times New Roman" w:hAnsi="宋体"/>
          <w:sz w:val="24"/>
          <w:szCs w:val="24"/>
        </w:rPr>
        <w:t>、</w:t>
      </w:r>
      <w:r w:rsidR="00D67483" w:rsidRPr="00D67483">
        <w:rPr>
          <w:rFonts w:ascii="Times New Roman" w:hAnsi="宋体"/>
          <w:sz w:val="24"/>
          <w:szCs w:val="24"/>
        </w:rPr>
        <w:t>本基金的投资范围包括存托凭证，除与其他可投资于沪深市场股票的基金所面临的共同风险外，本基金还可能面临中国存托凭证价格大幅波动甚至出现较大亏损的风险、与中国存托凭证发行机制相关的风险等投资存托凭证的特殊风险，详见本基金招募说明书。</w:t>
      </w:r>
      <w:r>
        <w:rPr>
          <w:rFonts w:ascii="Times New Roman" w:hAnsi="宋体" w:hint="eastAsia"/>
          <w:sz w:val="24"/>
          <w:szCs w:val="24"/>
        </w:rPr>
        <w:t>”</w:t>
      </w:r>
    </w:p>
    <w:p w:rsidR="00980390" w:rsidRDefault="00980390" w:rsidP="00980390">
      <w:pPr>
        <w:spacing w:line="360" w:lineRule="auto"/>
        <w:ind w:firstLineChars="200" w:firstLine="480"/>
        <w:rPr>
          <w:rFonts w:ascii="Times New Roman" w:hAnsi="宋体"/>
          <w:sz w:val="24"/>
          <w:szCs w:val="24"/>
        </w:rPr>
      </w:pPr>
      <w:r>
        <w:rPr>
          <w:rFonts w:ascii="Times New Roman" w:hAnsi="宋体"/>
          <w:sz w:val="24"/>
          <w:szCs w:val="24"/>
        </w:rPr>
        <w:t>2</w:t>
      </w:r>
      <w:r>
        <w:rPr>
          <w:rFonts w:ascii="Times New Roman" w:hAnsi="宋体" w:hint="eastAsia"/>
          <w:sz w:val="24"/>
          <w:szCs w:val="24"/>
        </w:rPr>
        <w:t>、托管协议</w:t>
      </w:r>
      <w:r>
        <w:rPr>
          <w:rFonts w:ascii="Times New Roman" w:hAnsi="宋体"/>
          <w:sz w:val="24"/>
          <w:szCs w:val="24"/>
        </w:rPr>
        <w:t>涉及修改内容</w:t>
      </w:r>
    </w:p>
    <w:p w:rsidR="00980390" w:rsidRPr="00980390" w:rsidRDefault="00980390" w:rsidP="00B6639E">
      <w:pPr>
        <w:spacing w:line="360" w:lineRule="auto"/>
        <w:ind w:firstLineChars="200" w:firstLine="480"/>
        <w:rPr>
          <w:rFonts w:ascii="Times New Roman" w:hAnsi="宋体"/>
          <w:sz w:val="24"/>
          <w:szCs w:val="24"/>
        </w:rPr>
      </w:pPr>
      <w:r>
        <w:rPr>
          <w:rFonts w:ascii="Times New Roman" w:hAnsi="宋体" w:hint="eastAsia"/>
          <w:sz w:val="24"/>
          <w:szCs w:val="24"/>
        </w:rPr>
        <w:t>各</w:t>
      </w:r>
      <w:r>
        <w:rPr>
          <w:rFonts w:ascii="Times New Roman" w:hAnsi="宋体"/>
          <w:sz w:val="24"/>
          <w:szCs w:val="24"/>
        </w:rPr>
        <w:t>基金托管协议涉及上述内容的条款已根据</w:t>
      </w:r>
      <w:r w:rsidR="007A06BA">
        <w:rPr>
          <w:rFonts w:ascii="Times New Roman" w:hAnsi="宋体" w:hint="eastAsia"/>
          <w:sz w:val="24"/>
          <w:szCs w:val="24"/>
        </w:rPr>
        <w:t>相应</w:t>
      </w:r>
      <w:r>
        <w:rPr>
          <w:rFonts w:ascii="Times New Roman" w:hAnsi="宋体"/>
          <w:sz w:val="24"/>
          <w:szCs w:val="24"/>
        </w:rPr>
        <w:t>基金合同的修改一并调整。</w:t>
      </w:r>
    </w:p>
    <w:p w:rsidR="00980390" w:rsidRPr="005F4E68" w:rsidRDefault="005F4E68" w:rsidP="00B6639E">
      <w:pPr>
        <w:spacing w:line="360" w:lineRule="auto"/>
        <w:ind w:firstLineChars="200" w:firstLine="480"/>
        <w:rPr>
          <w:rFonts w:ascii="Times New Roman" w:hAnsi="宋体"/>
          <w:sz w:val="24"/>
          <w:szCs w:val="24"/>
        </w:rPr>
      </w:pPr>
      <w:r>
        <w:rPr>
          <w:rFonts w:ascii="Times New Roman" w:hAnsi="宋体"/>
          <w:sz w:val="24"/>
          <w:szCs w:val="24"/>
        </w:rPr>
        <w:t>3</w:t>
      </w:r>
      <w:r>
        <w:rPr>
          <w:rFonts w:ascii="Times New Roman" w:hAnsi="宋体" w:hint="eastAsia"/>
          <w:sz w:val="24"/>
          <w:szCs w:val="24"/>
        </w:rPr>
        <w:t>、</w:t>
      </w:r>
      <w:r>
        <w:rPr>
          <w:rFonts w:ascii="Times New Roman" w:hAnsi="宋体"/>
          <w:sz w:val="24"/>
          <w:szCs w:val="24"/>
        </w:rPr>
        <w:t>本次修</w:t>
      </w:r>
      <w:r>
        <w:rPr>
          <w:rFonts w:ascii="Times New Roman" w:hAnsi="宋体" w:hint="eastAsia"/>
          <w:sz w:val="24"/>
          <w:szCs w:val="24"/>
        </w:rPr>
        <w:t>改</w:t>
      </w:r>
      <w:r>
        <w:rPr>
          <w:rFonts w:ascii="Times New Roman" w:hAnsi="宋体"/>
          <w:sz w:val="24"/>
          <w:szCs w:val="24"/>
        </w:rPr>
        <w:t>对基金份额持有人利益无实质性不利影响，并已履行规定程序，</w:t>
      </w:r>
      <w:r>
        <w:rPr>
          <w:rFonts w:ascii="Times New Roman" w:hAnsi="宋体" w:hint="eastAsia"/>
          <w:sz w:val="24"/>
          <w:szCs w:val="24"/>
        </w:rPr>
        <w:t>符合</w:t>
      </w:r>
      <w:r>
        <w:rPr>
          <w:rFonts w:ascii="Times New Roman" w:hAnsi="宋体"/>
          <w:sz w:val="24"/>
          <w:szCs w:val="24"/>
        </w:rPr>
        <w:t>相关法律法规及</w:t>
      </w:r>
      <w:r w:rsidR="007A06BA">
        <w:rPr>
          <w:rFonts w:ascii="Times New Roman" w:hAnsi="宋体"/>
          <w:sz w:val="24"/>
          <w:szCs w:val="24"/>
        </w:rPr>
        <w:t>各基金</w:t>
      </w:r>
      <w:r>
        <w:rPr>
          <w:rFonts w:ascii="Times New Roman" w:hAnsi="宋体"/>
          <w:sz w:val="24"/>
          <w:szCs w:val="24"/>
        </w:rPr>
        <w:t>基金合同的规定。</w:t>
      </w:r>
    </w:p>
    <w:p w:rsidR="002828D6" w:rsidRPr="002828D6" w:rsidRDefault="00520D37" w:rsidP="002828D6">
      <w:pPr>
        <w:pStyle w:val="a8"/>
        <w:numPr>
          <w:ilvl w:val="0"/>
          <w:numId w:val="1"/>
        </w:numPr>
        <w:spacing w:line="360" w:lineRule="auto"/>
        <w:ind w:left="0" w:firstLine="480"/>
        <w:rPr>
          <w:rFonts w:ascii="Times New Roman" w:eastAsiaTheme="minorEastAsia" w:hAnsi="Times New Roman"/>
          <w:sz w:val="24"/>
          <w:szCs w:val="24"/>
        </w:rPr>
      </w:pPr>
      <w:r w:rsidRPr="002828D6">
        <w:rPr>
          <w:rFonts w:ascii="Times New Roman" w:eastAsiaTheme="minorEastAsia" w:hAnsi="Times New Roman"/>
          <w:sz w:val="24"/>
          <w:szCs w:val="24"/>
        </w:rPr>
        <w:t>上述基金合同、托管协议的修改</w:t>
      </w:r>
      <w:r w:rsidR="002828D6" w:rsidRPr="002828D6">
        <w:rPr>
          <w:rFonts w:ascii="Times New Roman" w:eastAsiaTheme="minorEastAsia" w:hAnsi="Times New Roman"/>
          <w:sz w:val="24"/>
          <w:szCs w:val="24"/>
        </w:rPr>
        <w:t>自</w:t>
      </w:r>
      <w:r w:rsidR="007A06BA" w:rsidRPr="00B6639E">
        <w:rPr>
          <w:rFonts w:ascii="Times New Roman" w:hAnsi="宋体"/>
          <w:sz w:val="24"/>
          <w:szCs w:val="24"/>
        </w:rPr>
        <w:t>2020</w:t>
      </w:r>
      <w:r w:rsidR="007A06BA" w:rsidRPr="00B6639E">
        <w:rPr>
          <w:rFonts w:ascii="Times New Roman" w:hAnsi="宋体" w:hint="eastAsia"/>
          <w:sz w:val="24"/>
          <w:szCs w:val="24"/>
        </w:rPr>
        <w:t>年</w:t>
      </w:r>
      <w:r w:rsidR="0094133C">
        <w:rPr>
          <w:rFonts w:ascii="Times New Roman" w:hAnsi="宋体"/>
          <w:sz w:val="24"/>
          <w:szCs w:val="24"/>
        </w:rPr>
        <w:t>11</w:t>
      </w:r>
      <w:r w:rsidR="007A06BA" w:rsidRPr="00B6639E">
        <w:rPr>
          <w:rFonts w:ascii="Times New Roman" w:hAnsi="宋体" w:hint="eastAsia"/>
          <w:sz w:val="24"/>
          <w:szCs w:val="24"/>
        </w:rPr>
        <w:t>月</w:t>
      </w:r>
      <w:r w:rsidR="0094133C">
        <w:rPr>
          <w:rFonts w:ascii="Times New Roman" w:hAnsi="宋体"/>
          <w:sz w:val="24"/>
          <w:szCs w:val="24"/>
        </w:rPr>
        <w:t>25</w:t>
      </w:r>
      <w:r w:rsidR="007A06BA">
        <w:rPr>
          <w:rFonts w:ascii="Times New Roman" w:hAnsi="宋体" w:hint="eastAsia"/>
          <w:sz w:val="24"/>
          <w:szCs w:val="24"/>
        </w:rPr>
        <w:t>日</w:t>
      </w:r>
      <w:r w:rsidR="002828D6" w:rsidRPr="002828D6">
        <w:rPr>
          <w:rFonts w:ascii="Times New Roman" w:eastAsiaTheme="minorEastAsia" w:hAnsi="Times New Roman"/>
          <w:sz w:val="24"/>
          <w:szCs w:val="24"/>
        </w:rPr>
        <w:t>起</w:t>
      </w:r>
      <w:r w:rsidRPr="002828D6">
        <w:rPr>
          <w:rFonts w:ascii="Times New Roman" w:eastAsiaTheme="minorEastAsia" w:hAnsi="Times New Roman"/>
          <w:sz w:val="24"/>
          <w:szCs w:val="24"/>
        </w:rPr>
        <w:t>生效，修改后各基金</w:t>
      </w:r>
      <w:r w:rsidR="002828D6" w:rsidRPr="002828D6">
        <w:rPr>
          <w:rFonts w:ascii="Times New Roman" w:eastAsiaTheme="minorEastAsia" w:hAnsi="Times New Roman"/>
          <w:sz w:val="24"/>
          <w:szCs w:val="24"/>
        </w:rPr>
        <w:t>的</w:t>
      </w:r>
      <w:r w:rsidRPr="002828D6">
        <w:rPr>
          <w:rFonts w:ascii="Times New Roman" w:eastAsiaTheme="minorEastAsia" w:hAnsi="Times New Roman"/>
          <w:sz w:val="24"/>
          <w:szCs w:val="24"/>
        </w:rPr>
        <w:t>基金合同、托管协议文本将</w:t>
      </w:r>
      <w:r w:rsidR="002828D6" w:rsidRPr="002828D6">
        <w:rPr>
          <w:rFonts w:ascii="Times New Roman" w:eastAsiaTheme="minorEastAsia" w:hAnsi="Times New Roman"/>
          <w:sz w:val="24"/>
          <w:szCs w:val="24"/>
        </w:rPr>
        <w:t>于</w:t>
      </w:r>
      <w:r w:rsidR="00732AFE">
        <w:rPr>
          <w:rFonts w:ascii="Times New Roman" w:eastAsiaTheme="minorEastAsia" w:hAnsi="Times New Roman" w:hint="eastAsia"/>
          <w:sz w:val="24"/>
          <w:szCs w:val="24"/>
        </w:rPr>
        <w:t>同</w:t>
      </w:r>
      <w:r w:rsidR="002828D6" w:rsidRPr="002828D6">
        <w:rPr>
          <w:rFonts w:ascii="Times New Roman" w:eastAsiaTheme="minorEastAsia" w:hAnsi="Times New Roman"/>
          <w:sz w:val="24"/>
          <w:szCs w:val="24"/>
        </w:rPr>
        <w:t>日在本公司网站和中国证监会基金电子披露网站</w:t>
      </w:r>
      <w:r w:rsidR="00914117">
        <w:rPr>
          <w:rFonts w:ascii="Times New Roman" w:eastAsiaTheme="minorEastAsia" w:hAnsi="Times New Roman"/>
          <w:sz w:val="24"/>
          <w:szCs w:val="24"/>
        </w:rPr>
        <w:t>等规定网站</w:t>
      </w:r>
      <w:r w:rsidR="002828D6" w:rsidRPr="002828D6">
        <w:rPr>
          <w:rFonts w:ascii="Times New Roman" w:eastAsiaTheme="minorEastAsia" w:hAnsi="Times New Roman"/>
          <w:sz w:val="24"/>
          <w:szCs w:val="24"/>
        </w:rPr>
        <w:t>披露</w:t>
      </w:r>
      <w:r w:rsidRPr="002828D6">
        <w:rPr>
          <w:rFonts w:ascii="Times New Roman" w:eastAsiaTheme="minorEastAsia" w:hAnsi="Times New Roman"/>
          <w:sz w:val="24"/>
          <w:szCs w:val="24"/>
        </w:rPr>
        <w:t>。</w:t>
      </w:r>
      <w:r w:rsidR="002828D6" w:rsidRPr="002828D6">
        <w:rPr>
          <w:rFonts w:ascii="Times New Roman" w:eastAsiaTheme="minorEastAsia" w:hAnsi="Times New Roman"/>
          <w:sz w:val="24"/>
          <w:szCs w:val="24"/>
        </w:rPr>
        <w:t>同时，根据</w:t>
      </w:r>
      <w:r w:rsidRPr="002828D6">
        <w:rPr>
          <w:rFonts w:ascii="Times New Roman" w:eastAsiaTheme="minorEastAsia" w:hAnsi="Times New Roman"/>
          <w:sz w:val="24"/>
          <w:szCs w:val="24"/>
        </w:rPr>
        <w:t>《公开募集证券投资基金信息披露管理</w:t>
      </w:r>
      <w:r w:rsidRPr="002828D6">
        <w:rPr>
          <w:rFonts w:ascii="Times New Roman" w:eastAsiaTheme="minorEastAsia" w:hAnsi="Times New Roman"/>
          <w:sz w:val="24"/>
          <w:szCs w:val="24"/>
        </w:rPr>
        <w:lastRenderedPageBreak/>
        <w:t>办法》</w:t>
      </w:r>
      <w:r w:rsidR="00914117">
        <w:rPr>
          <w:rFonts w:ascii="Times New Roman" w:eastAsiaTheme="minorEastAsia" w:hAnsi="Times New Roman"/>
          <w:sz w:val="24"/>
          <w:szCs w:val="24"/>
        </w:rPr>
        <w:t>等法律法规</w:t>
      </w:r>
      <w:r w:rsidRPr="002828D6">
        <w:rPr>
          <w:rFonts w:ascii="Times New Roman" w:eastAsiaTheme="minorEastAsia" w:hAnsi="Times New Roman"/>
          <w:sz w:val="24"/>
          <w:szCs w:val="24"/>
        </w:rPr>
        <w:t>的有关规定</w:t>
      </w:r>
      <w:r w:rsidR="002828D6" w:rsidRPr="002828D6">
        <w:rPr>
          <w:rFonts w:ascii="Times New Roman" w:eastAsiaTheme="minorEastAsia" w:hAnsi="Times New Roman"/>
          <w:sz w:val="24"/>
          <w:szCs w:val="24"/>
        </w:rPr>
        <w:t>，本公司将在三个工作日内相应更新</w:t>
      </w:r>
      <w:r w:rsidR="00914117">
        <w:rPr>
          <w:rFonts w:ascii="Times New Roman" w:eastAsiaTheme="minorEastAsia" w:hAnsi="Times New Roman" w:hint="eastAsia"/>
          <w:sz w:val="24"/>
          <w:szCs w:val="24"/>
        </w:rPr>
        <w:t>各基金的</w:t>
      </w:r>
      <w:r w:rsidR="002828D6" w:rsidRPr="002828D6">
        <w:rPr>
          <w:rFonts w:ascii="Times New Roman" w:eastAsiaTheme="minorEastAsia" w:hAnsi="Times New Roman"/>
          <w:sz w:val="24"/>
          <w:szCs w:val="24"/>
        </w:rPr>
        <w:t>招募说明书</w:t>
      </w:r>
      <w:r w:rsidR="00732AFE" w:rsidRPr="00732AFE">
        <w:rPr>
          <w:rFonts w:ascii="Times New Roman" w:eastAsiaTheme="minorEastAsia" w:hAnsi="Times New Roman" w:hint="eastAsia"/>
          <w:sz w:val="24"/>
          <w:szCs w:val="24"/>
        </w:rPr>
        <w:t>和基金产品资料概要</w:t>
      </w:r>
      <w:r w:rsidR="002828D6" w:rsidRPr="002828D6">
        <w:rPr>
          <w:rFonts w:ascii="Times New Roman" w:eastAsiaTheme="minorEastAsia" w:hAnsi="Times New Roman"/>
          <w:sz w:val="24"/>
          <w:szCs w:val="24"/>
        </w:rPr>
        <w:t>，并登载在本公司网站和中国证监会基金电子披露网站</w:t>
      </w:r>
      <w:r w:rsidR="00914117">
        <w:rPr>
          <w:rFonts w:ascii="Times New Roman" w:eastAsiaTheme="minorEastAsia" w:hAnsi="Times New Roman"/>
          <w:sz w:val="24"/>
          <w:szCs w:val="24"/>
        </w:rPr>
        <w:t>等规定网站</w:t>
      </w:r>
      <w:r w:rsidR="002828D6" w:rsidRPr="002828D6">
        <w:rPr>
          <w:rFonts w:ascii="Times New Roman" w:eastAsiaTheme="minorEastAsia" w:hAnsi="Times New Roman"/>
          <w:sz w:val="24"/>
          <w:szCs w:val="24"/>
        </w:rPr>
        <w:t>。本公司网站和中国证监会基金电子披露网站网址如下：</w:t>
      </w:r>
    </w:p>
    <w:p w:rsidR="002828D6" w:rsidRPr="002828D6" w:rsidRDefault="002828D6" w:rsidP="002828D6">
      <w:pPr>
        <w:spacing w:line="360" w:lineRule="auto"/>
        <w:ind w:firstLineChars="200" w:firstLine="480"/>
        <w:rPr>
          <w:rFonts w:ascii="Times New Roman" w:eastAsiaTheme="minorEastAsia" w:hAnsi="Times New Roman"/>
          <w:sz w:val="24"/>
          <w:szCs w:val="24"/>
        </w:rPr>
      </w:pPr>
      <w:r w:rsidRPr="002828D6">
        <w:rPr>
          <w:rFonts w:ascii="Times New Roman" w:eastAsiaTheme="minorEastAsia" w:hAnsi="Times New Roman"/>
          <w:sz w:val="24"/>
          <w:szCs w:val="24"/>
        </w:rPr>
        <w:t>本公司网站网址：</w:t>
      </w:r>
      <w:hyperlink r:id="rId7" w:history="1">
        <w:r w:rsidRPr="002828D6">
          <w:rPr>
            <w:rStyle w:val="a5"/>
            <w:rFonts w:ascii="Times New Roman" w:eastAsiaTheme="minorEastAsia" w:hAnsi="Times New Roman"/>
            <w:sz w:val="24"/>
            <w:szCs w:val="24"/>
          </w:rPr>
          <w:t>http://www.byfunds.com</w:t>
        </w:r>
      </w:hyperlink>
    </w:p>
    <w:p w:rsidR="002828D6" w:rsidRPr="002828D6" w:rsidRDefault="002828D6" w:rsidP="002828D6">
      <w:pPr>
        <w:spacing w:line="360" w:lineRule="auto"/>
        <w:ind w:firstLineChars="200" w:firstLine="480"/>
        <w:rPr>
          <w:rFonts w:ascii="Times New Roman" w:eastAsiaTheme="minorEastAsia" w:hAnsi="Times New Roman"/>
          <w:sz w:val="24"/>
          <w:szCs w:val="24"/>
        </w:rPr>
      </w:pPr>
      <w:r w:rsidRPr="002828D6">
        <w:rPr>
          <w:rFonts w:ascii="Times New Roman" w:eastAsiaTheme="minorEastAsia" w:hAnsi="Times New Roman"/>
          <w:sz w:val="24"/>
          <w:szCs w:val="24"/>
        </w:rPr>
        <w:t>中国证监会基金电子披露网站网址：</w:t>
      </w:r>
      <w:hyperlink r:id="rId8" w:history="1">
        <w:r w:rsidRPr="002828D6">
          <w:rPr>
            <w:rStyle w:val="a5"/>
            <w:rFonts w:ascii="Times New Roman" w:eastAsiaTheme="minorEastAsia" w:hAnsi="Times New Roman"/>
            <w:sz w:val="24"/>
            <w:szCs w:val="24"/>
          </w:rPr>
          <w:t>http://eid.csrc.gov.cn/fund</w:t>
        </w:r>
      </w:hyperlink>
    </w:p>
    <w:p w:rsidR="002828D6" w:rsidRPr="00F95624" w:rsidRDefault="002828D6" w:rsidP="002828D6">
      <w:pPr>
        <w:spacing w:line="360" w:lineRule="auto"/>
        <w:ind w:firstLineChars="200" w:firstLine="480"/>
        <w:rPr>
          <w:rFonts w:ascii="Times New Roman" w:hAnsi="宋体"/>
          <w:sz w:val="24"/>
          <w:szCs w:val="24"/>
        </w:rPr>
      </w:pPr>
    </w:p>
    <w:p w:rsidR="002828D6" w:rsidRPr="00BE027B" w:rsidRDefault="002828D6" w:rsidP="002828D6">
      <w:pPr>
        <w:spacing w:line="360" w:lineRule="auto"/>
        <w:ind w:firstLineChars="200" w:firstLine="480"/>
        <w:rPr>
          <w:rFonts w:ascii="Times New Roman" w:hAnsi="宋体"/>
          <w:sz w:val="24"/>
          <w:szCs w:val="24"/>
        </w:rPr>
      </w:pPr>
      <w:r w:rsidRPr="008957D6">
        <w:rPr>
          <w:rFonts w:ascii="Times New Roman" w:hAnsi="宋体"/>
          <w:sz w:val="24"/>
          <w:szCs w:val="24"/>
        </w:rPr>
        <w:t>投资者可登陆本公司网站查询相关信息或拨打客户服务电话（</w:t>
      </w:r>
      <w:r w:rsidRPr="00BE027B">
        <w:rPr>
          <w:rFonts w:ascii="Times New Roman" w:hAnsi="宋体"/>
          <w:sz w:val="24"/>
          <w:szCs w:val="24"/>
        </w:rPr>
        <w:t>400-8888-300</w:t>
      </w:r>
      <w:r w:rsidRPr="008957D6">
        <w:rPr>
          <w:rFonts w:ascii="Times New Roman" w:hAnsi="宋体"/>
          <w:sz w:val="24"/>
          <w:szCs w:val="24"/>
        </w:rPr>
        <w:t>）咨询相关事宜。</w:t>
      </w:r>
    </w:p>
    <w:p w:rsidR="002828D6" w:rsidRDefault="002828D6" w:rsidP="002828D6">
      <w:pPr>
        <w:spacing w:line="360" w:lineRule="auto"/>
        <w:ind w:firstLineChars="200" w:firstLine="480"/>
        <w:rPr>
          <w:rFonts w:ascii="Times New Roman" w:hAnsi="宋体"/>
          <w:sz w:val="24"/>
          <w:szCs w:val="24"/>
        </w:rPr>
      </w:pPr>
      <w:r w:rsidRPr="00BE027B">
        <w:rPr>
          <w:rFonts w:ascii="Times New Roman" w:hAnsi="宋体" w:hint="eastAsia"/>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828D6" w:rsidRDefault="002828D6" w:rsidP="002828D6">
      <w:pPr>
        <w:spacing w:line="360" w:lineRule="auto"/>
        <w:ind w:firstLineChars="200" w:firstLine="480"/>
        <w:rPr>
          <w:rFonts w:ascii="Times New Roman" w:hAnsi="宋体"/>
          <w:sz w:val="24"/>
          <w:szCs w:val="24"/>
        </w:rPr>
      </w:pPr>
    </w:p>
    <w:p w:rsidR="002828D6" w:rsidRPr="00BE027B" w:rsidRDefault="002828D6" w:rsidP="002828D6">
      <w:pPr>
        <w:spacing w:line="360" w:lineRule="auto"/>
        <w:ind w:firstLineChars="200" w:firstLine="480"/>
        <w:rPr>
          <w:rFonts w:ascii="Times New Roman" w:hAnsi="宋体"/>
          <w:sz w:val="24"/>
          <w:szCs w:val="24"/>
        </w:rPr>
      </w:pPr>
      <w:r w:rsidRPr="000A1849">
        <w:rPr>
          <w:rFonts w:ascii="Times New Roman" w:hAnsi="宋体"/>
          <w:sz w:val="24"/>
          <w:szCs w:val="24"/>
        </w:rPr>
        <w:t>附件</w:t>
      </w:r>
      <w:r>
        <w:rPr>
          <w:rFonts w:ascii="Times New Roman" w:hAnsi="宋体" w:hint="eastAsia"/>
          <w:sz w:val="24"/>
          <w:szCs w:val="24"/>
        </w:rPr>
        <w:t>：</w:t>
      </w:r>
      <w:r w:rsidR="007C095D">
        <w:rPr>
          <w:rFonts w:ascii="Cambria Math" w:hAnsi="Cambria Math" w:hint="eastAsia"/>
          <w:sz w:val="24"/>
          <w:szCs w:val="24"/>
        </w:rPr>
        <w:t>本次涉及</w:t>
      </w:r>
      <w:r w:rsidR="007C095D">
        <w:rPr>
          <w:rFonts w:ascii="Cambria Math" w:hAnsi="Cambria Math"/>
          <w:sz w:val="24"/>
          <w:szCs w:val="24"/>
        </w:rPr>
        <w:t>修改的基金名单</w:t>
      </w:r>
    </w:p>
    <w:p w:rsidR="002828D6" w:rsidRPr="00BE027B" w:rsidRDefault="002828D6" w:rsidP="002828D6">
      <w:pPr>
        <w:spacing w:line="360" w:lineRule="auto"/>
        <w:ind w:firstLineChars="200" w:firstLine="480"/>
        <w:rPr>
          <w:rFonts w:ascii="Times New Roman" w:hAnsi="宋体"/>
          <w:sz w:val="24"/>
          <w:szCs w:val="24"/>
        </w:rPr>
      </w:pPr>
    </w:p>
    <w:p w:rsidR="002828D6" w:rsidRDefault="002828D6" w:rsidP="002828D6">
      <w:pPr>
        <w:spacing w:line="360" w:lineRule="auto"/>
        <w:ind w:firstLineChars="200" w:firstLine="480"/>
        <w:rPr>
          <w:rFonts w:ascii="Times New Roman" w:hAnsi="宋体"/>
          <w:sz w:val="24"/>
          <w:szCs w:val="24"/>
        </w:rPr>
      </w:pPr>
      <w:r w:rsidRPr="008957D6">
        <w:rPr>
          <w:rFonts w:ascii="Times New Roman" w:hAnsi="宋体"/>
          <w:sz w:val="24"/>
          <w:szCs w:val="24"/>
        </w:rPr>
        <w:t>特此公告。</w:t>
      </w:r>
    </w:p>
    <w:p w:rsidR="00382177" w:rsidRDefault="00382177" w:rsidP="002828D6">
      <w:pPr>
        <w:spacing w:line="360" w:lineRule="auto"/>
        <w:ind w:firstLineChars="200" w:firstLine="480"/>
        <w:rPr>
          <w:rFonts w:ascii="Times New Roman" w:hAnsi="宋体"/>
          <w:sz w:val="24"/>
          <w:szCs w:val="24"/>
        </w:rPr>
      </w:pPr>
    </w:p>
    <w:p w:rsidR="00382177" w:rsidRPr="00BE027B" w:rsidRDefault="00382177" w:rsidP="002828D6">
      <w:pPr>
        <w:spacing w:line="360" w:lineRule="auto"/>
        <w:ind w:firstLineChars="200" w:firstLine="480"/>
        <w:rPr>
          <w:rFonts w:ascii="Times New Roman" w:hAnsi="宋体"/>
          <w:sz w:val="24"/>
          <w:szCs w:val="24"/>
        </w:rPr>
      </w:pPr>
    </w:p>
    <w:p w:rsidR="002828D6" w:rsidRPr="002828D6" w:rsidRDefault="002828D6" w:rsidP="002828D6">
      <w:pPr>
        <w:spacing w:line="360" w:lineRule="auto"/>
        <w:jc w:val="left"/>
        <w:rPr>
          <w:rFonts w:ascii="Times New Roman" w:eastAsiaTheme="minorEastAsia" w:hAnsi="Times New Roman"/>
          <w:sz w:val="24"/>
          <w:szCs w:val="24"/>
        </w:rPr>
      </w:pPr>
    </w:p>
    <w:p w:rsidR="00DE30C4" w:rsidRPr="008957D6" w:rsidRDefault="00DE30C4" w:rsidP="00DE30C4">
      <w:pPr>
        <w:spacing w:line="360" w:lineRule="auto"/>
        <w:jc w:val="right"/>
        <w:rPr>
          <w:rFonts w:ascii="Times New Roman" w:hAnsi="Times New Roman"/>
          <w:sz w:val="24"/>
          <w:szCs w:val="24"/>
        </w:rPr>
      </w:pPr>
      <w:r w:rsidRPr="008957D6">
        <w:rPr>
          <w:rFonts w:ascii="Times New Roman" w:hAnsi="宋体"/>
          <w:sz w:val="24"/>
          <w:szCs w:val="24"/>
        </w:rPr>
        <w:t>宝盈基金管理有限公司</w:t>
      </w:r>
    </w:p>
    <w:p w:rsidR="00DE30C4" w:rsidRDefault="00B82A51" w:rsidP="00DE30C4">
      <w:pPr>
        <w:spacing w:line="360" w:lineRule="auto"/>
        <w:jc w:val="right"/>
        <w:rPr>
          <w:rFonts w:ascii="Times New Roman" w:hAnsi="宋体"/>
          <w:sz w:val="24"/>
          <w:szCs w:val="24"/>
        </w:rPr>
      </w:pPr>
      <w:r w:rsidRPr="008957D6">
        <w:rPr>
          <w:rFonts w:ascii="Times New Roman" w:hAnsi="Times New Roman"/>
          <w:sz w:val="24"/>
          <w:szCs w:val="24"/>
        </w:rPr>
        <w:t>20</w:t>
      </w:r>
      <w:r w:rsidR="00382177">
        <w:rPr>
          <w:rFonts w:ascii="Times New Roman" w:hAnsi="Times New Roman"/>
          <w:sz w:val="24"/>
          <w:szCs w:val="24"/>
        </w:rPr>
        <w:t>20</w:t>
      </w:r>
      <w:r w:rsidR="00DE30C4" w:rsidRPr="008957D6">
        <w:rPr>
          <w:rFonts w:ascii="Times New Roman" w:hAnsi="宋体"/>
          <w:sz w:val="24"/>
          <w:szCs w:val="24"/>
        </w:rPr>
        <w:t>年</w:t>
      </w:r>
      <w:r>
        <w:rPr>
          <w:rFonts w:ascii="Times New Roman" w:hAnsi="Times New Roman"/>
          <w:sz w:val="24"/>
          <w:szCs w:val="24"/>
        </w:rPr>
        <w:t>1</w:t>
      </w:r>
      <w:r w:rsidR="00382177">
        <w:rPr>
          <w:rFonts w:ascii="Times New Roman" w:hAnsi="Times New Roman"/>
          <w:sz w:val="24"/>
          <w:szCs w:val="24"/>
        </w:rPr>
        <w:t>1</w:t>
      </w:r>
      <w:r w:rsidR="00DE30C4" w:rsidRPr="008957D6">
        <w:rPr>
          <w:rFonts w:ascii="Times New Roman" w:hAnsi="宋体"/>
          <w:sz w:val="24"/>
          <w:szCs w:val="24"/>
        </w:rPr>
        <w:t>月</w:t>
      </w:r>
      <w:r w:rsidR="0094133C">
        <w:rPr>
          <w:rFonts w:ascii="Times New Roman" w:hAnsi="Times New Roman"/>
          <w:sz w:val="24"/>
          <w:szCs w:val="24"/>
        </w:rPr>
        <w:t>25</w:t>
      </w:r>
      <w:r w:rsidR="00DE30C4" w:rsidRPr="008957D6">
        <w:rPr>
          <w:rFonts w:ascii="Times New Roman" w:hAnsi="宋体"/>
          <w:sz w:val="24"/>
          <w:szCs w:val="24"/>
        </w:rPr>
        <w:t>日</w:t>
      </w:r>
    </w:p>
    <w:p w:rsidR="00DE30C4" w:rsidRDefault="00DE30C4" w:rsidP="00DE30C4">
      <w:pPr>
        <w:widowControl/>
        <w:jc w:val="left"/>
        <w:rPr>
          <w:rFonts w:ascii="黑体" w:eastAsia="黑体" w:hAnsi="黑体" w:cs="宋体"/>
          <w:color w:val="000000"/>
          <w:kern w:val="0"/>
          <w:sz w:val="24"/>
          <w:szCs w:val="24"/>
        </w:rPr>
      </w:pPr>
    </w:p>
    <w:p w:rsidR="00DE30C4" w:rsidRDefault="00DE30C4" w:rsidP="00DE30C4">
      <w:pPr>
        <w:spacing w:line="360" w:lineRule="auto"/>
        <w:jc w:val="center"/>
        <w:rPr>
          <w:rFonts w:ascii="黑体" w:eastAsia="黑体" w:hAnsi="黑体" w:cs="宋体"/>
          <w:color w:val="000000"/>
          <w:kern w:val="0"/>
          <w:sz w:val="24"/>
          <w:szCs w:val="24"/>
        </w:rPr>
        <w:sectPr w:rsidR="00DE30C4" w:rsidSect="001433B2">
          <w:footerReference w:type="default" r:id="rId9"/>
          <w:pgSz w:w="11906" w:h="16838"/>
          <w:pgMar w:top="1440" w:right="1800" w:bottom="1440" w:left="1800" w:header="851" w:footer="680" w:gutter="0"/>
          <w:cols w:space="425"/>
          <w:docGrid w:type="lines" w:linePitch="312"/>
        </w:sectPr>
      </w:pPr>
    </w:p>
    <w:p w:rsidR="00451649" w:rsidRDefault="0097749E" w:rsidP="00914117">
      <w:pPr>
        <w:ind w:firstLineChars="200" w:firstLine="480"/>
        <w:rPr>
          <w:rFonts w:ascii="Times New Roman" w:hAnsi="宋体"/>
          <w:sz w:val="24"/>
          <w:szCs w:val="24"/>
        </w:rPr>
      </w:pPr>
      <w:r w:rsidRPr="000A1849">
        <w:rPr>
          <w:rFonts w:ascii="Times New Roman" w:hAnsi="宋体"/>
          <w:sz w:val="24"/>
          <w:szCs w:val="24"/>
        </w:rPr>
        <w:t>附件</w:t>
      </w:r>
      <w:r>
        <w:rPr>
          <w:rFonts w:ascii="Times New Roman" w:hAnsi="宋体" w:hint="eastAsia"/>
          <w:sz w:val="24"/>
          <w:szCs w:val="24"/>
        </w:rPr>
        <w:t>：</w:t>
      </w:r>
      <w:r w:rsidR="00382177">
        <w:rPr>
          <w:rFonts w:ascii="Cambria Math" w:hAnsi="Cambria Math" w:hint="eastAsia"/>
          <w:sz w:val="24"/>
          <w:szCs w:val="24"/>
        </w:rPr>
        <w:t>本次涉及</w:t>
      </w:r>
      <w:r w:rsidR="00382177">
        <w:rPr>
          <w:rFonts w:ascii="Cambria Math" w:hAnsi="Cambria Math"/>
          <w:sz w:val="24"/>
          <w:szCs w:val="24"/>
        </w:rPr>
        <w:t>修改的基金名单</w:t>
      </w:r>
    </w:p>
    <w:tbl>
      <w:tblPr>
        <w:tblW w:w="5000" w:type="pct"/>
        <w:jc w:val="center"/>
        <w:tblLook w:val="04A0"/>
      </w:tblPr>
      <w:tblGrid>
        <w:gridCol w:w="1303"/>
        <w:gridCol w:w="1617"/>
        <w:gridCol w:w="5608"/>
      </w:tblGrid>
      <w:tr w:rsidR="00091EA3" w:rsidRPr="00091EA3" w:rsidTr="00091EA3">
        <w:trPr>
          <w:trHeight w:val="95"/>
          <w:jc w:val="center"/>
        </w:trPr>
        <w:tc>
          <w:tcPr>
            <w:tcW w:w="7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bookmarkStart w:id="0" w:name="_GoBack"/>
            <w:r w:rsidRPr="00091EA3">
              <w:rPr>
                <w:rFonts w:ascii="Times New Roman" w:hAnsi="Times New Roman"/>
                <w:color w:val="000000"/>
                <w:kern w:val="0"/>
                <w:szCs w:val="21"/>
              </w:rPr>
              <w:t>序号</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基金主代码</w:t>
            </w:r>
          </w:p>
        </w:tc>
        <w:tc>
          <w:tcPr>
            <w:tcW w:w="3289" w:type="pct"/>
            <w:tcBorders>
              <w:top w:val="single" w:sz="4" w:space="0" w:color="auto"/>
              <w:left w:val="nil"/>
              <w:bottom w:val="single" w:sz="4" w:space="0" w:color="auto"/>
              <w:right w:val="single" w:sz="4" w:space="0" w:color="auto"/>
            </w:tcBorders>
            <w:shd w:val="clear" w:color="000000" w:fill="FFFFFF"/>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基金名称</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213008</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宝盈资源优选混合型证券投资基金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001075</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宝盈转型动力灵活配置混合型证券投资基金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3</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213007</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宝盈增强收益债券型证券投资基金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4</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001487</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宝盈优势产业灵活配置混合型证券投资基金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5</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001915</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宝盈医疗健康沪港深股票型证券投资基金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6</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008227</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宝盈研究精选混合型证券投资基金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7</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001128</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宝盈新兴产业灵活配置混合型证券投资基金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8</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001543</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宝盈新锐灵活配置混合型证券投资基金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9</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000574</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宝盈新价值灵活配置混合型证券投资基金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10</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003715</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宝盈消费主题灵活配置混合型证券投资基金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11</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008672</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宝盈祥泽混合型证券投资基金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12</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008336</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宝盈祥裕增强回报混合型证券投资基金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13</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006398</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宝盈祥颐定期开放混合型证券投资基金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14</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001358</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宝盈祥泰混合型证券投资基金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15</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000639</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宝盈祥瑞混合型证券投资基金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16</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009419</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宝盈祥明一年定期开放混合型证券投资基金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17</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008324</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宝盈祥利稳健配置混合型证券投资基金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18</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009223</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宝盈现代服务业混合型证券投资基金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19</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000924</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宝盈先进制造灵活配置混合型证券投资基金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20</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000794</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宝盈睿丰创新灵活配置混合型证券投资基金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21</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006147</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宝盈融源可转债债券型证券投资基金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22</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005962</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宝盈人工智能主题股票型证券投资基金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23</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006675</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宝盈品牌消费股票型证券投资基金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24</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008303</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宝盈龙头优选股票型证券投资基金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25</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000698</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宝盈科技</w:t>
            </w:r>
            <w:r w:rsidRPr="00091EA3">
              <w:rPr>
                <w:rFonts w:ascii="Times New Roman" w:hAnsi="Times New Roman"/>
                <w:color w:val="000000"/>
                <w:kern w:val="0"/>
                <w:szCs w:val="21"/>
              </w:rPr>
              <w:t>30</w:t>
            </w:r>
            <w:r w:rsidRPr="00091EA3">
              <w:rPr>
                <w:rFonts w:ascii="Times New Roman" w:hAnsi="Times New Roman"/>
                <w:color w:val="000000"/>
                <w:kern w:val="0"/>
                <w:szCs w:val="21"/>
              </w:rPr>
              <w:t>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26</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002482</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宝盈互联网沪港深灵活配置混合型证券投资基金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27</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213001</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宝盈鸿利收益灵活配置混合型证券投资基金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28</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213006</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宝盈核心优势灵活配置混合型证券投资基金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29</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001877</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宝盈国家安全战略沪港深股票型证券投资基金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30</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213002</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宝盈泛沿海区域增长混合型证券投资基金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31</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010128</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宝盈发展新动能股票型证券投资基金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32</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009491</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宝盈创新驱动股票型证券投资基金</w:t>
            </w:r>
          </w:p>
        </w:tc>
      </w:tr>
      <w:tr w:rsidR="00091EA3" w:rsidRPr="00091EA3" w:rsidTr="00091EA3">
        <w:trPr>
          <w:trHeight w:val="330"/>
          <w:jc w:val="center"/>
        </w:trPr>
        <w:tc>
          <w:tcPr>
            <w:tcW w:w="764" w:type="pct"/>
            <w:tcBorders>
              <w:top w:val="nil"/>
              <w:left w:val="single" w:sz="4" w:space="0" w:color="auto"/>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33</w:t>
            </w:r>
          </w:p>
        </w:tc>
        <w:tc>
          <w:tcPr>
            <w:tcW w:w="948"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center"/>
              <w:rPr>
                <w:rFonts w:ascii="Times New Roman" w:hAnsi="Times New Roman"/>
                <w:color w:val="000000"/>
                <w:kern w:val="0"/>
                <w:szCs w:val="21"/>
              </w:rPr>
            </w:pPr>
            <w:r w:rsidRPr="00091EA3">
              <w:rPr>
                <w:rFonts w:ascii="Times New Roman" w:hAnsi="Times New Roman"/>
                <w:color w:val="000000"/>
                <w:kern w:val="0"/>
                <w:szCs w:val="21"/>
              </w:rPr>
              <w:t>213003</w:t>
            </w:r>
          </w:p>
        </w:tc>
        <w:tc>
          <w:tcPr>
            <w:tcW w:w="3289" w:type="pct"/>
            <w:tcBorders>
              <w:top w:val="nil"/>
              <w:left w:val="nil"/>
              <w:bottom w:val="single" w:sz="4" w:space="0" w:color="auto"/>
              <w:right w:val="single" w:sz="4" w:space="0" w:color="auto"/>
            </w:tcBorders>
            <w:shd w:val="clear" w:color="000000" w:fill="FFFFFF"/>
            <w:noWrap/>
            <w:vAlign w:val="center"/>
            <w:hideMark/>
          </w:tcPr>
          <w:p w:rsidR="00091EA3" w:rsidRPr="00091EA3" w:rsidRDefault="00091EA3" w:rsidP="00091EA3">
            <w:pPr>
              <w:widowControl/>
              <w:jc w:val="left"/>
              <w:rPr>
                <w:rFonts w:ascii="Times New Roman" w:hAnsi="Times New Roman"/>
                <w:color w:val="000000"/>
                <w:kern w:val="0"/>
                <w:szCs w:val="21"/>
              </w:rPr>
            </w:pPr>
            <w:r w:rsidRPr="00091EA3">
              <w:rPr>
                <w:rFonts w:ascii="Times New Roman" w:hAnsi="Times New Roman"/>
                <w:color w:val="000000"/>
                <w:kern w:val="0"/>
                <w:szCs w:val="21"/>
              </w:rPr>
              <w:t>宝盈策略增长混合型证券投资基金</w:t>
            </w:r>
          </w:p>
        </w:tc>
      </w:tr>
      <w:bookmarkEnd w:id="0"/>
    </w:tbl>
    <w:p w:rsidR="00E35706" w:rsidRPr="00091EA3" w:rsidRDefault="00E35706"/>
    <w:p w:rsidR="00ED3777" w:rsidRPr="000C081D" w:rsidRDefault="00ED3777"/>
    <w:sectPr w:rsidR="00ED3777" w:rsidRPr="000C081D" w:rsidSect="0038217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5E" w:rsidRDefault="00B0785E" w:rsidP="00DE30C4">
      <w:r>
        <w:separator/>
      </w:r>
    </w:p>
  </w:endnote>
  <w:endnote w:type="continuationSeparator" w:id="0">
    <w:p w:rsidR="00B0785E" w:rsidRDefault="00B0785E" w:rsidP="00DE3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1"/>
    <w:family w:val="roman"/>
    <w:notTrueType/>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C4" w:rsidRDefault="00257B8E">
    <w:pPr>
      <w:pStyle w:val="a4"/>
      <w:jc w:val="center"/>
    </w:pPr>
    <w:r>
      <w:fldChar w:fldCharType="begin"/>
    </w:r>
    <w:r w:rsidR="00DE30C4">
      <w:instrText xml:space="preserve"> PAGE   \* MERGEFORMAT </w:instrText>
    </w:r>
    <w:r>
      <w:fldChar w:fldCharType="separate"/>
    </w:r>
    <w:r w:rsidR="00AF4CA1" w:rsidRPr="00AF4CA1">
      <w:rPr>
        <w:noProof/>
        <w:lang w:val="zh-CN"/>
      </w:rPr>
      <w:t>1</w:t>
    </w:r>
    <w:r>
      <w:fldChar w:fldCharType="end"/>
    </w:r>
  </w:p>
  <w:p w:rsidR="00DE30C4" w:rsidRDefault="00DE30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5E" w:rsidRDefault="00B0785E" w:rsidP="00DE30C4">
      <w:r>
        <w:separator/>
      </w:r>
    </w:p>
  </w:footnote>
  <w:footnote w:type="continuationSeparator" w:id="0">
    <w:p w:rsidR="00B0785E" w:rsidRDefault="00B0785E" w:rsidP="00DE3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707DE"/>
    <w:multiLevelType w:val="hybridMultilevel"/>
    <w:tmpl w:val="775EB260"/>
    <w:lvl w:ilvl="0" w:tplc="ED1AA278">
      <w:start w:val="1"/>
      <w:numFmt w:val="japaneseCounting"/>
      <w:lvlText w:val="%1、"/>
      <w:lvlJc w:val="left"/>
      <w:pPr>
        <w:ind w:left="975" w:hanging="45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284"/>
    <w:rsid w:val="00091EA3"/>
    <w:rsid w:val="000A7F0D"/>
    <w:rsid w:val="000C081D"/>
    <w:rsid w:val="000C3F9D"/>
    <w:rsid w:val="00151101"/>
    <w:rsid w:val="001B6AA8"/>
    <w:rsid w:val="001D3E42"/>
    <w:rsid w:val="0022162E"/>
    <w:rsid w:val="00257B8E"/>
    <w:rsid w:val="002828D6"/>
    <w:rsid w:val="002F3538"/>
    <w:rsid w:val="0032195D"/>
    <w:rsid w:val="00325301"/>
    <w:rsid w:val="00333F31"/>
    <w:rsid w:val="0034365E"/>
    <w:rsid w:val="0036195E"/>
    <w:rsid w:val="00382177"/>
    <w:rsid w:val="003A31D1"/>
    <w:rsid w:val="003C51E2"/>
    <w:rsid w:val="003D4657"/>
    <w:rsid w:val="003E673C"/>
    <w:rsid w:val="003F1D82"/>
    <w:rsid w:val="00403954"/>
    <w:rsid w:val="004302D2"/>
    <w:rsid w:val="00451649"/>
    <w:rsid w:val="004B30A1"/>
    <w:rsid w:val="004B763B"/>
    <w:rsid w:val="00517FCA"/>
    <w:rsid w:val="00520D37"/>
    <w:rsid w:val="0052234F"/>
    <w:rsid w:val="00585842"/>
    <w:rsid w:val="00597A8E"/>
    <w:rsid w:val="005F4E68"/>
    <w:rsid w:val="0060636E"/>
    <w:rsid w:val="00631D96"/>
    <w:rsid w:val="00633DAA"/>
    <w:rsid w:val="00642FB5"/>
    <w:rsid w:val="00650143"/>
    <w:rsid w:val="0065348F"/>
    <w:rsid w:val="00653CD8"/>
    <w:rsid w:val="0066682D"/>
    <w:rsid w:val="00686DF1"/>
    <w:rsid w:val="006A5EC0"/>
    <w:rsid w:val="007278BF"/>
    <w:rsid w:val="00732AFE"/>
    <w:rsid w:val="00732DF1"/>
    <w:rsid w:val="00737721"/>
    <w:rsid w:val="007533D6"/>
    <w:rsid w:val="00760FCA"/>
    <w:rsid w:val="007A06BA"/>
    <w:rsid w:val="007A6395"/>
    <w:rsid w:val="007C095D"/>
    <w:rsid w:val="007E5968"/>
    <w:rsid w:val="007E67E3"/>
    <w:rsid w:val="00801B09"/>
    <w:rsid w:val="008506D8"/>
    <w:rsid w:val="00854C72"/>
    <w:rsid w:val="008A7FD0"/>
    <w:rsid w:val="008C275E"/>
    <w:rsid w:val="008D1ABD"/>
    <w:rsid w:val="008E38E0"/>
    <w:rsid w:val="00914117"/>
    <w:rsid w:val="0094133C"/>
    <w:rsid w:val="009464F3"/>
    <w:rsid w:val="009645E9"/>
    <w:rsid w:val="0097749E"/>
    <w:rsid w:val="00980390"/>
    <w:rsid w:val="009A337F"/>
    <w:rsid w:val="009F5826"/>
    <w:rsid w:val="00A57A1E"/>
    <w:rsid w:val="00A70C2D"/>
    <w:rsid w:val="00AF4CA1"/>
    <w:rsid w:val="00B0785E"/>
    <w:rsid w:val="00B10170"/>
    <w:rsid w:val="00B2768C"/>
    <w:rsid w:val="00B36B73"/>
    <w:rsid w:val="00B634A7"/>
    <w:rsid w:val="00B6639E"/>
    <w:rsid w:val="00B76D09"/>
    <w:rsid w:val="00B82A51"/>
    <w:rsid w:val="00BA4725"/>
    <w:rsid w:val="00BB73FF"/>
    <w:rsid w:val="00BD6DC2"/>
    <w:rsid w:val="00BE027B"/>
    <w:rsid w:val="00C6177B"/>
    <w:rsid w:val="00C753D6"/>
    <w:rsid w:val="00CD4A17"/>
    <w:rsid w:val="00CE6C68"/>
    <w:rsid w:val="00D366A0"/>
    <w:rsid w:val="00D67483"/>
    <w:rsid w:val="00D77E3E"/>
    <w:rsid w:val="00D829CD"/>
    <w:rsid w:val="00DA3F67"/>
    <w:rsid w:val="00DC38D7"/>
    <w:rsid w:val="00DE30C4"/>
    <w:rsid w:val="00E35706"/>
    <w:rsid w:val="00E6176B"/>
    <w:rsid w:val="00E80E19"/>
    <w:rsid w:val="00ED3777"/>
    <w:rsid w:val="00EF5D60"/>
    <w:rsid w:val="00F24F2A"/>
    <w:rsid w:val="00F4598E"/>
    <w:rsid w:val="00FB3F0D"/>
    <w:rsid w:val="00FB56C4"/>
    <w:rsid w:val="00FD77E7"/>
    <w:rsid w:val="00FF6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0C4"/>
    <w:rPr>
      <w:sz w:val="18"/>
      <w:szCs w:val="18"/>
    </w:rPr>
  </w:style>
  <w:style w:type="paragraph" w:styleId="a4">
    <w:name w:val="footer"/>
    <w:basedOn w:val="a"/>
    <w:link w:val="Char0"/>
    <w:uiPriority w:val="99"/>
    <w:unhideWhenUsed/>
    <w:rsid w:val="00DE30C4"/>
    <w:pPr>
      <w:tabs>
        <w:tab w:val="center" w:pos="4153"/>
        <w:tab w:val="right" w:pos="8306"/>
      </w:tabs>
      <w:snapToGrid w:val="0"/>
      <w:jc w:val="left"/>
    </w:pPr>
    <w:rPr>
      <w:sz w:val="18"/>
      <w:szCs w:val="18"/>
    </w:rPr>
  </w:style>
  <w:style w:type="character" w:customStyle="1" w:styleId="Char0">
    <w:name w:val="页脚 Char"/>
    <w:basedOn w:val="a0"/>
    <w:link w:val="a4"/>
    <w:uiPriority w:val="99"/>
    <w:rsid w:val="00DE30C4"/>
    <w:rPr>
      <w:sz w:val="18"/>
      <w:szCs w:val="18"/>
    </w:rPr>
  </w:style>
  <w:style w:type="character" w:styleId="a5">
    <w:name w:val="Hyperlink"/>
    <w:basedOn w:val="a0"/>
    <w:uiPriority w:val="99"/>
    <w:unhideWhenUsed/>
    <w:rsid w:val="00DE30C4"/>
    <w:rPr>
      <w:color w:val="0000FF"/>
      <w:u w:val="single"/>
    </w:rPr>
  </w:style>
  <w:style w:type="paragraph" w:styleId="a6">
    <w:name w:val="Balloon Text"/>
    <w:basedOn w:val="a"/>
    <w:link w:val="Char1"/>
    <w:uiPriority w:val="99"/>
    <w:semiHidden/>
    <w:unhideWhenUsed/>
    <w:rsid w:val="00BB73FF"/>
    <w:rPr>
      <w:sz w:val="18"/>
      <w:szCs w:val="18"/>
    </w:rPr>
  </w:style>
  <w:style w:type="character" w:customStyle="1" w:styleId="Char1">
    <w:name w:val="批注框文本 Char"/>
    <w:basedOn w:val="a0"/>
    <w:link w:val="a6"/>
    <w:uiPriority w:val="99"/>
    <w:semiHidden/>
    <w:rsid w:val="00BB73FF"/>
    <w:rPr>
      <w:rFonts w:ascii="Calibri" w:eastAsia="宋体" w:hAnsi="Calibri" w:cs="Times New Roman"/>
      <w:sz w:val="18"/>
      <w:szCs w:val="18"/>
    </w:rPr>
  </w:style>
  <w:style w:type="paragraph" w:styleId="a7">
    <w:name w:val="Body Text"/>
    <w:basedOn w:val="a"/>
    <w:link w:val="Char2"/>
    <w:uiPriority w:val="1"/>
    <w:qFormat/>
    <w:rsid w:val="000C081D"/>
    <w:pPr>
      <w:autoSpaceDE w:val="0"/>
      <w:autoSpaceDN w:val="0"/>
      <w:spacing w:before="1"/>
      <w:ind w:left="140"/>
      <w:jc w:val="left"/>
    </w:pPr>
    <w:rPr>
      <w:rFonts w:ascii="宋体" w:hAnsi="宋体" w:cs="宋体"/>
      <w:kern w:val="0"/>
      <w:sz w:val="24"/>
      <w:szCs w:val="24"/>
      <w:lang w:eastAsia="en-US"/>
    </w:rPr>
  </w:style>
  <w:style w:type="character" w:customStyle="1" w:styleId="Char2">
    <w:name w:val="正文文本 Char"/>
    <w:basedOn w:val="a0"/>
    <w:link w:val="a7"/>
    <w:uiPriority w:val="1"/>
    <w:rsid w:val="000C081D"/>
    <w:rPr>
      <w:rFonts w:ascii="宋体" w:eastAsia="宋体" w:hAnsi="宋体" w:cs="宋体"/>
      <w:kern w:val="0"/>
      <w:sz w:val="24"/>
      <w:szCs w:val="24"/>
      <w:lang w:eastAsia="en-US"/>
    </w:rPr>
  </w:style>
  <w:style w:type="paragraph" w:customStyle="1" w:styleId="Default">
    <w:name w:val="Default"/>
    <w:rsid w:val="00B6639E"/>
    <w:pPr>
      <w:widowControl w:val="0"/>
      <w:autoSpaceDE w:val="0"/>
      <w:autoSpaceDN w:val="0"/>
      <w:adjustRightInd w:val="0"/>
    </w:pPr>
    <w:rPr>
      <w:rFonts w:ascii="宋体" w:eastAsia="宋体" w:cs="宋体"/>
      <w:color w:val="000000"/>
      <w:kern w:val="0"/>
      <w:sz w:val="24"/>
      <w:szCs w:val="24"/>
    </w:rPr>
  </w:style>
  <w:style w:type="paragraph" w:styleId="a8">
    <w:name w:val="List Paragraph"/>
    <w:basedOn w:val="a"/>
    <w:uiPriority w:val="34"/>
    <w:qFormat/>
    <w:rsid w:val="00B6639E"/>
    <w:pPr>
      <w:ind w:firstLineChars="200" w:firstLine="420"/>
    </w:pPr>
  </w:style>
</w:styles>
</file>

<file path=word/webSettings.xml><?xml version="1.0" encoding="utf-8"?>
<w:webSettings xmlns:r="http://schemas.openxmlformats.org/officeDocument/2006/relationships" xmlns:w="http://schemas.openxmlformats.org/wordprocessingml/2006/main">
  <w:divs>
    <w:div w:id="15602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ettings" Target="settings.xml"/><Relationship Id="rId7" Type="http://schemas.openxmlformats.org/officeDocument/2006/relationships/hyperlink" Target="http://www.by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4</DocSecurity>
  <Lines>22</Lines>
  <Paragraphs>6</Paragraphs>
  <ScaleCrop>false</ScaleCrop>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黄捷</dc:creator>
  <cp:keywords/>
  <dc:description/>
  <cp:lastModifiedBy>ZHONGM</cp:lastModifiedBy>
  <cp:revision>2</cp:revision>
  <dcterms:created xsi:type="dcterms:W3CDTF">2020-11-24T16:00:00Z</dcterms:created>
  <dcterms:modified xsi:type="dcterms:W3CDTF">2020-11-24T16:00:00Z</dcterms:modified>
</cp:coreProperties>
</file>