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34" w:rsidRPr="00572F75" w:rsidRDefault="006B1D3A" w:rsidP="00BC03D6">
      <w:pPr>
        <w:spacing w:line="360" w:lineRule="auto"/>
        <w:jc w:val="center"/>
        <w:rPr>
          <w:b/>
          <w:sz w:val="32"/>
          <w:szCs w:val="32"/>
        </w:rPr>
      </w:pPr>
      <w:r w:rsidRPr="00572F75">
        <w:rPr>
          <w:rFonts w:hint="eastAsia"/>
          <w:b/>
          <w:sz w:val="32"/>
          <w:szCs w:val="32"/>
        </w:rPr>
        <w:t>富国基金管理有限公司关于</w:t>
      </w:r>
      <w:r w:rsidR="007D67C4" w:rsidRPr="00572F75">
        <w:rPr>
          <w:rFonts w:hint="eastAsia"/>
          <w:b/>
          <w:sz w:val="32"/>
          <w:szCs w:val="32"/>
        </w:rPr>
        <w:t>旗下分级基金</w:t>
      </w:r>
      <w:r w:rsidR="00BC03D6" w:rsidRPr="00572F75">
        <w:rPr>
          <w:rFonts w:hint="eastAsia"/>
          <w:b/>
          <w:sz w:val="32"/>
          <w:szCs w:val="32"/>
        </w:rPr>
        <w:t>整改</w:t>
      </w:r>
      <w:r w:rsidRPr="00572F75">
        <w:rPr>
          <w:rFonts w:hint="eastAsia"/>
          <w:b/>
          <w:sz w:val="32"/>
          <w:szCs w:val="32"/>
        </w:rPr>
        <w:t>的</w:t>
      </w:r>
    </w:p>
    <w:p w:rsidR="00605BCC" w:rsidRPr="00572F75" w:rsidRDefault="006B1D3A" w:rsidP="00BC03D6">
      <w:pPr>
        <w:spacing w:line="360" w:lineRule="auto"/>
        <w:jc w:val="center"/>
        <w:rPr>
          <w:b/>
          <w:sz w:val="32"/>
          <w:szCs w:val="32"/>
        </w:rPr>
      </w:pPr>
      <w:r w:rsidRPr="00572F75">
        <w:rPr>
          <w:rFonts w:hint="eastAsia"/>
          <w:b/>
          <w:sz w:val="32"/>
          <w:szCs w:val="32"/>
        </w:rPr>
        <w:t>提示性公告</w:t>
      </w:r>
    </w:p>
    <w:p w:rsidR="006B1D3A" w:rsidRPr="006E3BA2" w:rsidRDefault="006A3C1D" w:rsidP="00BC03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根据</w:t>
      </w:r>
      <w:r w:rsidR="006B1D3A" w:rsidRPr="006E3BA2">
        <w:rPr>
          <w:rFonts w:asciiTheme="minorEastAsia" w:eastAsiaTheme="minorEastAsia" w:hAnsiTheme="minorEastAsia" w:hint="eastAsia"/>
          <w:color w:val="333333"/>
        </w:rPr>
        <w:t>富国基金管理有限公司（以下简称“基金管理人”）</w:t>
      </w:r>
      <w:r>
        <w:rPr>
          <w:rFonts w:asciiTheme="minorEastAsia" w:eastAsiaTheme="minorEastAsia" w:hAnsiTheme="minorEastAsia" w:hint="eastAsia"/>
          <w:color w:val="333333"/>
        </w:rPr>
        <w:t>于2</w:t>
      </w:r>
      <w:r>
        <w:rPr>
          <w:rFonts w:asciiTheme="minorEastAsia" w:eastAsiaTheme="minorEastAsia" w:hAnsiTheme="minorEastAsia"/>
          <w:color w:val="333333"/>
        </w:rPr>
        <w:t>020年</w:t>
      </w:r>
      <w:r>
        <w:rPr>
          <w:rFonts w:asciiTheme="minorEastAsia" w:eastAsiaTheme="minorEastAsia" w:hAnsiTheme="minorEastAsia" w:hint="eastAsia"/>
          <w:color w:val="333333"/>
        </w:rPr>
        <w:t>1</w:t>
      </w:r>
      <w:r>
        <w:rPr>
          <w:rFonts w:asciiTheme="minorEastAsia" w:eastAsiaTheme="minorEastAsia" w:hAnsiTheme="minorEastAsia"/>
          <w:color w:val="333333"/>
        </w:rPr>
        <w:t>1月</w:t>
      </w:r>
      <w:r>
        <w:rPr>
          <w:rFonts w:asciiTheme="minorEastAsia" w:eastAsiaTheme="minorEastAsia" w:hAnsiTheme="minorEastAsia" w:hint="eastAsia"/>
          <w:color w:val="333333"/>
        </w:rPr>
        <w:t>1</w:t>
      </w:r>
      <w:r>
        <w:rPr>
          <w:rFonts w:asciiTheme="minorEastAsia" w:eastAsiaTheme="minorEastAsia" w:hAnsiTheme="minorEastAsia"/>
          <w:color w:val="333333"/>
        </w:rPr>
        <w:t>8日发布的</w:t>
      </w:r>
      <w:r>
        <w:rPr>
          <w:rFonts w:asciiTheme="minorEastAsia" w:eastAsiaTheme="minorEastAsia" w:hAnsiTheme="minorEastAsia" w:hint="eastAsia"/>
          <w:color w:val="333333"/>
        </w:rPr>
        <w:t>修订基金合同的公告，基金管理人对</w:t>
      </w:r>
      <w:r w:rsidRPr="006A3C1D">
        <w:rPr>
          <w:rFonts w:asciiTheme="minorEastAsia" w:eastAsiaTheme="minorEastAsia" w:hAnsiTheme="minorEastAsia" w:hint="eastAsia"/>
          <w:color w:val="333333"/>
        </w:rPr>
        <w:t>旗下9只分级基金</w:t>
      </w:r>
      <w:r w:rsidR="006B1D3A" w:rsidRPr="006E3BA2">
        <w:rPr>
          <w:rFonts w:asciiTheme="minorEastAsia" w:eastAsiaTheme="minorEastAsia" w:hAnsiTheme="minorEastAsia" w:hint="eastAsia"/>
          <w:color w:val="333333"/>
        </w:rPr>
        <w:t>的</w:t>
      </w:r>
      <w:r>
        <w:rPr>
          <w:rFonts w:asciiTheme="minorEastAsia" w:eastAsiaTheme="minorEastAsia" w:hAnsiTheme="minorEastAsia" w:hint="eastAsia"/>
          <w:color w:val="333333"/>
        </w:rPr>
        <w:t>基金合同进行了修订。</w:t>
      </w:r>
      <w:r w:rsidRPr="006A3C1D">
        <w:rPr>
          <w:rFonts w:asciiTheme="minorEastAsia" w:eastAsiaTheme="minorEastAsia" w:hAnsiTheme="minorEastAsia" w:hint="eastAsia"/>
          <w:color w:val="333333"/>
        </w:rPr>
        <w:t>本次基金合同修订涉及根据监管规定取消分级机制，并据此就</w:t>
      </w:r>
      <w:r>
        <w:rPr>
          <w:rFonts w:asciiTheme="minorEastAsia" w:eastAsiaTheme="minorEastAsia" w:hAnsiTheme="minorEastAsia" w:hint="eastAsia"/>
          <w:color w:val="333333"/>
        </w:rPr>
        <w:t>分级基金的稳健收益类A份额</w:t>
      </w:r>
      <w:r w:rsidRPr="006A3C1D">
        <w:rPr>
          <w:rFonts w:asciiTheme="minorEastAsia" w:eastAsiaTheme="minorEastAsia" w:hAnsiTheme="minorEastAsia" w:hint="eastAsia"/>
          <w:color w:val="333333"/>
        </w:rPr>
        <w:t>与积极收益类B份额的终止运作，包括终止上市与份额折算等后续具体操作做了安排，具体修改内容详见</w:t>
      </w:r>
      <w:r>
        <w:rPr>
          <w:rFonts w:asciiTheme="minorEastAsia" w:eastAsiaTheme="minorEastAsia" w:hAnsiTheme="minorEastAsia" w:hint="eastAsia"/>
          <w:color w:val="333333"/>
        </w:rPr>
        <w:t>相关公告</w:t>
      </w:r>
      <w:r w:rsidRPr="006A3C1D">
        <w:rPr>
          <w:rFonts w:asciiTheme="minorEastAsia" w:eastAsiaTheme="minorEastAsia" w:hAnsiTheme="minorEastAsia" w:hint="eastAsia"/>
          <w:color w:val="333333"/>
        </w:rPr>
        <w:t>。</w:t>
      </w:r>
      <w:r>
        <w:rPr>
          <w:rFonts w:asciiTheme="minorEastAsia" w:eastAsiaTheme="minorEastAsia" w:hAnsiTheme="minorEastAsia" w:hint="eastAsia"/>
          <w:color w:val="333333"/>
        </w:rPr>
        <w:t>本次基金合同修订所涉及基金</w:t>
      </w:r>
      <w:r w:rsidR="006B1D3A" w:rsidRPr="006E3BA2">
        <w:rPr>
          <w:rFonts w:asciiTheme="minorEastAsia" w:eastAsiaTheme="minorEastAsia" w:hAnsiTheme="minorEastAsia" w:hint="eastAsia"/>
          <w:color w:val="333333"/>
        </w:rPr>
        <w:t>具体如下：</w:t>
      </w:r>
    </w:p>
    <w:tbl>
      <w:tblPr>
        <w:tblStyle w:val="a5"/>
        <w:tblW w:w="8075" w:type="dxa"/>
        <w:tblLook w:val="04A0"/>
      </w:tblPr>
      <w:tblGrid>
        <w:gridCol w:w="8075"/>
      </w:tblGrid>
      <w:tr w:rsidR="006A3C1D" w:rsidRPr="00EE794B" w:rsidTr="00572F75">
        <w:tc>
          <w:tcPr>
            <w:tcW w:w="8075" w:type="dxa"/>
          </w:tcPr>
          <w:p w:rsidR="006A3C1D" w:rsidRDefault="006A3C1D" w:rsidP="00BC03D6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E794B">
              <w:rPr>
                <w:rFonts w:ascii="宋体" w:hAnsi="宋体" w:cs="宋体" w:hint="eastAsia"/>
                <w:color w:val="000000"/>
                <w:kern w:val="0"/>
                <w:szCs w:val="24"/>
              </w:rPr>
              <w:t>富国中证全指证券公司指数分级证券投资基金</w:t>
            </w:r>
          </w:p>
          <w:p w:rsidR="006A3C1D" w:rsidRPr="00EE794B" w:rsidRDefault="006A3C1D" w:rsidP="00892645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基础份额：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证券分级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61027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）；分级份额：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证券A级（150223）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证券B级（150224）</w:t>
            </w:r>
          </w:p>
        </w:tc>
      </w:tr>
      <w:tr w:rsidR="006A3C1D" w:rsidRPr="00EE794B" w:rsidTr="00572F75">
        <w:tc>
          <w:tcPr>
            <w:tcW w:w="8075" w:type="dxa"/>
          </w:tcPr>
          <w:p w:rsidR="006A3C1D" w:rsidRDefault="006A3C1D" w:rsidP="00BC03D6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E794B">
              <w:rPr>
                <w:rFonts w:ascii="宋体" w:hAnsi="宋体" w:cs="宋体" w:hint="eastAsia"/>
                <w:color w:val="000000"/>
                <w:kern w:val="0"/>
                <w:szCs w:val="24"/>
              </w:rPr>
              <w:t>富国创业板指数分级证券投资基金</w:t>
            </w:r>
          </w:p>
          <w:p w:rsidR="006A3C1D" w:rsidRPr="00EE794B" w:rsidRDefault="006A3C1D" w:rsidP="00892645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基础份额：创业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分级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61022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）；分级份额：</w:t>
            </w:r>
            <w:r w:rsidRPr="00F11C8E">
              <w:rPr>
                <w:rFonts w:ascii="宋体" w:hAnsi="宋体" w:cs="宋体" w:hint="eastAsia"/>
                <w:color w:val="000000"/>
                <w:kern w:val="0"/>
                <w:szCs w:val="24"/>
              </w:rPr>
              <w:t>创业板A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50152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）、</w:t>
            </w:r>
            <w:r w:rsidRPr="00F11C8E">
              <w:rPr>
                <w:rFonts w:ascii="宋体" w:hAnsi="宋体" w:cs="宋体" w:hint="eastAsia"/>
                <w:color w:val="000000"/>
                <w:kern w:val="0"/>
                <w:szCs w:val="24"/>
              </w:rPr>
              <w:t>创业板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50153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</w:t>
            </w:r>
          </w:p>
        </w:tc>
      </w:tr>
      <w:tr w:rsidR="006A3C1D" w:rsidRPr="00EE794B" w:rsidTr="00572F75">
        <w:tc>
          <w:tcPr>
            <w:tcW w:w="8075" w:type="dxa"/>
          </w:tcPr>
          <w:p w:rsidR="006A3C1D" w:rsidRDefault="006A3C1D" w:rsidP="00BC03D6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E794B">
              <w:rPr>
                <w:rFonts w:ascii="宋体" w:hAnsi="宋体" w:cs="宋体" w:hint="eastAsia"/>
                <w:color w:val="000000"/>
                <w:kern w:val="0"/>
                <w:szCs w:val="24"/>
              </w:rPr>
              <w:t>富国中证工业4.0指数分级证券投资基金</w:t>
            </w:r>
          </w:p>
          <w:p w:rsidR="006A3C1D" w:rsidRPr="00EE794B" w:rsidRDefault="006A3C1D" w:rsidP="00892645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基础份额：工业4（1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61031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）；分级份额：</w:t>
            </w:r>
            <w:r w:rsidRPr="0044111B">
              <w:rPr>
                <w:rFonts w:ascii="宋体" w:hAnsi="宋体" w:cs="宋体" w:hint="eastAsia"/>
                <w:color w:val="000000"/>
                <w:kern w:val="0"/>
                <w:szCs w:val="24"/>
              </w:rPr>
              <w:t>工业4A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</w:t>
            </w:r>
            <w:r w:rsidRPr="0044111B">
              <w:rPr>
                <w:rFonts w:ascii="宋体" w:hAnsi="宋体" w:cs="宋体"/>
                <w:color w:val="000000"/>
                <w:kern w:val="0"/>
                <w:szCs w:val="24"/>
              </w:rPr>
              <w:t>150315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）、</w:t>
            </w:r>
            <w:r w:rsidRPr="0044111B">
              <w:rPr>
                <w:rFonts w:ascii="宋体" w:hAnsi="宋体" w:cs="宋体" w:hint="eastAsia"/>
                <w:color w:val="000000"/>
                <w:kern w:val="0"/>
                <w:szCs w:val="24"/>
              </w:rPr>
              <w:t>工业4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50316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</w:t>
            </w:r>
          </w:p>
        </w:tc>
      </w:tr>
      <w:tr w:rsidR="006A3C1D" w:rsidRPr="00EE794B" w:rsidTr="00572F75">
        <w:tc>
          <w:tcPr>
            <w:tcW w:w="8075" w:type="dxa"/>
          </w:tcPr>
          <w:p w:rsidR="006A3C1D" w:rsidRPr="00EF1F9A" w:rsidRDefault="006A3C1D" w:rsidP="00EF1F9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富国中证新能源汽车指数分级证券投资基金</w:t>
            </w:r>
          </w:p>
          <w:p w:rsidR="006A3C1D" w:rsidRPr="00EF1F9A" w:rsidRDefault="006A3C1D" w:rsidP="00892645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基础份额：新能源车（1</w:t>
            </w:r>
            <w:r w:rsidRPr="00EF1F9A">
              <w:rPr>
                <w:rFonts w:ascii="宋体" w:hAnsi="宋体" w:cs="宋体"/>
                <w:color w:val="000000"/>
                <w:kern w:val="0"/>
                <w:szCs w:val="24"/>
              </w:rPr>
              <w:t>61028</w:t>
            </w: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）；分级份额：新能车A（1</w:t>
            </w:r>
            <w:r w:rsidRPr="00EF1F9A">
              <w:rPr>
                <w:rFonts w:ascii="宋体" w:hAnsi="宋体" w:cs="宋体"/>
                <w:color w:val="000000"/>
                <w:kern w:val="0"/>
                <w:szCs w:val="24"/>
              </w:rPr>
              <w:t>50211</w:t>
            </w: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）、新能车</w:t>
            </w:r>
            <w:r w:rsidRPr="00EF1F9A">
              <w:rPr>
                <w:rFonts w:ascii="宋体" w:hAnsi="宋体" w:cs="宋体"/>
                <w:color w:val="000000"/>
                <w:kern w:val="0"/>
                <w:szCs w:val="24"/>
              </w:rPr>
              <w:t>B</w:t>
            </w: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（1</w:t>
            </w:r>
            <w:r w:rsidRPr="00EF1F9A">
              <w:rPr>
                <w:rFonts w:ascii="宋体" w:hAnsi="宋体" w:cs="宋体"/>
                <w:color w:val="000000"/>
                <w:kern w:val="0"/>
                <w:szCs w:val="24"/>
              </w:rPr>
              <w:t>50212</w:t>
            </w: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）</w:t>
            </w:r>
          </w:p>
        </w:tc>
      </w:tr>
      <w:tr w:rsidR="006A3C1D" w:rsidRPr="00EE794B" w:rsidTr="00572F75">
        <w:tc>
          <w:tcPr>
            <w:tcW w:w="8075" w:type="dxa"/>
          </w:tcPr>
          <w:p w:rsidR="006A3C1D" w:rsidRPr="00EF1F9A" w:rsidRDefault="006A3C1D" w:rsidP="00EF1F9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富国中证国有企业改革指数分级证券投资基金</w:t>
            </w:r>
          </w:p>
          <w:p w:rsidR="006A3C1D" w:rsidRPr="00EF1F9A" w:rsidRDefault="006A3C1D" w:rsidP="00892645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基础份额：国企改革（</w:t>
            </w:r>
            <w:r w:rsidRPr="00EF1F9A">
              <w:rPr>
                <w:rFonts w:ascii="宋体" w:hAnsi="宋体" w:cs="宋体"/>
                <w:color w:val="000000"/>
                <w:kern w:val="0"/>
                <w:szCs w:val="24"/>
              </w:rPr>
              <w:t>161026</w:t>
            </w: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）；分级份额：国企改A（150209）、国企改B（150210）</w:t>
            </w:r>
          </w:p>
        </w:tc>
      </w:tr>
      <w:tr w:rsidR="006A3C1D" w:rsidRPr="00EE794B" w:rsidTr="00572F75">
        <w:tc>
          <w:tcPr>
            <w:tcW w:w="8075" w:type="dxa"/>
          </w:tcPr>
          <w:p w:rsidR="006A3C1D" w:rsidRPr="00EF1F9A" w:rsidRDefault="006A3C1D" w:rsidP="00EF1F9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富国中证移动互联网指数分级证券投资基金</w:t>
            </w:r>
          </w:p>
          <w:p w:rsidR="006A3C1D" w:rsidRPr="00EF1F9A" w:rsidRDefault="006A3C1D" w:rsidP="00892645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基础份额：移动互联（</w:t>
            </w:r>
            <w:r w:rsidRPr="00EF1F9A">
              <w:rPr>
                <w:rFonts w:ascii="宋体" w:hAnsi="宋体" w:cs="宋体"/>
                <w:color w:val="000000"/>
                <w:kern w:val="0"/>
                <w:szCs w:val="24"/>
              </w:rPr>
              <w:t>161025</w:t>
            </w:r>
            <w:r w:rsidRPr="00EF1F9A">
              <w:rPr>
                <w:rFonts w:ascii="宋体" w:hAnsi="宋体" w:cs="宋体" w:hint="eastAsia"/>
                <w:color w:val="000000"/>
                <w:kern w:val="0"/>
                <w:szCs w:val="24"/>
              </w:rPr>
              <w:t>）；分级份额：互联网A（150194）、互联网B（150195）</w:t>
            </w:r>
          </w:p>
        </w:tc>
      </w:tr>
      <w:tr w:rsidR="006A3C1D" w:rsidRPr="00EE794B" w:rsidTr="00572F75">
        <w:tc>
          <w:tcPr>
            <w:tcW w:w="8075" w:type="dxa"/>
          </w:tcPr>
          <w:p w:rsidR="006A3C1D" w:rsidRDefault="006A3C1D" w:rsidP="0031313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E794B">
              <w:rPr>
                <w:rFonts w:ascii="宋体" w:hAnsi="宋体" w:cs="宋体" w:hint="eastAsia"/>
                <w:color w:val="000000"/>
                <w:kern w:val="0"/>
                <w:szCs w:val="24"/>
              </w:rPr>
              <w:t>富国中证军工指数分级证券投资基金</w:t>
            </w:r>
          </w:p>
          <w:p w:rsidR="006A3C1D" w:rsidRPr="00EE794B" w:rsidRDefault="006A3C1D" w:rsidP="00892645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基础份额：</w:t>
            </w:r>
            <w:r w:rsidRPr="003E4542">
              <w:rPr>
                <w:rFonts w:ascii="宋体" w:hAnsi="宋体" w:cs="宋体" w:hint="eastAsia"/>
                <w:color w:val="000000"/>
                <w:kern w:val="0"/>
                <w:szCs w:val="24"/>
              </w:rPr>
              <w:t>军工分级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161024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）；分级份额：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军工A（150181）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军工B（150182）</w:t>
            </w:r>
          </w:p>
        </w:tc>
      </w:tr>
      <w:tr w:rsidR="006A3C1D" w:rsidRPr="00EE794B" w:rsidTr="00572F75">
        <w:tc>
          <w:tcPr>
            <w:tcW w:w="8075" w:type="dxa"/>
          </w:tcPr>
          <w:p w:rsidR="006A3C1D" w:rsidRDefault="006A3C1D" w:rsidP="0031313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E794B">
              <w:rPr>
                <w:rFonts w:ascii="宋体" w:hAnsi="宋体" w:cs="宋体" w:hint="eastAsia"/>
                <w:color w:val="000000"/>
                <w:kern w:val="0"/>
                <w:szCs w:val="24"/>
              </w:rPr>
              <w:t>富国中证煤炭指数分级证券投资基金</w:t>
            </w:r>
          </w:p>
          <w:p w:rsidR="006A3C1D" w:rsidRPr="00EE794B" w:rsidRDefault="006A3C1D" w:rsidP="00892645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基础份额：</w:t>
            </w:r>
            <w:r w:rsidRPr="003E4542">
              <w:rPr>
                <w:rFonts w:ascii="宋体" w:hAnsi="宋体" w:cs="宋体" w:hint="eastAsia"/>
                <w:color w:val="000000"/>
                <w:kern w:val="0"/>
                <w:szCs w:val="24"/>
              </w:rPr>
              <w:t>煤炭基金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161032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）；分级份额：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煤炭A基（150321）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煤炭B基（150322）</w:t>
            </w:r>
          </w:p>
        </w:tc>
      </w:tr>
      <w:tr w:rsidR="006A3C1D" w:rsidRPr="00EE794B" w:rsidTr="00572F75">
        <w:tc>
          <w:tcPr>
            <w:tcW w:w="8075" w:type="dxa"/>
          </w:tcPr>
          <w:p w:rsidR="006A3C1D" w:rsidRDefault="006A3C1D" w:rsidP="0031313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E794B">
              <w:rPr>
                <w:rFonts w:ascii="宋体" w:hAnsi="宋体" w:cs="宋体" w:hint="eastAsia"/>
                <w:color w:val="000000"/>
                <w:kern w:val="0"/>
                <w:szCs w:val="24"/>
              </w:rPr>
              <w:t>富国中证体育产业指数分级证券投资基金</w:t>
            </w:r>
          </w:p>
          <w:p w:rsidR="006A3C1D" w:rsidRPr="00EE794B" w:rsidRDefault="006A3C1D" w:rsidP="00892645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基础份额：</w:t>
            </w:r>
            <w:r w:rsidRPr="003E4542">
              <w:rPr>
                <w:rFonts w:ascii="宋体" w:hAnsi="宋体" w:cs="宋体" w:hint="eastAsia"/>
                <w:color w:val="000000"/>
                <w:kern w:val="0"/>
                <w:szCs w:val="24"/>
              </w:rPr>
              <w:t>体育分级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161030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）；分级份额：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体育A（150307）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7D67C4">
              <w:rPr>
                <w:rFonts w:ascii="宋体" w:hAnsi="宋体" w:cs="宋体" w:hint="eastAsia"/>
                <w:color w:val="000000"/>
                <w:kern w:val="0"/>
                <w:szCs w:val="24"/>
              </w:rPr>
              <w:t>体育B（150308）</w:t>
            </w:r>
          </w:p>
        </w:tc>
      </w:tr>
    </w:tbl>
    <w:p w:rsidR="006B1D3A" w:rsidRDefault="006B1D3A" w:rsidP="00BC03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Cs/>
          <w:color w:val="333333"/>
        </w:rPr>
      </w:pPr>
    </w:p>
    <w:p w:rsidR="006B1D3A" w:rsidRPr="006E3BA2" w:rsidRDefault="006B1D3A" w:rsidP="00BC03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  <w:color w:val="333333"/>
        </w:rPr>
      </w:pPr>
      <w:r w:rsidRPr="006E3BA2">
        <w:rPr>
          <w:rFonts w:asciiTheme="minorEastAsia" w:eastAsiaTheme="minorEastAsia" w:hAnsiTheme="minorEastAsia" w:hint="eastAsia"/>
          <w:b/>
          <w:bCs/>
          <w:color w:val="333333"/>
        </w:rPr>
        <w:t>基金管理人将根据中国人民银行、中国银行保险监督管理委员会、中国证券监督管理委员会、国家外汇管理局联合发布的《关于规范金融机构资产管理</w:t>
      </w:r>
      <w:r w:rsidRPr="006E3BA2">
        <w:rPr>
          <w:rFonts w:asciiTheme="minorEastAsia" w:eastAsiaTheme="minorEastAsia" w:hAnsiTheme="minorEastAsia" w:hint="eastAsia"/>
          <w:b/>
          <w:bCs/>
          <w:color w:val="333333"/>
        </w:rPr>
        <w:lastRenderedPageBreak/>
        <w:t>业务的指导意见》的要求于2020年底完成</w:t>
      </w:r>
      <w:r w:rsidR="00EF75CA">
        <w:rPr>
          <w:rFonts w:asciiTheme="minorEastAsia" w:eastAsiaTheme="minorEastAsia" w:hAnsiTheme="minorEastAsia" w:hint="eastAsia"/>
          <w:b/>
          <w:bCs/>
          <w:color w:val="333333"/>
        </w:rPr>
        <w:t>上述分级</w:t>
      </w:r>
      <w:r w:rsidRPr="006E3BA2">
        <w:rPr>
          <w:rFonts w:asciiTheme="minorEastAsia" w:eastAsiaTheme="minorEastAsia" w:hAnsiTheme="minorEastAsia" w:hint="eastAsia"/>
          <w:b/>
          <w:bCs/>
          <w:color w:val="333333"/>
        </w:rPr>
        <w:t>基金的整改，取消分级运作机制，将</w:t>
      </w:r>
      <w:r w:rsidR="00EF75CA">
        <w:rPr>
          <w:rFonts w:asciiTheme="minorEastAsia" w:eastAsiaTheme="minorEastAsia" w:hAnsiTheme="minorEastAsia" w:hint="eastAsia"/>
          <w:b/>
          <w:bCs/>
          <w:color w:val="333333"/>
        </w:rPr>
        <w:t>分级运作的</w:t>
      </w:r>
      <w:r w:rsidR="00EF75CA" w:rsidRPr="00EF75CA">
        <w:rPr>
          <w:rFonts w:asciiTheme="minorEastAsia" w:eastAsiaTheme="minorEastAsia" w:hAnsiTheme="minorEastAsia" w:hint="eastAsia"/>
          <w:b/>
          <w:bCs/>
          <w:color w:val="333333"/>
        </w:rPr>
        <w:t>稳健收益类</w:t>
      </w:r>
      <w:r w:rsidRPr="00CB66BA">
        <w:rPr>
          <w:rFonts w:asciiTheme="minorEastAsia" w:eastAsiaTheme="minorEastAsia" w:hAnsiTheme="minorEastAsia" w:hint="eastAsia"/>
          <w:b/>
          <w:bCs/>
          <w:color w:val="333333"/>
        </w:rPr>
        <w:t>A份额与</w:t>
      </w:r>
      <w:r w:rsidR="00EF75CA" w:rsidRPr="00CB66BA">
        <w:rPr>
          <w:rFonts w:asciiTheme="minorEastAsia" w:eastAsiaTheme="minorEastAsia" w:hAnsiTheme="minorEastAsia" w:hint="eastAsia"/>
          <w:b/>
          <w:bCs/>
          <w:color w:val="333333"/>
        </w:rPr>
        <w:t>积极收益类</w:t>
      </w:r>
      <w:r w:rsidRPr="00CB66BA">
        <w:rPr>
          <w:rFonts w:asciiTheme="minorEastAsia" w:eastAsiaTheme="minorEastAsia" w:hAnsiTheme="minorEastAsia" w:hint="eastAsia"/>
          <w:b/>
          <w:bCs/>
          <w:color w:val="333333"/>
        </w:rPr>
        <w:t>B份额按照基金份额参考净值</w:t>
      </w:r>
      <w:r w:rsidR="006A3C1D">
        <w:rPr>
          <w:rFonts w:asciiTheme="minorEastAsia" w:eastAsiaTheme="minorEastAsia" w:hAnsiTheme="minorEastAsia" w:hint="eastAsia"/>
          <w:b/>
          <w:bCs/>
          <w:color w:val="333333"/>
        </w:rPr>
        <w:t>（而非二级市场交易价格）</w:t>
      </w:r>
      <w:r w:rsidRPr="00CB66BA">
        <w:rPr>
          <w:rFonts w:asciiTheme="minorEastAsia" w:eastAsiaTheme="minorEastAsia" w:hAnsiTheme="minorEastAsia" w:hint="eastAsia"/>
          <w:b/>
          <w:bCs/>
          <w:color w:val="333333"/>
        </w:rPr>
        <w:t>折算为</w:t>
      </w:r>
      <w:r w:rsidR="00EF75CA" w:rsidRPr="00CB66BA">
        <w:rPr>
          <w:rFonts w:asciiTheme="minorEastAsia" w:eastAsiaTheme="minorEastAsia" w:hAnsiTheme="minorEastAsia" w:hint="eastAsia"/>
          <w:b/>
          <w:bCs/>
          <w:color w:val="333333"/>
        </w:rPr>
        <w:t>基础</w:t>
      </w:r>
      <w:r w:rsidRPr="00CB66BA">
        <w:rPr>
          <w:rFonts w:asciiTheme="minorEastAsia" w:eastAsiaTheme="minorEastAsia" w:hAnsiTheme="minorEastAsia" w:hint="eastAsia"/>
          <w:b/>
          <w:bCs/>
          <w:color w:val="333333"/>
        </w:rPr>
        <w:t>份额</w:t>
      </w:r>
      <w:r w:rsidRPr="006E3BA2">
        <w:rPr>
          <w:rFonts w:asciiTheme="minorEastAsia" w:eastAsiaTheme="minorEastAsia" w:hAnsiTheme="minorEastAsia" w:hint="eastAsia"/>
          <w:b/>
          <w:bCs/>
          <w:color w:val="333333"/>
        </w:rPr>
        <w:t>的场内份额</w:t>
      </w:r>
      <w:r w:rsidR="006A3C1D">
        <w:rPr>
          <w:rFonts w:asciiTheme="minorEastAsia" w:eastAsiaTheme="minorEastAsia" w:hAnsiTheme="minorEastAsia" w:hint="eastAsia"/>
          <w:b/>
          <w:bCs/>
          <w:color w:val="333333"/>
        </w:rPr>
        <w:t>，并终止</w:t>
      </w:r>
      <w:r w:rsidR="006A3C1D" w:rsidRPr="00EF75CA">
        <w:rPr>
          <w:rFonts w:asciiTheme="minorEastAsia" w:eastAsiaTheme="minorEastAsia" w:hAnsiTheme="minorEastAsia" w:hint="eastAsia"/>
          <w:b/>
          <w:bCs/>
          <w:color w:val="333333"/>
        </w:rPr>
        <w:t>稳健收益类</w:t>
      </w:r>
      <w:r w:rsidR="006A3C1D" w:rsidRPr="00CB66BA">
        <w:rPr>
          <w:rFonts w:asciiTheme="minorEastAsia" w:eastAsiaTheme="minorEastAsia" w:hAnsiTheme="minorEastAsia" w:hint="eastAsia"/>
          <w:b/>
          <w:bCs/>
          <w:color w:val="333333"/>
        </w:rPr>
        <w:t>A份额与积极收益类B份额</w:t>
      </w:r>
      <w:r w:rsidR="006A3C1D">
        <w:rPr>
          <w:rFonts w:asciiTheme="minorEastAsia" w:eastAsiaTheme="minorEastAsia" w:hAnsiTheme="minorEastAsia" w:hint="eastAsia"/>
          <w:b/>
          <w:bCs/>
          <w:color w:val="333333"/>
        </w:rPr>
        <w:t>的上市</w:t>
      </w:r>
      <w:r w:rsidRPr="006E3BA2">
        <w:rPr>
          <w:rFonts w:asciiTheme="minorEastAsia" w:eastAsiaTheme="minorEastAsia" w:hAnsiTheme="minorEastAsia" w:hint="eastAsia"/>
          <w:b/>
          <w:bCs/>
          <w:color w:val="333333"/>
        </w:rPr>
        <w:t>。敬请投资者</w:t>
      </w:r>
      <w:r w:rsidR="006A3C1D" w:rsidRPr="006A3C1D">
        <w:rPr>
          <w:rFonts w:asciiTheme="minorEastAsia" w:eastAsiaTheme="minorEastAsia" w:hAnsiTheme="minorEastAsia" w:hint="eastAsia"/>
          <w:b/>
          <w:bCs/>
          <w:color w:val="333333"/>
        </w:rPr>
        <w:t>关注相关风险以及基金管理人发布的</w:t>
      </w:r>
      <w:r w:rsidR="006A3C1D">
        <w:rPr>
          <w:rFonts w:asciiTheme="minorEastAsia" w:eastAsiaTheme="minorEastAsia" w:hAnsiTheme="minorEastAsia" w:hint="eastAsia"/>
          <w:b/>
          <w:bCs/>
          <w:color w:val="333333"/>
        </w:rPr>
        <w:t>相关公告，</w:t>
      </w:r>
      <w:r w:rsidRPr="006E3BA2">
        <w:rPr>
          <w:rFonts w:asciiTheme="minorEastAsia" w:eastAsiaTheme="minorEastAsia" w:hAnsiTheme="minorEastAsia" w:hint="eastAsia"/>
          <w:b/>
          <w:bCs/>
          <w:color w:val="333333"/>
        </w:rPr>
        <w:t>合理安排投资计划。</w:t>
      </w:r>
    </w:p>
    <w:p w:rsidR="0092453D" w:rsidRDefault="00BC03D6" w:rsidP="00BC03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重要</w:t>
      </w:r>
      <w:r>
        <w:rPr>
          <w:rFonts w:asciiTheme="minorEastAsia" w:eastAsiaTheme="minorEastAsia" w:hAnsiTheme="minorEastAsia"/>
          <w:color w:val="333333"/>
        </w:rPr>
        <w:t>提示</w:t>
      </w:r>
      <w:r>
        <w:rPr>
          <w:rFonts w:asciiTheme="minorEastAsia" w:eastAsiaTheme="minorEastAsia" w:hAnsiTheme="minorEastAsia" w:hint="eastAsia"/>
          <w:color w:val="333333"/>
        </w:rPr>
        <w:t>：</w:t>
      </w:r>
    </w:p>
    <w:p w:rsidR="00BC03D6" w:rsidRPr="00BC03D6" w:rsidRDefault="00BC03D6" w:rsidP="00BC03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C03D6">
        <w:rPr>
          <w:rFonts w:asciiTheme="minorEastAsia" w:eastAsiaTheme="minorEastAsia" w:hAnsiTheme="minorEastAsia" w:hint="eastAsia"/>
          <w:color w:val="333333"/>
        </w:rPr>
        <w:t>1、上述分级基金整改前，</w:t>
      </w:r>
      <w:r w:rsidRPr="00BC03D6">
        <w:rPr>
          <w:rFonts w:asciiTheme="minorEastAsia" w:eastAsiaTheme="minorEastAsia" w:hAnsiTheme="minorEastAsia" w:hint="eastAsia"/>
          <w:bCs/>
          <w:color w:val="333333"/>
        </w:rPr>
        <w:t>稳健收益类A份额</w:t>
      </w:r>
      <w:r w:rsidRPr="00BC03D6">
        <w:rPr>
          <w:rFonts w:asciiTheme="minorEastAsia" w:eastAsiaTheme="minorEastAsia" w:hAnsiTheme="minorEastAsia" w:hint="eastAsia"/>
          <w:color w:val="333333"/>
        </w:rPr>
        <w:t>与</w:t>
      </w:r>
      <w:r w:rsidRPr="00BC03D6">
        <w:rPr>
          <w:rFonts w:asciiTheme="minorEastAsia" w:eastAsiaTheme="minorEastAsia" w:hAnsiTheme="minorEastAsia" w:hint="eastAsia"/>
          <w:bCs/>
          <w:color w:val="333333"/>
        </w:rPr>
        <w:t>积极收益类B份额</w:t>
      </w:r>
      <w:r w:rsidRPr="00BC03D6">
        <w:rPr>
          <w:rFonts w:asciiTheme="minorEastAsia" w:eastAsiaTheme="minorEastAsia" w:hAnsiTheme="minorEastAsia" w:hint="eastAsia"/>
          <w:color w:val="333333"/>
        </w:rPr>
        <w:t>仍可在二级市场正常交易，期间，</w:t>
      </w:r>
      <w:r w:rsidRPr="00BC03D6">
        <w:rPr>
          <w:rFonts w:asciiTheme="minorEastAsia" w:eastAsiaTheme="minorEastAsia" w:hAnsiTheme="minorEastAsia" w:hint="eastAsia"/>
          <w:bCs/>
          <w:color w:val="333333"/>
        </w:rPr>
        <w:t>稳健收益类A份额</w:t>
      </w:r>
      <w:r w:rsidRPr="00BC03D6">
        <w:rPr>
          <w:rFonts w:asciiTheme="minorEastAsia" w:eastAsiaTheme="minorEastAsia" w:hAnsiTheme="minorEastAsia" w:hint="eastAsia"/>
          <w:color w:val="333333"/>
        </w:rPr>
        <w:t>与</w:t>
      </w:r>
      <w:r w:rsidRPr="00BC03D6">
        <w:rPr>
          <w:rFonts w:asciiTheme="minorEastAsia" w:eastAsiaTheme="minorEastAsia" w:hAnsiTheme="minorEastAsia" w:hint="eastAsia"/>
          <w:bCs/>
          <w:color w:val="333333"/>
        </w:rPr>
        <w:t>积极收益类B份额</w:t>
      </w:r>
      <w:r w:rsidRPr="00BC03D6">
        <w:rPr>
          <w:rFonts w:asciiTheme="minorEastAsia" w:eastAsiaTheme="minorEastAsia" w:hAnsiTheme="minorEastAsia" w:hint="eastAsia"/>
          <w:color w:val="333333"/>
        </w:rPr>
        <w:t>可能存在折溢价交易情形，其折溢价率可能发生较大变化。</w:t>
      </w:r>
    </w:p>
    <w:p w:rsidR="00BC03D6" w:rsidRDefault="00BC03D6" w:rsidP="00BC03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C03D6">
        <w:rPr>
          <w:rFonts w:asciiTheme="minorEastAsia" w:eastAsiaTheme="minorEastAsia" w:hAnsiTheme="minorEastAsia" w:hint="eastAsia"/>
          <w:color w:val="333333"/>
        </w:rPr>
        <w:t>2、</w:t>
      </w:r>
      <w:r>
        <w:rPr>
          <w:rFonts w:asciiTheme="minorEastAsia" w:eastAsiaTheme="minorEastAsia" w:hAnsiTheme="minorEastAsia" w:hint="eastAsia"/>
          <w:color w:val="333333"/>
        </w:rPr>
        <w:t>上述分级</w:t>
      </w:r>
      <w:r w:rsidRPr="00BC03D6">
        <w:rPr>
          <w:rFonts w:asciiTheme="minorEastAsia" w:eastAsiaTheme="minorEastAsia" w:hAnsiTheme="minorEastAsia" w:hint="eastAsia"/>
          <w:color w:val="333333"/>
        </w:rPr>
        <w:t>基金整改将分级运作的稳健收益类A份额与积极收益类B份额按照基金份额参考净值</w:t>
      </w:r>
      <w:r w:rsidR="00892645" w:rsidRPr="00892645">
        <w:rPr>
          <w:rFonts w:asciiTheme="minorEastAsia" w:eastAsiaTheme="minorEastAsia" w:hAnsiTheme="minorEastAsia" w:hint="eastAsia"/>
          <w:color w:val="333333"/>
        </w:rPr>
        <w:t>（而非二级市场交易价格）</w:t>
      </w:r>
      <w:r w:rsidRPr="00BC03D6">
        <w:rPr>
          <w:rFonts w:asciiTheme="minorEastAsia" w:eastAsiaTheme="minorEastAsia" w:hAnsiTheme="minorEastAsia" w:hint="eastAsia"/>
          <w:color w:val="333333"/>
        </w:rPr>
        <w:t>折算为基础份额的场内份额。如果投资者在整改前以溢价买入或持有，</w:t>
      </w:r>
      <w:r w:rsidR="00A239B0">
        <w:rPr>
          <w:rFonts w:asciiTheme="minorEastAsia" w:eastAsiaTheme="minorEastAsia" w:hAnsiTheme="minorEastAsia" w:hint="eastAsia"/>
          <w:color w:val="333333"/>
        </w:rPr>
        <w:t>折算</w:t>
      </w:r>
      <w:r w:rsidRPr="00BC03D6">
        <w:rPr>
          <w:rFonts w:asciiTheme="minorEastAsia" w:eastAsiaTheme="minorEastAsia" w:hAnsiTheme="minorEastAsia" w:hint="eastAsia"/>
          <w:color w:val="333333"/>
        </w:rPr>
        <w:t>后可能遭受因溢价消失带来的较大损失。请投资者注意相关投资风险。</w:t>
      </w:r>
    </w:p>
    <w:p w:rsidR="006E3BA2" w:rsidRPr="006E3BA2" w:rsidRDefault="006E3BA2" w:rsidP="00BC03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</w:p>
    <w:p w:rsidR="006B1D3A" w:rsidRPr="006E3BA2" w:rsidRDefault="006B1D3A" w:rsidP="00BC03D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333333"/>
        </w:rPr>
      </w:pPr>
      <w:r w:rsidRPr="006E3BA2">
        <w:rPr>
          <w:rFonts w:asciiTheme="minorEastAsia" w:eastAsiaTheme="minorEastAsia" w:hAnsiTheme="minorEastAsia" w:hint="eastAsia"/>
          <w:color w:val="333333"/>
        </w:rPr>
        <w:t>富国基金管理有限公司</w:t>
      </w:r>
    </w:p>
    <w:p w:rsidR="006B1D3A" w:rsidRDefault="00A239B0" w:rsidP="00BC03D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微软雅黑" w:eastAsia="微软雅黑" w:hAnsi="微软雅黑"/>
          <w:color w:val="333333"/>
        </w:rPr>
      </w:pPr>
      <w:r w:rsidRPr="006E3BA2">
        <w:rPr>
          <w:rFonts w:asciiTheme="minorEastAsia" w:eastAsiaTheme="minorEastAsia" w:hAnsiTheme="minorEastAsia" w:hint="eastAsia"/>
          <w:color w:val="333333"/>
        </w:rPr>
        <w:t>2020年</w:t>
      </w:r>
      <w:r>
        <w:rPr>
          <w:rFonts w:asciiTheme="minorEastAsia" w:eastAsiaTheme="minorEastAsia" w:hAnsiTheme="minorEastAsia"/>
          <w:color w:val="333333"/>
        </w:rPr>
        <w:t>11</w:t>
      </w:r>
      <w:r w:rsidRPr="006E3BA2">
        <w:rPr>
          <w:rFonts w:asciiTheme="minorEastAsia" w:eastAsiaTheme="minorEastAsia" w:hAnsiTheme="minorEastAsia" w:hint="eastAsia"/>
          <w:color w:val="333333"/>
        </w:rPr>
        <w:t>月</w:t>
      </w:r>
      <w:r w:rsidR="00F05286">
        <w:rPr>
          <w:rFonts w:asciiTheme="minorEastAsia" w:eastAsiaTheme="minorEastAsia" w:hAnsiTheme="minorEastAsia"/>
          <w:color w:val="333333"/>
        </w:rPr>
        <w:t>25</w:t>
      </w:r>
      <w:bookmarkStart w:id="0" w:name="_GoBack"/>
      <w:bookmarkEnd w:id="0"/>
      <w:r w:rsidR="006B1D3A" w:rsidRPr="006E3BA2">
        <w:rPr>
          <w:rFonts w:asciiTheme="minorEastAsia" w:eastAsiaTheme="minorEastAsia" w:hAnsiTheme="minorEastAsia" w:hint="eastAsia"/>
          <w:color w:val="333333"/>
        </w:rPr>
        <w:t>日</w:t>
      </w:r>
    </w:p>
    <w:p w:rsidR="006B1D3A" w:rsidRPr="001270F3" w:rsidRDefault="006B1D3A" w:rsidP="00BC03D6">
      <w:pPr>
        <w:spacing w:line="360" w:lineRule="auto"/>
      </w:pPr>
    </w:p>
    <w:sectPr w:rsidR="006B1D3A" w:rsidRPr="001270F3" w:rsidSect="00F91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72" w:rsidRDefault="00D50C72" w:rsidP="001270F3">
      <w:r>
        <w:separator/>
      </w:r>
    </w:p>
  </w:endnote>
  <w:endnote w:type="continuationSeparator" w:id="0">
    <w:p w:rsidR="00D50C72" w:rsidRDefault="00D50C72" w:rsidP="0012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72" w:rsidRDefault="00D50C72" w:rsidP="001270F3">
      <w:r>
        <w:separator/>
      </w:r>
    </w:p>
  </w:footnote>
  <w:footnote w:type="continuationSeparator" w:id="0">
    <w:p w:rsidR="00D50C72" w:rsidRDefault="00D50C72" w:rsidP="00127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1C6"/>
    <w:rsid w:val="0000445C"/>
    <w:rsid w:val="00014689"/>
    <w:rsid w:val="000426A6"/>
    <w:rsid w:val="00091558"/>
    <w:rsid w:val="000B0C56"/>
    <w:rsid w:val="000C05C0"/>
    <w:rsid w:val="000C6D23"/>
    <w:rsid w:val="000D38CE"/>
    <w:rsid w:val="001270F3"/>
    <w:rsid w:val="00182CA9"/>
    <w:rsid w:val="001C1CF7"/>
    <w:rsid w:val="002369B2"/>
    <w:rsid w:val="00254A81"/>
    <w:rsid w:val="002C459B"/>
    <w:rsid w:val="002E5887"/>
    <w:rsid w:val="00313131"/>
    <w:rsid w:val="003B00B2"/>
    <w:rsid w:val="003E4542"/>
    <w:rsid w:val="00441EB3"/>
    <w:rsid w:val="00442E4E"/>
    <w:rsid w:val="00444879"/>
    <w:rsid w:val="00450CCB"/>
    <w:rsid w:val="004D31CF"/>
    <w:rsid w:val="004E0D02"/>
    <w:rsid w:val="004F5556"/>
    <w:rsid w:val="005542E9"/>
    <w:rsid w:val="00554F23"/>
    <w:rsid w:val="00572F75"/>
    <w:rsid w:val="005B0449"/>
    <w:rsid w:val="005F389B"/>
    <w:rsid w:val="00601099"/>
    <w:rsid w:val="006026FE"/>
    <w:rsid w:val="00605BCC"/>
    <w:rsid w:val="00612949"/>
    <w:rsid w:val="00647E25"/>
    <w:rsid w:val="00650060"/>
    <w:rsid w:val="00675F34"/>
    <w:rsid w:val="006A3C1D"/>
    <w:rsid w:val="006B1D3A"/>
    <w:rsid w:val="006E3BA2"/>
    <w:rsid w:val="006F4872"/>
    <w:rsid w:val="007A6448"/>
    <w:rsid w:val="007C323A"/>
    <w:rsid w:val="007C7045"/>
    <w:rsid w:val="007D2309"/>
    <w:rsid w:val="007D3EC8"/>
    <w:rsid w:val="007D67C4"/>
    <w:rsid w:val="007E6253"/>
    <w:rsid w:val="0082397D"/>
    <w:rsid w:val="00852D32"/>
    <w:rsid w:val="00853CE7"/>
    <w:rsid w:val="00874A5B"/>
    <w:rsid w:val="00892645"/>
    <w:rsid w:val="00903064"/>
    <w:rsid w:val="0092453D"/>
    <w:rsid w:val="00972A9A"/>
    <w:rsid w:val="009D5836"/>
    <w:rsid w:val="00A239B0"/>
    <w:rsid w:val="00A330D3"/>
    <w:rsid w:val="00A50F5C"/>
    <w:rsid w:val="00A51748"/>
    <w:rsid w:val="00A56ABA"/>
    <w:rsid w:val="00AB6BD9"/>
    <w:rsid w:val="00B51424"/>
    <w:rsid w:val="00B87734"/>
    <w:rsid w:val="00B90064"/>
    <w:rsid w:val="00B91151"/>
    <w:rsid w:val="00BB0290"/>
    <w:rsid w:val="00BB61FF"/>
    <w:rsid w:val="00BC03D6"/>
    <w:rsid w:val="00BC392C"/>
    <w:rsid w:val="00BD6917"/>
    <w:rsid w:val="00C033DB"/>
    <w:rsid w:val="00C52783"/>
    <w:rsid w:val="00C67B26"/>
    <w:rsid w:val="00C67F07"/>
    <w:rsid w:val="00C8004B"/>
    <w:rsid w:val="00CB66BA"/>
    <w:rsid w:val="00CD2943"/>
    <w:rsid w:val="00D06ED7"/>
    <w:rsid w:val="00D07B5E"/>
    <w:rsid w:val="00D156E6"/>
    <w:rsid w:val="00D50C72"/>
    <w:rsid w:val="00D84FC0"/>
    <w:rsid w:val="00DE35DE"/>
    <w:rsid w:val="00DE4F80"/>
    <w:rsid w:val="00E834CF"/>
    <w:rsid w:val="00EB41B6"/>
    <w:rsid w:val="00EC7C2B"/>
    <w:rsid w:val="00EE2A6D"/>
    <w:rsid w:val="00EF1F9A"/>
    <w:rsid w:val="00EF75CA"/>
    <w:rsid w:val="00F05286"/>
    <w:rsid w:val="00F211C6"/>
    <w:rsid w:val="00F72CF8"/>
    <w:rsid w:val="00F9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B1D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1D3A"/>
    <w:rPr>
      <w:sz w:val="18"/>
      <w:szCs w:val="18"/>
    </w:rPr>
  </w:style>
  <w:style w:type="table" w:styleId="a5">
    <w:name w:val="Table Grid"/>
    <w:basedOn w:val="a1"/>
    <w:uiPriority w:val="59"/>
    <w:rsid w:val="006B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6E3BA2"/>
  </w:style>
  <w:style w:type="paragraph" w:styleId="a7">
    <w:name w:val="header"/>
    <w:basedOn w:val="a"/>
    <w:link w:val="Char0"/>
    <w:uiPriority w:val="99"/>
    <w:unhideWhenUsed/>
    <w:rsid w:val="0012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270F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27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270F3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1B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F959-7587-4BB4-AB1E-BFF9B7BF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4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邵诗卉0923</dc:creator>
  <cp:keywords/>
  <dc:description/>
  <cp:lastModifiedBy>ZHONGM</cp:lastModifiedBy>
  <cp:revision>2</cp:revision>
  <dcterms:created xsi:type="dcterms:W3CDTF">2020-11-24T16:01:00Z</dcterms:created>
  <dcterms:modified xsi:type="dcterms:W3CDTF">2020-11-24T16:01:00Z</dcterms:modified>
</cp:coreProperties>
</file>