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D7097">
      <w:pPr>
        <w:jc w:val="center"/>
        <w:rPr>
          <w:b/>
          <w:sz w:val="32"/>
          <w:szCs w:val="32"/>
        </w:rPr>
      </w:pPr>
      <w:r>
        <w:rPr>
          <w:rFonts w:hint="eastAsia"/>
          <w:b/>
          <w:sz w:val="32"/>
          <w:szCs w:val="32"/>
        </w:rPr>
        <w:t>银华沪深</w:t>
      </w:r>
      <w:r>
        <w:rPr>
          <w:rFonts w:hint="eastAsia"/>
          <w:b/>
          <w:sz w:val="32"/>
          <w:szCs w:val="32"/>
        </w:rPr>
        <w:t>300</w:t>
      </w:r>
      <w:r>
        <w:rPr>
          <w:rFonts w:hint="eastAsia"/>
          <w:b/>
          <w:sz w:val="32"/>
          <w:szCs w:val="32"/>
        </w:rPr>
        <w:t>指数分级证券投资基金之</w:t>
      </w:r>
      <w:r>
        <w:rPr>
          <w:rFonts w:hint="eastAsia"/>
          <w:b/>
          <w:sz w:val="32"/>
          <w:szCs w:val="32"/>
        </w:rPr>
        <w:t>银华</w:t>
      </w:r>
      <w:r>
        <w:rPr>
          <w:rFonts w:hint="eastAsia"/>
          <w:b/>
          <w:sz w:val="32"/>
          <w:szCs w:val="32"/>
        </w:rPr>
        <w:t>300</w:t>
      </w:r>
      <w:r>
        <w:rPr>
          <w:rFonts w:hint="eastAsia"/>
          <w:b/>
          <w:sz w:val="32"/>
          <w:szCs w:val="32"/>
        </w:rPr>
        <w:t>A</w:t>
      </w:r>
      <w:r>
        <w:rPr>
          <w:rFonts w:hint="eastAsia"/>
          <w:b/>
          <w:sz w:val="32"/>
          <w:szCs w:val="32"/>
        </w:rPr>
        <w:t>份额与</w:t>
      </w:r>
      <w:r>
        <w:rPr>
          <w:rFonts w:hint="eastAsia"/>
          <w:b/>
          <w:sz w:val="32"/>
          <w:szCs w:val="32"/>
        </w:rPr>
        <w:t>银华</w:t>
      </w:r>
      <w:r>
        <w:rPr>
          <w:rFonts w:hint="eastAsia"/>
          <w:b/>
          <w:sz w:val="32"/>
          <w:szCs w:val="32"/>
        </w:rPr>
        <w:t>300</w:t>
      </w:r>
      <w:r>
        <w:rPr>
          <w:rFonts w:hint="eastAsia"/>
          <w:b/>
          <w:sz w:val="32"/>
          <w:szCs w:val="32"/>
        </w:rPr>
        <w:t>B</w:t>
      </w:r>
      <w:r>
        <w:rPr>
          <w:rFonts w:hint="eastAsia"/>
          <w:b/>
          <w:sz w:val="32"/>
          <w:szCs w:val="32"/>
        </w:rPr>
        <w:t>份额终止上市的第一次提示性公告</w:t>
      </w:r>
    </w:p>
    <w:p w:rsidR="00000000" w:rsidRDefault="005D7097">
      <w:pPr>
        <w:spacing w:line="360" w:lineRule="auto"/>
        <w:jc w:val="center"/>
        <w:rPr>
          <w:b/>
          <w:sz w:val="36"/>
        </w:rPr>
      </w:pP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银华基金管理股份有限公司（以下简称“基金管理人”）已于</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24</w:t>
      </w:r>
      <w:r>
        <w:rPr>
          <w:rFonts w:ascii="宋体" w:hAnsi="宋体" w:hint="eastAsia"/>
          <w:sz w:val="24"/>
          <w:szCs w:val="24"/>
        </w:rPr>
        <w:t>日发布了《银华沪深</w:t>
      </w:r>
      <w:r>
        <w:rPr>
          <w:rFonts w:ascii="宋体" w:hAnsi="宋体" w:hint="eastAsia"/>
          <w:sz w:val="24"/>
          <w:szCs w:val="24"/>
        </w:rPr>
        <w:t>300</w:t>
      </w:r>
      <w:r>
        <w:rPr>
          <w:rFonts w:ascii="宋体" w:hAnsi="宋体" w:hint="eastAsia"/>
          <w:sz w:val="24"/>
          <w:szCs w:val="24"/>
        </w:rPr>
        <w:t>指数分级证券投资基金之银华</w:t>
      </w:r>
      <w:r>
        <w:rPr>
          <w:rFonts w:ascii="宋体" w:hAnsi="宋体" w:hint="eastAsia"/>
          <w:sz w:val="24"/>
          <w:szCs w:val="24"/>
        </w:rPr>
        <w:t>300A</w:t>
      </w:r>
      <w:r>
        <w:rPr>
          <w:rFonts w:ascii="宋体" w:hAnsi="宋体" w:hint="eastAsia"/>
          <w:sz w:val="24"/>
          <w:szCs w:val="24"/>
        </w:rPr>
        <w:t>份额与银华</w:t>
      </w:r>
      <w:r>
        <w:rPr>
          <w:rFonts w:ascii="宋体" w:hAnsi="宋体" w:hint="eastAsia"/>
          <w:sz w:val="24"/>
          <w:szCs w:val="24"/>
        </w:rPr>
        <w:t>300B</w:t>
      </w:r>
      <w:r>
        <w:rPr>
          <w:rFonts w:ascii="宋体" w:hAnsi="宋体" w:hint="eastAsia"/>
          <w:sz w:val="24"/>
          <w:szCs w:val="24"/>
        </w:rPr>
        <w:t>份额的终止上市公告》。为了保护银华沪深</w:t>
      </w:r>
      <w:r>
        <w:rPr>
          <w:rFonts w:ascii="宋体" w:hAnsi="宋体" w:hint="eastAsia"/>
          <w:sz w:val="24"/>
          <w:szCs w:val="24"/>
        </w:rPr>
        <w:t>300</w:t>
      </w:r>
      <w:r>
        <w:rPr>
          <w:rFonts w:ascii="宋体" w:hAnsi="宋体" w:hint="eastAsia"/>
          <w:sz w:val="24"/>
          <w:szCs w:val="24"/>
        </w:rPr>
        <w:t>指数分级证券投资基金基金份额持有人的权益，现发布银华沪深</w:t>
      </w:r>
      <w:r>
        <w:rPr>
          <w:rFonts w:ascii="宋体" w:hAnsi="宋体" w:hint="eastAsia"/>
          <w:sz w:val="24"/>
          <w:szCs w:val="24"/>
        </w:rPr>
        <w:t>300</w:t>
      </w:r>
      <w:r>
        <w:rPr>
          <w:rFonts w:ascii="宋体" w:hAnsi="宋体" w:hint="eastAsia"/>
          <w:sz w:val="24"/>
          <w:szCs w:val="24"/>
        </w:rPr>
        <w:t>指数分级证券投资基金之银华</w:t>
      </w:r>
      <w:r>
        <w:rPr>
          <w:rFonts w:ascii="宋体" w:hAnsi="宋体" w:hint="eastAsia"/>
          <w:sz w:val="24"/>
          <w:szCs w:val="24"/>
        </w:rPr>
        <w:t>300A</w:t>
      </w:r>
      <w:r>
        <w:rPr>
          <w:rFonts w:ascii="宋体" w:hAnsi="宋体" w:hint="eastAsia"/>
          <w:sz w:val="24"/>
          <w:szCs w:val="24"/>
        </w:rPr>
        <w:t>份额、银华</w:t>
      </w:r>
      <w:r>
        <w:rPr>
          <w:rFonts w:ascii="宋体" w:hAnsi="宋体" w:hint="eastAsia"/>
          <w:sz w:val="24"/>
          <w:szCs w:val="24"/>
        </w:rPr>
        <w:t>300B</w:t>
      </w:r>
      <w:r>
        <w:rPr>
          <w:rFonts w:ascii="宋体" w:hAnsi="宋体" w:hint="eastAsia"/>
          <w:sz w:val="24"/>
          <w:szCs w:val="24"/>
        </w:rPr>
        <w:t>份额终止上市的第一次提示性公告。</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根据《中华人民共和国证券投资基金法》、《公开募集证券投资基金运作管理办</w:t>
      </w:r>
      <w:r>
        <w:rPr>
          <w:rFonts w:ascii="宋体" w:hAnsi="宋体" w:hint="eastAsia"/>
          <w:sz w:val="24"/>
          <w:szCs w:val="24"/>
        </w:rPr>
        <w:t>法》、《深圳证券交易所证券投资基金上市规则》和《关于</w:t>
      </w:r>
      <w:r>
        <w:rPr>
          <w:rFonts w:hint="eastAsia"/>
          <w:sz w:val="24"/>
          <w:szCs w:val="24"/>
        </w:rPr>
        <w:t>银华沪深</w:t>
      </w:r>
      <w:r>
        <w:rPr>
          <w:rFonts w:hint="eastAsia"/>
          <w:sz w:val="24"/>
          <w:szCs w:val="24"/>
        </w:rPr>
        <w:t>300</w:t>
      </w:r>
      <w:r>
        <w:rPr>
          <w:rFonts w:hint="eastAsia"/>
          <w:sz w:val="24"/>
          <w:szCs w:val="24"/>
        </w:rPr>
        <w:t>指数分级证券投资基金</w:t>
      </w:r>
      <w:r>
        <w:rPr>
          <w:rFonts w:ascii="宋体" w:hAnsi="宋体" w:hint="eastAsia"/>
          <w:sz w:val="24"/>
          <w:szCs w:val="24"/>
        </w:rPr>
        <w:t>基金份额持有人大会表决结果暨决议生效公告》等的有关规定，</w:t>
      </w:r>
      <w:r>
        <w:rPr>
          <w:rFonts w:hint="eastAsia"/>
          <w:sz w:val="24"/>
          <w:szCs w:val="24"/>
        </w:rPr>
        <w:t>银华沪深</w:t>
      </w:r>
      <w:r>
        <w:rPr>
          <w:rFonts w:hint="eastAsia"/>
          <w:sz w:val="24"/>
          <w:szCs w:val="24"/>
        </w:rPr>
        <w:t>300</w:t>
      </w:r>
      <w:r>
        <w:rPr>
          <w:rFonts w:hint="eastAsia"/>
          <w:sz w:val="24"/>
          <w:szCs w:val="24"/>
        </w:rPr>
        <w:t>指数分级证券投资基金</w:t>
      </w:r>
      <w:r>
        <w:rPr>
          <w:rFonts w:ascii="宋体" w:hAnsi="宋体" w:hint="eastAsia"/>
          <w:sz w:val="24"/>
          <w:szCs w:val="24"/>
        </w:rPr>
        <w:t>（基金代码：</w:t>
      </w:r>
      <w:r>
        <w:rPr>
          <w:rFonts w:ascii="宋体" w:hAnsi="宋体" w:hint="eastAsia"/>
          <w:sz w:val="24"/>
          <w:szCs w:val="24"/>
        </w:rPr>
        <w:t>16181</w:t>
      </w:r>
      <w:r>
        <w:rPr>
          <w:rFonts w:ascii="宋体" w:hAnsi="宋体" w:hint="eastAsia"/>
          <w:sz w:val="24"/>
          <w:szCs w:val="24"/>
        </w:rPr>
        <w:t>1</w:t>
      </w:r>
      <w:r>
        <w:rPr>
          <w:rFonts w:ascii="宋体" w:hAnsi="宋体" w:hint="eastAsia"/>
          <w:sz w:val="24"/>
          <w:szCs w:val="24"/>
        </w:rPr>
        <w:t>，以下简称“本基金”）基金管理人</w:t>
      </w:r>
      <w:r>
        <w:rPr>
          <w:rFonts w:ascii="宋体" w:hAnsi="宋体"/>
          <w:sz w:val="24"/>
          <w:szCs w:val="24"/>
        </w:rPr>
        <w:t>已向深圳证券交易所申请终止</w:t>
      </w:r>
      <w:r>
        <w:rPr>
          <w:rFonts w:ascii="宋体" w:hAnsi="宋体" w:hint="eastAsia"/>
          <w:sz w:val="24"/>
          <w:szCs w:val="24"/>
        </w:rPr>
        <w:t>本基金之</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w:t>
      </w:r>
      <w:r>
        <w:rPr>
          <w:rFonts w:ascii="宋体" w:hAnsi="宋体"/>
          <w:sz w:val="24"/>
          <w:szCs w:val="24"/>
        </w:rPr>
        <w:t>的上市交易，并获得深圳证券交易所《终止上市通知书》</w:t>
      </w:r>
      <w:r>
        <w:rPr>
          <w:rFonts w:ascii="宋体" w:hAnsi="宋体" w:hint="eastAsia"/>
          <w:sz w:val="24"/>
          <w:szCs w:val="24"/>
        </w:rPr>
        <w:t>（</w:t>
      </w:r>
      <w:r>
        <w:rPr>
          <w:rFonts w:ascii="宋体" w:hAnsi="宋体"/>
          <w:sz w:val="24"/>
          <w:szCs w:val="24"/>
        </w:rPr>
        <w:t>深证上</w:t>
      </w:r>
      <w:r>
        <w:rPr>
          <w:rFonts w:ascii="宋体" w:hAnsi="宋体"/>
          <w:sz w:val="24"/>
          <w:szCs w:val="24"/>
        </w:rPr>
        <w:t>[20</w:t>
      </w:r>
      <w:r>
        <w:rPr>
          <w:rFonts w:ascii="宋体" w:hAnsi="宋体" w:hint="eastAsia"/>
          <w:sz w:val="24"/>
          <w:szCs w:val="24"/>
        </w:rPr>
        <w:t>20</w:t>
      </w:r>
      <w:r>
        <w:rPr>
          <w:rFonts w:ascii="宋体" w:hAnsi="宋体"/>
          <w:sz w:val="24"/>
          <w:szCs w:val="24"/>
        </w:rPr>
        <w:t>]</w:t>
      </w:r>
      <w:r>
        <w:rPr>
          <w:rFonts w:ascii="宋体" w:hAnsi="宋体" w:hint="eastAsia"/>
          <w:sz w:val="24"/>
          <w:szCs w:val="24"/>
        </w:rPr>
        <w:t>1059</w:t>
      </w:r>
      <w:r>
        <w:rPr>
          <w:rFonts w:ascii="宋体" w:hAnsi="宋体"/>
          <w:sz w:val="24"/>
          <w:szCs w:val="24"/>
        </w:rPr>
        <w:t>号</w:t>
      </w:r>
      <w:r>
        <w:rPr>
          <w:rFonts w:ascii="宋体" w:hAnsi="宋体" w:hint="eastAsia"/>
          <w:sz w:val="24"/>
          <w:szCs w:val="24"/>
        </w:rPr>
        <w:t>）</w:t>
      </w:r>
      <w:r>
        <w:rPr>
          <w:rFonts w:ascii="宋体" w:hAnsi="宋体"/>
          <w:sz w:val="24"/>
          <w:szCs w:val="24"/>
        </w:rPr>
        <w:t>同意。现将</w:t>
      </w:r>
      <w:r>
        <w:rPr>
          <w:rFonts w:ascii="宋体" w:hAnsi="宋体" w:hint="eastAsia"/>
          <w:sz w:val="24"/>
          <w:szCs w:val="24"/>
        </w:rPr>
        <w:t>本基金之</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w:t>
      </w:r>
      <w:r>
        <w:rPr>
          <w:rFonts w:ascii="宋体" w:hAnsi="宋体"/>
          <w:sz w:val="24"/>
          <w:szCs w:val="24"/>
        </w:rPr>
        <w:t>终止上市相关事项公告如下：</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一</w:t>
      </w:r>
      <w:r>
        <w:rPr>
          <w:rFonts w:ascii="宋体" w:hAnsi="宋体"/>
          <w:sz w:val="24"/>
          <w:szCs w:val="24"/>
        </w:rPr>
        <w:t>、</w:t>
      </w:r>
      <w:r>
        <w:rPr>
          <w:rFonts w:ascii="宋体" w:hAnsi="宋体" w:hint="eastAsia"/>
          <w:sz w:val="24"/>
          <w:szCs w:val="24"/>
        </w:rPr>
        <w:t>终止上市基金的基本信息</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（一）</w:t>
      </w:r>
      <w:r>
        <w:rPr>
          <w:rFonts w:hint="eastAsia"/>
          <w:sz w:val="24"/>
          <w:szCs w:val="24"/>
        </w:rPr>
        <w:t>银华沪深</w:t>
      </w:r>
      <w:r>
        <w:rPr>
          <w:rFonts w:hint="eastAsia"/>
          <w:sz w:val="24"/>
          <w:szCs w:val="24"/>
        </w:rPr>
        <w:t>300</w:t>
      </w:r>
      <w:r>
        <w:rPr>
          <w:rFonts w:hint="eastAsia"/>
          <w:sz w:val="24"/>
          <w:szCs w:val="24"/>
        </w:rPr>
        <w:t>指</w:t>
      </w:r>
      <w:r>
        <w:rPr>
          <w:rFonts w:hint="eastAsia"/>
          <w:sz w:val="24"/>
          <w:szCs w:val="24"/>
        </w:rPr>
        <w:t>数分级证券投资基金</w:t>
      </w:r>
      <w:r>
        <w:rPr>
          <w:rFonts w:ascii="宋体" w:hAnsi="宋体" w:hint="eastAsia"/>
          <w:sz w:val="24"/>
          <w:szCs w:val="24"/>
        </w:rPr>
        <w:t>之</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场内简称：</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交易代码：</w:t>
      </w:r>
      <w:r>
        <w:rPr>
          <w:rFonts w:ascii="宋体" w:hAnsi="宋体"/>
          <w:sz w:val="24"/>
          <w:szCs w:val="24"/>
        </w:rPr>
        <w:t>150</w:t>
      </w:r>
      <w:r>
        <w:rPr>
          <w:rFonts w:ascii="宋体" w:hAnsi="宋体" w:hint="eastAsia"/>
          <w:sz w:val="24"/>
          <w:szCs w:val="24"/>
        </w:rPr>
        <w:t>167</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（二）</w:t>
      </w:r>
      <w:r>
        <w:rPr>
          <w:rFonts w:hint="eastAsia"/>
          <w:sz w:val="24"/>
          <w:szCs w:val="24"/>
        </w:rPr>
        <w:t>银华沪深</w:t>
      </w:r>
      <w:r>
        <w:rPr>
          <w:rFonts w:hint="eastAsia"/>
          <w:sz w:val="24"/>
          <w:szCs w:val="24"/>
        </w:rPr>
        <w:t>300</w:t>
      </w:r>
      <w:r>
        <w:rPr>
          <w:rFonts w:hint="eastAsia"/>
          <w:sz w:val="24"/>
          <w:szCs w:val="24"/>
        </w:rPr>
        <w:t>指数分级证券投资基金</w:t>
      </w:r>
      <w:r>
        <w:rPr>
          <w:rFonts w:ascii="宋体" w:hAnsi="宋体" w:hint="eastAsia"/>
          <w:sz w:val="24"/>
          <w:szCs w:val="24"/>
        </w:rPr>
        <w:t>之</w:t>
      </w:r>
      <w:r>
        <w:rPr>
          <w:rFonts w:ascii="宋体" w:hAnsi="宋体" w:hint="eastAsia"/>
          <w:sz w:val="24"/>
          <w:szCs w:val="24"/>
        </w:rPr>
        <w:t>银华</w:t>
      </w:r>
      <w:r>
        <w:rPr>
          <w:rFonts w:ascii="宋体" w:hAnsi="宋体" w:hint="eastAsia"/>
          <w:sz w:val="24"/>
          <w:szCs w:val="24"/>
        </w:rPr>
        <w:t>300</w:t>
      </w:r>
      <w:r>
        <w:rPr>
          <w:rFonts w:ascii="宋体" w:hAnsi="宋体"/>
          <w:sz w:val="24"/>
          <w:szCs w:val="24"/>
        </w:rPr>
        <w:t>B</w:t>
      </w:r>
      <w:r>
        <w:rPr>
          <w:rFonts w:ascii="宋体" w:hAnsi="宋体" w:hint="eastAsia"/>
          <w:sz w:val="24"/>
          <w:szCs w:val="24"/>
        </w:rPr>
        <w:t>份额</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场内简称：</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交易代码：</w:t>
      </w:r>
      <w:r>
        <w:rPr>
          <w:rFonts w:ascii="宋体" w:hAnsi="宋体"/>
          <w:sz w:val="24"/>
          <w:szCs w:val="24"/>
        </w:rPr>
        <w:t>150</w:t>
      </w:r>
      <w:r>
        <w:rPr>
          <w:rFonts w:ascii="宋体" w:hAnsi="宋体" w:hint="eastAsia"/>
          <w:sz w:val="24"/>
          <w:szCs w:val="24"/>
        </w:rPr>
        <w:t>168</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（三）终止上市日：</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27</w:t>
      </w:r>
      <w:r>
        <w:rPr>
          <w:rFonts w:ascii="宋体" w:hAnsi="宋体" w:hint="eastAsia"/>
          <w:sz w:val="24"/>
          <w:szCs w:val="24"/>
        </w:rPr>
        <w:t>日</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（四）终止上市的权益登记日：</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26</w:t>
      </w:r>
      <w:r>
        <w:rPr>
          <w:rFonts w:ascii="宋体" w:hAnsi="宋体" w:hint="eastAsia"/>
          <w:sz w:val="24"/>
          <w:szCs w:val="24"/>
        </w:rPr>
        <w:t>日，即在</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26</w:t>
      </w:r>
      <w:r>
        <w:rPr>
          <w:rFonts w:ascii="宋体" w:hAnsi="宋体" w:hint="eastAsia"/>
          <w:sz w:val="24"/>
          <w:szCs w:val="24"/>
        </w:rPr>
        <w:t>日下午深圳证券交易所交易结束后，在中国证券登记结算有限责任公司登记在册的本基金之</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份额全体基金份额持有人享有本基金之</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份额终止上市后的相关权利。</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lastRenderedPageBreak/>
        <w:t>二</w:t>
      </w:r>
      <w:r>
        <w:rPr>
          <w:rFonts w:ascii="宋体" w:hAnsi="宋体"/>
          <w:sz w:val="24"/>
          <w:szCs w:val="24"/>
        </w:rPr>
        <w:t>、</w:t>
      </w:r>
      <w:r>
        <w:rPr>
          <w:rFonts w:ascii="宋体" w:hAnsi="宋体" w:hint="eastAsia"/>
          <w:sz w:val="24"/>
          <w:szCs w:val="24"/>
        </w:rPr>
        <w:t>有关基金份额持有人大会决议的相关信息</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w:t>
      </w:r>
      <w:r>
        <w:rPr>
          <w:rFonts w:ascii="宋体" w:hAnsi="宋体"/>
          <w:sz w:val="24"/>
          <w:szCs w:val="24"/>
        </w:rPr>
        <w:t>基金份额持有人大会以通讯方式召开，会议审议通过了</w:t>
      </w:r>
      <w:r>
        <w:rPr>
          <w:rFonts w:ascii="宋体" w:hAnsi="宋体" w:hint="eastAsia"/>
          <w:sz w:val="24"/>
          <w:szCs w:val="24"/>
        </w:rPr>
        <w:t>《</w:t>
      </w:r>
      <w:r>
        <w:rPr>
          <w:sz w:val="24"/>
          <w:szCs w:val="24"/>
        </w:rPr>
        <w:t>关于</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w:t>
      </w:r>
      <w:r>
        <w:rPr>
          <w:rFonts w:hint="eastAsia"/>
          <w:sz w:val="24"/>
          <w:szCs w:val="24"/>
        </w:rPr>
        <w:t>转型</w:t>
      </w:r>
      <w:r>
        <w:rPr>
          <w:sz w:val="24"/>
          <w:szCs w:val="24"/>
        </w:rPr>
        <w:t>有关事项的议案</w:t>
      </w:r>
      <w:r>
        <w:rPr>
          <w:rFonts w:ascii="宋体" w:hAnsi="宋体" w:hint="eastAsia"/>
          <w:sz w:val="24"/>
          <w:szCs w:val="24"/>
        </w:rPr>
        <w:t>》。基金</w:t>
      </w:r>
      <w:r>
        <w:rPr>
          <w:rFonts w:ascii="宋体" w:hAnsi="宋体"/>
          <w:sz w:val="24"/>
          <w:szCs w:val="24"/>
        </w:rPr>
        <w:t>份额</w:t>
      </w:r>
      <w:r>
        <w:rPr>
          <w:rFonts w:ascii="宋体" w:hAnsi="宋体" w:hint="eastAsia"/>
          <w:sz w:val="24"/>
          <w:szCs w:val="24"/>
        </w:rPr>
        <w:t>持有人大会决议于</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sz w:val="24"/>
          <w:szCs w:val="24"/>
        </w:rPr>
        <w:t>1</w:t>
      </w:r>
      <w:r>
        <w:rPr>
          <w:rFonts w:ascii="宋体" w:hAnsi="宋体" w:hint="eastAsia"/>
          <w:sz w:val="24"/>
          <w:szCs w:val="24"/>
        </w:rPr>
        <w:t>0</w:t>
      </w:r>
      <w:r>
        <w:rPr>
          <w:rFonts w:ascii="宋体" w:hAnsi="宋体" w:hint="eastAsia"/>
          <w:sz w:val="24"/>
          <w:szCs w:val="24"/>
        </w:rPr>
        <w:t>月</w:t>
      </w:r>
      <w:r>
        <w:rPr>
          <w:rFonts w:ascii="宋体" w:hAnsi="宋体"/>
          <w:sz w:val="24"/>
          <w:szCs w:val="24"/>
        </w:rPr>
        <w:t>2</w:t>
      </w:r>
      <w:r>
        <w:rPr>
          <w:rFonts w:ascii="宋体" w:hAnsi="宋体" w:hint="eastAsia"/>
          <w:sz w:val="24"/>
          <w:szCs w:val="24"/>
        </w:rPr>
        <w:t>8</w:t>
      </w:r>
      <w:r>
        <w:rPr>
          <w:rFonts w:ascii="宋体" w:hAnsi="宋体" w:hint="eastAsia"/>
          <w:sz w:val="24"/>
          <w:szCs w:val="24"/>
        </w:rPr>
        <w:t>日表决通过之日起生效。</w:t>
      </w:r>
      <w:r>
        <w:rPr>
          <w:rFonts w:ascii="宋体" w:hAnsi="宋体"/>
          <w:sz w:val="24"/>
          <w:szCs w:val="24"/>
        </w:rPr>
        <w:t>基金管理人于</w:t>
      </w:r>
      <w:r>
        <w:rPr>
          <w:rFonts w:ascii="宋体" w:hAnsi="宋体"/>
          <w:sz w:val="24"/>
          <w:szCs w:val="24"/>
        </w:rPr>
        <w:t>20</w:t>
      </w:r>
      <w:r>
        <w:rPr>
          <w:rFonts w:ascii="宋体" w:hAnsi="宋体" w:hint="eastAsia"/>
          <w:sz w:val="24"/>
          <w:szCs w:val="24"/>
        </w:rPr>
        <w:t>20</w:t>
      </w:r>
      <w:r>
        <w:rPr>
          <w:rFonts w:ascii="宋体" w:hAnsi="宋体"/>
          <w:sz w:val="24"/>
          <w:szCs w:val="24"/>
        </w:rPr>
        <w:t>年</w:t>
      </w:r>
      <w:r>
        <w:rPr>
          <w:rFonts w:ascii="宋体" w:hAnsi="宋体"/>
          <w:sz w:val="24"/>
          <w:szCs w:val="24"/>
        </w:rPr>
        <w:t>1</w:t>
      </w:r>
      <w:r>
        <w:rPr>
          <w:rFonts w:ascii="宋体" w:hAnsi="宋体" w:hint="eastAsia"/>
          <w:sz w:val="24"/>
          <w:szCs w:val="24"/>
        </w:rPr>
        <w:t>0</w:t>
      </w:r>
      <w:r>
        <w:rPr>
          <w:rFonts w:ascii="宋体" w:hAnsi="宋体"/>
          <w:sz w:val="24"/>
          <w:szCs w:val="24"/>
        </w:rPr>
        <w:t>月</w:t>
      </w:r>
      <w:r>
        <w:rPr>
          <w:rFonts w:ascii="宋体" w:hAnsi="宋体"/>
          <w:sz w:val="24"/>
          <w:szCs w:val="24"/>
        </w:rPr>
        <w:t>2</w:t>
      </w:r>
      <w:r>
        <w:rPr>
          <w:rFonts w:ascii="宋体" w:hAnsi="宋体" w:hint="eastAsia"/>
          <w:sz w:val="24"/>
          <w:szCs w:val="24"/>
        </w:rPr>
        <w:t>9</w:t>
      </w:r>
      <w:r>
        <w:rPr>
          <w:rFonts w:ascii="宋体" w:hAnsi="宋体"/>
          <w:sz w:val="24"/>
          <w:szCs w:val="24"/>
        </w:rPr>
        <w:t>日发布了《</w:t>
      </w:r>
      <w:r>
        <w:rPr>
          <w:rFonts w:ascii="宋体" w:hAnsi="宋体" w:hint="eastAsia"/>
          <w:sz w:val="24"/>
          <w:szCs w:val="24"/>
        </w:rPr>
        <w:t>关于银华沪深</w:t>
      </w:r>
      <w:r>
        <w:rPr>
          <w:rFonts w:ascii="宋体" w:hAnsi="宋体" w:hint="eastAsia"/>
          <w:sz w:val="24"/>
          <w:szCs w:val="24"/>
        </w:rPr>
        <w:t>300</w:t>
      </w:r>
      <w:r>
        <w:rPr>
          <w:rFonts w:ascii="宋体" w:hAnsi="宋体" w:hint="eastAsia"/>
          <w:sz w:val="24"/>
          <w:szCs w:val="24"/>
        </w:rPr>
        <w:t>指数分级证券投资基金基金份额持有人大会表决结果暨决议生效公告</w:t>
      </w:r>
      <w:r>
        <w:rPr>
          <w:rFonts w:ascii="宋体" w:hAnsi="宋体"/>
          <w:sz w:val="24"/>
          <w:szCs w:val="24"/>
        </w:rPr>
        <w:t>》。</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三</w:t>
      </w:r>
      <w:r>
        <w:rPr>
          <w:rFonts w:ascii="宋体" w:hAnsi="宋体"/>
          <w:sz w:val="24"/>
          <w:szCs w:val="24"/>
        </w:rPr>
        <w:t>、</w:t>
      </w:r>
      <w:r>
        <w:rPr>
          <w:rFonts w:ascii="宋体" w:hAnsi="宋体" w:hint="eastAsia"/>
          <w:sz w:val="24"/>
          <w:szCs w:val="24"/>
        </w:rPr>
        <w:t>基金终止上市后续事项说明</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（一）基金份额的转换</w:t>
      </w:r>
    </w:p>
    <w:p w:rsidR="00000000" w:rsidRDefault="005D7097">
      <w:pPr>
        <w:adjustRightInd w:val="0"/>
        <w:snapToGrid w:val="0"/>
        <w:spacing w:line="360" w:lineRule="auto"/>
        <w:ind w:firstLineChars="200" w:firstLine="480"/>
        <w:rPr>
          <w:rFonts w:ascii="宋体" w:hAnsi="宋体"/>
          <w:sz w:val="24"/>
          <w:szCs w:val="24"/>
        </w:rPr>
      </w:pPr>
      <w:r>
        <w:rPr>
          <w:rFonts w:ascii="宋体" w:hAnsi="宋体"/>
          <w:sz w:val="24"/>
          <w:szCs w:val="24"/>
        </w:rPr>
        <w:t>本基金的基金份额转换基准日为</w:t>
      </w:r>
      <w:r>
        <w:rPr>
          <w:rFonts w:ascii="宋体" w:hAnsi="宋体"/>
          <w:sz w:val="24"/>
          <w:szCs w:val="24"/>
        </w:rPr>
        <w:t>20</w:t>
      </w:r>
      <w:r>
        <w:rPr>
          <w:rFonts w:ascii="宋体" w:hAnsi="宋体" w:hint="eastAsia"/>
          <w:sz w:val="24"/>
          <w:szCs w:val="24"/>
        </w:rPr>
        <w:t>20</w:t>
      </w:r>
      <w:r>
        <w:rPr>
          <w:rFonts w:ascii="宋体" w:hAnsi="宋体"/>
          <w:sz w:val="24"/>
          <w:szCs w:val="24"/>
        </w:rPr>
        <w:t>年</w:t>
      </w:r>
      <w:r>
        <w:rPr>
          <w:rFonts w:ascii="宋体" w:hAnsi="宋体"/>
          <w:sz w:val="24"/>
          <w:szCs w:val="24"/>
        </w:rPr>
        <w:t>1</w:t>
      </w:r>
      <w:r>
        <w:rPr>
          <w:rFonts w:ascii="宋体" w:hAnsi="宋体" w:hint="eastAsia"/>
          <w:sz w:val="24"/>
          <w:szCs w:val="24"/>
        </w:rPr>
        <w:t>1</w:t>
      </w:r>
      <w:r>
        <w:rPr>
          <w:rFonts w:ascii="宋体" w:hAnsi="宋体"/>
          <w:sz w:val="24"/>
          <w:szCs w:val="24"/>
        </w:rPr>
        <w:t>月</w:t>
      </w:r>
      <w:r>
        <w:rPr>
          <w:rFonts w:ascii="宋体" w:hAnsi="宋体" w:hint="eastAsia"/>
          <w:sz w:val="24"/>
          <w:szCs w:val="24"/>
        </w:rPr>
        <w:t>2</w:t>
      </w:r>
      <w:r>
        <w:rPr>
          <w:rFonts w:ascii="宋体" w:hAnsi="宋体" w:hint="eastAsia"/>
          <w:sz w:val="24"/>
          <w:szCs w:val="24"/>
        </w:rPr>
        <w:t>7</w:t>
      </w:r>
      <w:r>
        <w:rPr>
          <w:rFonts w:ascii="宋体" w:hAnsi="宋体"/>
          <w:sz w:val="24"/>
          <w:szCs w:val="24"/>
        </w:rPr>
        <w:t>日。基金管理人在份额转换基准日进</w:t>
      </w:r>
      <w:r>
        <w:rPr>
          <w:rFonts w:ascii="宋体" w:hAnsi="宋体"/>
          <w:sz w:val="24"/>
          <w:szCs w:val="24"/>
        </w:rPr>
        <w:t>行转换，最终将本基金的各类基金份额</w:t>
      </w:r>
      <w:r>
        <w:rPr>
          <w:rFonts w:ascii="宋体" w:hAnsi="宋体" w:hint="eastAsia"/>
          <w:sz w:val="24"/>
          <w:szCs w:val="24"/>
        </w:rPr>
        <w:t>转换为基金</w:t>
      </w:r>
      <w:r>
        <w:rPr>
          <w:rFonts w:ascii="宋体" w:hAnsi="宋体"/>
          <w:sz w:val="24"/>
          <w:szCs w:val="24"/>
        </w:rPr>
        <w:t>份额</w:t>
      </w:r>
      <w:r>
        <w:rPr>
          <w:rFonts w:ascii="宋体" w:hAnsi="宋体" w:hint="eastAsia"/>
          <w:sz w:val="24"/>
          <w:szCs w:val="24"/>
        </w:rPr>
        <w:t>净值为</w:t>
      </w:r>
      <w:r>
        <w:rPr>
          <w:rFonts w:ascii="宋体" w:hAnsi="宋体" w:hint="eastAsia"/>
          <w:sz w:val="24"/>
          <w:szCs w:val="24"/>
        </w:rPr>
        <w:t>1.000</w:t>
      </w:r>
      <w:r>
        <w:rPr>
          <w:rFonts w:ascii="宋体" w:hAnsi="宋体"/>
          <w:sz w:val="24"/>
          <w:szCs w:val="24"/>
        </w:rPr>
        <w:t>0</w:t>
      </w:r>
      <w:r>
        <w:rPr>
          <w:rFonts w:ascii="宋体" w:hAnsi="宋体" w:hint="eastAsia"/>
          <w:sz w:val="24"/>
          <w:szCs w:val="24"/>
        </w:rPr>
        <w:t>元</w:t>
      </w:r>
      <w:r>
        <w:rPr>
          <w:rFonts w:ascii="宋体" w:hAnsi="宋体"/>
          <w:sz w:val="24"/>
          <w:szCs w:val="24"/>
        </w:rPr>
        <w:t>的</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w:t>
      </w:r>
      <w:r>
        <w:rPr>
          <w:rFonts w:ascii="宋体" w:hAnsi="宋体"/>
          <w:sz w:val="24"/>
          <w:szCs w:val="24"/>
        </w:rPr>
        <w:t>基金份额。</w:t>
      </w:r>
      <w:r>
        <w:rPr>
          <w:rFonts w:ascii="宋体" w:hAnsi="宋体" w:hint="eastAsia"/>
          <w:sz w:val="24"/>
          <w:szCs w:val="24"/>
        </w:rPr>
        <w:t>在中国</w:t>
      </w:r>
      <w:r>
        <w:rPr>
          <w:rFonts w:ascii="宋体" w:hAnsi="宋体"/>
          <w:sz w:val="24"/>
          <w:szCs w:val="24"/>
        </w:rPr>
        <w:t>证券登记结算有限责任公司</w:t>
      </w:r>
      <w:r>
        <w:rPr>
          <w:rFonts w:ascii="宋体" w:hAnsi="宋体" w:hint="eastAsia"/>
          <w:sz w:val="24"/>
          <w:szCs w:val="24"/>
        </w:rPr>
        <w:t>深圳分公司证券登记系统</w:t>
      </w:r>
      <w:r>
        <w:rPr>
          <w:rFonts w:ascii="宋体" w:hAnsi="宋体"/>
          <w:sz w:val="24"/>
          <w:szCs w:val="24"/>
        </w:rPr>
        <w:t>登记在册的</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份额、银华</w:t>
      </w:r>
      <w:r>
        <w:rPr>
          <w:rFonts w:ascii="宋体" w:hAnsi="宋体" w:hint="eastAsia"/>
          <w:sz w:val="24"/>
          <w:szCs w:val="24"/>
        </w:rPr>
        <w:t>300A</w:t>
      </w:r>
      <w:r>
        <w:rPr>
          <w:rFonts w:ascii="宋体" w:hAnsi="宋体" w:hint="eastAsia"/>
          <w:sz w:val="24"/>
          <w:szCs w:val="24"/>
        </w:rPr>
        <w:t>份额、银华</w:t>
      </w:r>
      <w:r>
        <w:rPr>
          <w:rFonts w:ascii="宋体" w:hAnsi="宋体" w:hint="eastAsia"/>
          <w:sz w:val="24"/>
          <w:szCs w:val="24"/>
        </w:rPr>
        <w:t>300B</w:t>
      </w:r>
      <w:r>
        <w:rPr>
          <w:rFonts w:ascii="宋体" w:hAnsi="宋体" w:hint="eastAsia"/>
          <w:sz w:val="24"/>
          <w:szCs w:val="24"/>
        </w:rPr>
        <w:t>份额将</w:t>
      </w:r>
      <w:r>
        <w:rPr>
          <w:rFonts w:ascii="宋体" w:hAnsi="宋体"/>
          <w:sz w:val="24"/>
          <w:szCs w:val="24"/>
        </w:rPr>
        <w:t>转换为</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）的</w:t>
      </w:r>
      <w:r>
        <w:rPr>
          <w:rFonts w:ascii="宋体" w:hAnsi="宋体"/>
          <w:sz w:val="24"/>
          <w:szCs w:val="24"/>
        </w:rPr>
        <w:t>场内</w:t>
      </w:r>
      <w:r>
        <w:rPr>
          <w:rFonts w:ascii="宋体" w:hAnsi="宋体" w:hint="eastAsia"/>
          <w:sz w:val="24"/>
          <w:szCs w:val="24"/>
        </w:rPr>
        <w:t>份额</w:t>
      </w:r>
      <w:r>
        <w:rPr>
          <w:rFonts w:ascii="宋体" w:hAnsi="宋体"/>
          <w:sz w:val="24"/>
          <w:szCs w:val="24"/>
        </w:rPr>
        <w:t>，在</w:t>
      </w:r>
      <w:r>
        <w:rPr>
          <w:rFonts w:ascii="宋体" w:hAnsi="宋体" w:hint="eastAsia"/>
          <w:sz w:val="24"/>
          <w:szCs w:val="24"/>
        </w:rPr>
        <w:t>中国</w:t>
      </w:r>
      <w:r>
        <w:rPr>
          <w:rFonts w:ascii="宋体" w:hAnsi="宋体"/>
          <w:sz w:val="24"/>
          <w:szCs w:val="24"/>
        </w:rPr>
        <w:t>证券登记结算有限责任公司</w:t>
      </w:r>
      <w:r>
        <w:rPr>
          <w:rFonts w:ascii="宋体" w:hAnsi="宋体" w:hint="eastAsia"/>
          <w:sz w:val="24"/>
          <w:szCs w:val="24"/>
        </w:rPr>
        <w:t>开放式基金登记结算系统登记</w:t>
      </w:r>
      <w:r>
        <w:rPr>
          <w:rFonts w:ascii="宋体" w:hAnsi="宋体"/>
          <w:sz w:val="24"/>
          <w:szCs w:val="24"/>
        </w:rPr>
        <w:t>在册的</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份额将</w:t>
      </w:r>
      <w:r>
        <w:rPr>
          <w:rFonts w:ascii="宋体" w:hAnsi="宋体"/>
          <w:sz w:val="24"/>
          <w:szCs w:val="24"/>
        </w:rPr>
        <w:t>转换为</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）的</w:t>
      </w:r>
      <w:r>
        <w:rPr>
          <w:rFonts w:ascii="宋体" w:hAnsi="宋体"/>
          <w:sz w:val="24"/>
          <w:szCs w:val="24"/>
        </w:rPr>
        <w:t>场外份额。</w:t>
      </w:r>
      <w:r>
        <w:rPr>
          <w:rFonts w:ascii="宋体" w:hAnsi="宋体" w:hint="eastAsia"/>
          <w:sz w:val="24"/>
          <w:szCs w:val="24"/>
        </w:rPr>
        <w:t>基金</w:t>
      </w:r>
      <w:r>
        <w:rPr>
          <w:rFonts w:ascii="宋体" w:hAnsi="宋体"/>
          <w:sz w:val="24"/>
          <w:szCs w:val="24"/>
        </w:rPr>
        <w:t>份额转换的具体方法详见基金管理人于</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0</w:t>
      </w:r>
      <w:r>
        <w:rPr>
          <w:rFonts w:ascii="宋体" w:hAnsi="宋体" w:hint="eastAsia"/>
          <w:sz w:val="24"/>
          <w:szCs w:val="24"/>
        </w:rPr>
        <w:t>月</w:t>
      </w:r>
      <w:r>
        <w:rPr>
          <w:rFonts w:ascii="宋体" w:hAnsi="宋体" w:hint="eastAsia"/>
          <w:sz w:val="24"/>
          <w:szCs w:val="24"/>
        </w:rPr>
        <w:t>2</w:t>
      </w:r>
      <w:r>
        <w:rPr>
          <w:rFonts w:ascii="宋体" w:hAnsi="宋体" w:hint="eastAsia"/>
          <w:sz w:val="24"/>
          <w:szCs w:val="24"/>
        </w:rPr>
        <w:t>9</w:t>
      </w:r>
      <w:r>
        <w:rPr>
          <w:rFonts w:ascii="宋体" w:hAnsi="宋体" w:hint="eastAsia"/>
          <w:sz w:val="24"/>
          <w:szCs w:val="24"/>
        </w:rPr>
        <w:t>日发布</w:t>
      </w:r>
      <w:r>
        <w:rPr>
          <w:rFonts w:ascii="宋体" w:hAnsi="宋体"/>
          <w:sz w:val="24"/>
          <w:szCs w:val="24"/>
        </w:rPr>
        <w:t>的</w:t>
      </w:r>
      <w:r>
        <w:rPr>
          <w:rFonts w:ascii="宋体" w:hAnsi="宋体" w:hint="eastAsia"/>
          <w:sz w:val="24"/>
          <w:szCs w:val="24"/>
        </w:rPr>
        <w:t>《关于银华沪深</w:t>
      </w:r>
      <w:r>
        <w:rPr>
          <w:rFonts w:ascii="宋体" w:hAnsi="宋体" w:hint="eastAsia"/>
          <w:sz w:val="24"/>
          <w:szCs w:val="24"/>
        </w:rPr>
        <w:t>30</w:t>
      </w:r>
      <w:r>
        <w:rPr>
          <w:rFonts w:ascii="宋体" w:hAnsi="宋体" w:hint="eastAsia"/>
          <w:sz w:val="24"/>
          <w:szCs w:val="24"/>
        </w:rPr>
        <w:t>0</w:t>
      </w:r>
      <w:r>
        <w:rPr>
          <w:rFonts w:ascii="宋体" w:hAnsi="宋体" w:hint="eastAsia"/>
          <w:sz w:val="24"/>
          <w:szCs w:val="24"/>
        </w:rPr>
        <w:t>指数分级证券投资基金实施转型的提示性公告》。</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（二）关于《银华沪深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w:t>
      </w:r>
      <w:r>
        <w:rPr>
          <w:rFonts w:ascii="宋体" w:hAnsi="宋体"/>
          <w:sz w:val="24"/>
          <w:szCs w:val="24"/>
        </w:rPr>
        <w:t>基金合同</w:t>
      </w:r>
      <w:r>
        <w:rPr>
          <w:rFonts w:ascii="宋体" w:hAnsi="宋体" w:hint="eastAsia"/>
          <w:sz w:val="24"/>
          <w:szCs w:val="24"/>
        </w:rPr>
        <w:t>》的</w:t>
      </w:r>
      <w:r>
        <w:rPr>
          <w:rFonts w:ascii="宋体" w:hAnsi="宋体"/>
          <w:sz w:val="24"/>
          <w:szCs w:val="24"/>
        </w:rPr>
        <w:t>生效</w:t>
      </w:r>
    </w:p>
    <w:p w:rsidR="00000000" w:rsidRDefault="005D7097">
      <w:pPr>
        <w:adjustRightInd w:val="0"/>
        <w:snapToGrid w:val="0"/>
        <w:spacing w:line="360" w:lineRule="auto"/>
        <w:ind w:firstLineChars="200" w:firstLine="480"/>
        <w:rPr>
          <w:rFonts w:ascii="宋体" w:hAnsi="宋体"/>
          <w:sz w:val="24"/>
          <w:szCs w:val="24"/>
        </w:rPr>
      </w:pP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w:t>
      </w:r>
      <w:r>
        <w:rPr>
          <w:rFonts w:ascii="宋体" w:hAnsi="宋体"/>
          <w:sz w:val="24"/>
          <w:szCs w:val="24"/>
        </w:rPr>
        <w:t>已经中国证监会</w:t>
      </w:r>
      <w:r>
        <w:rPr>
          <w:rFonts w:ascii="宋体" w:hAnsi="宋体" w:hint="eastAsia"/>
          <w:sz w:val="24"/>
          <w:szCs w:val="24"/>
        </w:rPr>
        <w:t>《关于准予银华沪深</w:t>
      </w:r>
      <w:r>
        <w:rPr>
          <w:rFonts w:ascii="宋体" w:hAnsi="宋体" w:hint="eastAsia"/>
          <w:sz w:val="24"/>
          <w:szCs w:val="24"/>
        </w:rPr>
        <w:t>300</w:t>
      </w:r>
      <w:r>
        <w:rPr>
          <w:rFonts w:ascii="宋体" w:hAnsi="宋体" w:hint="eastAsia"/>
          <w:sz w:val="24"/>
          <w:szCs w:val="24"/>
        </w:rPr>
        <w:t>指数分级证券投资基金变更注册的批复》（证监许可【</w:t>
      </w:r>
      <w:r>
        <w:rPr>
          <w:rFonts w:ascii="宋体" w:hAnsi="宋体" w:hint="eastAsia"/>
          <w:sz w:val="24"/>
          <w:szCs w:val="24"/>
        </w:rPr>
        <w:t>2020</w:t>
      </w:r>
      <w:r>
        <w:rPr>
          <w:rFonts w:ascii="宋体" w:hAnsi="宋体" w:hint="eastAsia"/>
          <w:sz w:val="24"/>
          <w:szCs w:val="24"/>
        </w:rPr>
        <w:t>】</w:t>
      </w:r>
      <w:r>
        <w:rPr>
          <w:rFonts w:ascii="宋体" w:hAnsi="宋体" w:hint="eastAsia"/>
          <w:sz w:val="24"/>
          <w:szCs w:val="24"/>
        </w:rPr>
        <w:t>1460</w:t>
      </w:r>
      <w:r>
        <w:rPr>
          <w:rFonts w:ascii="宋体" w:hAnsi="宋体" w:hint="eastAsia"/>
          <w:sz w:val="24"/>
          <w:szCs w:val="24"/>
        </w:rPr>
        <w:t>号）准予</w:t>
      </w:r>
      <w:r>
        <w:rPr>
          <w:rFonts w:ascii="宋体" w:hAnsi="宋体"/>
          <w:sz w:val="24"/>
          <w:szCs w:val="24"/>
        </w:rPr>
        <w:t>变更注册</w:t>
      </w:r>
      <w:r>
        <w:rPr>
          <w:rFonts w:ascii="宋体" w:hAnsi="宋体" w:hint="eastAsia"/>
          <w:sz w:val="24"/>
          <w:szCs w:val="24"/>
        </w:rPr>
        <w:t>。</w:t>
      </w:r>
      <w:r>
        <w:rPr>
          <w:rFonts w:ascii="宋体" w:hAnsi="宋体"/>
          <w:sz w:val="24"/>
          <w:szCs w:val="24"/>
        </w:rPr>
        <w:t>《</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w:t>
      </w:r>
      <w:r>
        <w:rPr>
          <w:rFonts w:ascii="宋体" w:hAnsi="宋体"/>
          <w:sz w:val="24"/>
          <w:szCs w:val="24"/>
        </w:rPr>
        <w:t>基金合同》</w:t>
      </w:r>
      <w:r>
        <w:rPr>
          <w:rFonts w:ascii="宋体" w:hAnsi="宋体" w:hint="eastAsia"/>
          <w:sz w:val="24"/>
          <w:szCs w:val="24"/>
        </w:rPr>
        <w:t>、</w:t>
      </w:r>
      <w:r>
        <w:rPr>
          <w:rFonts w:ascii="宋体" w:hAnsi="宋体"/>
          <w:sz w:val="24"/>
          <w:szCs w:val="24"/>
        </w:rPr>
        <w:t>《</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w:t>
      </w:r>
      <w:r>
        <w:rPr>
          <w:rFonts w:ascii="宋体" w:hAnsi="宋体"/>
          <w:sz w:val="24"/>
          <w:szCs w:val="24"/>
        </w:rPr>
        <w:t>托管协议》</w:t>
      </w:r>
      <w:r>
        <w:rPr>
          <w:rFonts w:ascii="宋体" w:hAnsi="宋体" w:hint="eastAsia"/>
          <w:sz w:val="24"/>
          <w:szCs w:val="24"/>
        </w:rPr>
        <w:t>将于</w:t>
      </w:r>
      <w:r>
        <w:rPr>
          <w:rFonts w:ascii="宋体" w:hAnsi="宋体" w:hint="eastAsia"/>
          <w:sz w:val="24"/>
          <w:szCs w:val="24"/>
        </w:rPr>
        <w:t>2020</w:t>
      </w:r>
      <w:r>
        <w:rPr>
          <w:rFonts w:ascii="宋体" w:hAnsi="宋体" w:hint="eastAsia"/>
          <w:sz w:val="24"/>
          <w:szCs w:val="24"/>
        </w:rPr>
        <w:t>年</w:t>
      </w:r>
      <w:r>
        <w:rPr>
          <w:rFonts w:ascii="宋体" w:hAnsi="宋体"/>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w:t>
      </w:r>
      <w:r>
        <w:rPr>
          <w:rFonts w:ascii="宋体" w:hAnsi="宋体"/>
          <w:sz w:val="24"/>
          <w:szCs w:val="24"/>
        </w:rPr>
        <w:t>生效</w:t>
      </w:r>
      <w:r>
        <w:rPr>
          <w:rFonts w:ascii="宋体" w:hAnsi="宋体" w:hint="eastAsia"/>
          <w:sz w:val="24"/>
          <w:szCs w:val="24"/>
        </w:rPr>
        <w:t>，</w:t>
      </w:r>
      <w:r>
        <w:rPr>
          <w:rFonts w:ascii="宋体" w:hAnsi="宋体"/>
          <w:sz w:val="24"/>
          <w:szCs w:val="24"/>
        </w:rPr>
        <w:t>《</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指数分级证券投资基金基金</w:t>
      </w:r>
      <w:r>
        <w:rPr>
          <w:rFonts w:ascii="宋体" w:hAnsi="宋体"/>
          <w:sz w:val="24"/>
          <w:szCs w:val="24"/>
        </w:rPr>
        <w:t>合同》</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w:t>
      </w:r>
      <w:r>
        <w:rPr>
          <w:rFonts w:ascii="宋体" w:hAnsi="宋体"/>
          <w:sz w:val="24"/>
          <w:szCs w:val="24"/>
        </w:rPr>
        <w:t>托管协议</w:t>
      </w:r>
      <w:r>
        <w:rPr>
          <w:rFonts w:ascii="宋体" w:hAnsi="宋体" w:hint="eastAsia"/>
          <w:sz w:val="24"/>
          <w:szCs w:val="24"/>
        </w:rPr>
        <w:t>》将自同</w:t>
      </w:r>
      <w:r>
        <w:rPr>
          <w:rFonts w:ascii="宋体" w:hAnsi="宋体" w:hint="eastAsia"/>
          <w:sz w:val="24"/>
          <w:szCs w:val="24"/>
        </w:rPr>
        <w:t>一日起失效</w:t>
      </w:r>
      <w:r>
        <w:rPr>
          <w:rFonts w:ascii="宋体" w:hAnsi="宋体"/>
          <w:sz w:val="24"/>
          <w:szCs w:val="24"/>
        </w:rPr>
        <w:t>。</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（三）基金</w:t>
      </w:r>
      <w:r>
        <w:rPr>
          <w:rFonts w:ascii="宋体" w:hAnsi="宋体"/>
          <w:sz w:val="24"/>
          <w:szCs w:val="24"/>
        </w:rPr>
        <w:t>份额的变更登记与基金名称的变更</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份额在</w:t>
      </w:r>
      <w:r>
        <w:rPr>
          <w:rFonts w:ascii="宋体" w:hAnsi="宋体"/>
          <w:sz w:val="24"/>
          <w:szCs w:val="24"/>
        </w:rPr>
        <w:t>深圳证券交易所</w:t>
      </w:r>
      <w:r>
        <w:rPr>
          <w:rFonts w:ascii="宋体" w:hAnsi="宋体" w:hint="eastAsia"/>
          <w:sz w:val="24"/>
          <w:szCs w:val="24"/>
        </w:rPr>
        <w:t>终止上市后</w:t>
      </w:r>
      <w:r>
        <w:rPr>
          <w:rFonts w:ascii="宋体" w:hAnsi="宋体"/>
          <w:sz w:val="24"/>
          <w:szCs w:val="24"/>
        </w:rPr>
        <w:t>，本基金将实施</w:t>
      </w:r>
      <w:r>
        <w:rPr>
          <w:rFonts w:ascii="宋体" w:hAnsi="宋体" w:hint="eastAsia"/>
          <w:sz w:val="24"/>
          <w:szCs w:val="24"/>
        </w:rPr>
        <w:t>基金</w:t>
      </w:r>
      <w:r>
        <w:rPr>
          <w:rFonts w:ascii="宋体" w:hAnsi="宋体"/>
          <w:sz w:val="24"/>
          <w:szCs w:val="24"/>
        </w:rPr>
        <w:t>份额转换</w:t>
      </w:r>
      <w:r>
        <w:rPr>
          <w:rFonts w:ascii="宋体" w:hAnsi="宋体" w:hint="eastAsia"/>
          <w:sz w:val="24"/>
          <w:szCs w:val="24"/>
        </w:rPr>
        <w:t>并</w:t>
      </w:r>
      <w:r>
        <w:rPr>
          <w:rFonts w:ascii="宋体" w:hAnsi="宋体"/>
          <w:sz w:val="24"/>
          <w:szCs w:val="24"/>
        </w:rPr>
        <w:t>进行基金份额的变更登记以及必要信息的变更。自</w:t>
      </w: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sz w:val="24"/>
          <w:szCs w:val="24"/>
        </w:rPr>
        <w:t>1</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日起</w:t>
      </w:r>
      <w:r>
        <w:rPr>
          <w:rFonts w:ascii="宋体" w:hAnsi="宋体"/>
          <w:sz w:val="24"/>
          <w:szCs w:val="24"/>
        </w:rPr>
        <w:t>，本基金的基金名称将由</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指数分级证券投资基金”变更</w:t>
      </w:r>
      <w:r>
        <w:rPr>
          <w:rFonts w:ascii="宋体" w:hAnsi="宋体"/>
          <w:sz w:val="24"/>
          <w:szCs w:val="24"/>
        </w:rPr>
        <w:t>为</w:t>
      </w:r>
      <w:r>
        <w:rPr>
          <w:rFonts w:ascii="宋体" w:hAnsi="宋体"/>
          <w:sz w:val="24"/>
          <w:szCs w:val="24"/>
        </w:rPr>
        <w:t>“</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w:t>
      </w:r>
      <w:r>
        <w:rPr>
          <w:rFonts w:ascii="宋体" w:hAnsi="宋体"/>
          <w:sz w:val="24"/>
          <w:szCs w:val="24"/>
        </w:rPr>
        <w:t>”</w:t>
      </w:r>
      <w:r>
        <w:rPr>
          <w:rFonts w:ascii="宋体" w:hAnsi="宋体" w:hint="eastAsia"/>
          <w:sz w:val="24"/>
          <w:szCs w:val="24"/>
        </w:rPr>
        <w:t>，</w:t>
      </w:r>
      <w:r>
        <w:rPr>
          <w:rFonts w:ascii="宋体" w:hAnsi="宋体"/>
          <w:sz w:val="24"/>
          <w:szCs w:val="24"/>
        </w:rPr>
        <w:t>详见基金管理人</w:t>
      </w:r>
      <w:r>
        <w:rPr>
          <w:rFonts w:ascii="宋体" w:hAnsi="宋体" w:hint="eastAsia"/>
          <w:sz w:val="24"/>
          <w:szCs w:val="24"/>
        </w:rPr>
        <w:t>届时</w:t>
      </w:r>
      <w:r>
        <w:rPr>
          <w:rFonts w:ascii="宋体" w:hAnsi="宋体"/>
          <w:sz w:val="24"/>
          <w:szCs w:val="24"/>
        </w:rPr>
        <w:t>发布的相关公告。</w:t>
      </w:r>
    </w:p>
    <w:p w:rsidR="00000000" w:rsidRDefault="005D7097">
      <w:pPr>
        <w:spacing w:line="360" w:lineRule="auto"/>
        <w:ind w:firstLineChars="200" w:firstLine="480"/>
        <w:rPr>
          <w:rFonts w:ascii="宋体" w:hAnsi="宋体"/>
          <w:sz w:val="24"/>
          <w:szCs w:val="24"/>
        </w:rPr>
      </w:pPr>
    </w:p>
    <w:p w:rsidR="00000000" w:rsidRDefault="005D7097">
      <w:pPr>
        <w:spacing w:line="360" w:lineRule="auto"/>
        <w:ind w:firstLineChars="200" w:firstLine="480"/>
        <w:rPr>
          <w:rFonts w:ascii="宋体" w:hAnsi="宋体"/>
          <w:sz w:val="24"/>
          <w:szCs w:val="24"/>
        </w:rPr>
      </w:pPr>
      <w:r>
        <w:rPr>
          <w:rFonts w:ascii="宋体" w:hAnsi="宋体"/>
          <w:sz w:val="24"/>
          <w:szCs w:val="24"/>
        </w:rPr>
        <w:t>投资者</w:t>
      </w:r>
      <w:r>
        <w:rPr>
          <w:rFonts w:ascii="宋体" w:hAnsi="宋体" w:hint="eastAsia"/>
          <w:sz w:val="24"/>
          <w:szCs w:val="24"/>
        </w:rPr>
        <w:t>若</w:t>
      </w:r>
      <w:r>
        <w:rPr>
          <w:rFonts w:ascii="宋体" w:hAnsi="宋体"/>
          <w:sz w:val="24"/>
          <w:szCs w:val="24"/>
        </w:rPr>
        <w:t>欲了解详细情况，可登录本基金管理人网站（</w:t>
      </w:r>
      <w:r>
        <w:rPr>
          <w:rFonts w:ascii="宋体" w:hAnsi="宋体"/>
          <w:sz w:val="24"/>
          <w:szCs w:val="24"/>
        </w:rPr>
        <w:t>www.yhfund.com.cn</w:t>
      </w:r>
      <w:r>
        <w:rPr>
          <w:rFonts w:ascii="宋体" w:hAnsi="宋体"/>
          <w:sz w:val="24"/>
          <w:szCs w:val="24"/>
        </w:rPr>
        <w:t>），或拨打客户服务电话</w:t>
      </w:r>
      <w:r>
        <w:rPr>
          <w:rFonts w:ascii="宋体" w:hAnsi="宋体"/>
          <w:sz w:val="24"/>
          <w:szCs w:val="24"/>
        </w:rPr>
        <w:t>400-678-3333</w:t>
      </w:r>
      <w:r>
        <w:rPr>
          <w:rFonts w:ascii="宋体" w:hAnsi="宋体"/>
          <w:sz w:val="24"/>
          <w:szCs w:val="24"/>
        </w:rPr>
        <w:t>咨询相关信息。</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风险提</w:t>
      </w:r>
      <w:r>
        <w:rPr>
          <w:rFonts w:ascii="宋体" w:hAnsi="宋体" w:hint="eastAsia"/>
          <w:sz w:val="24"/>
          <w:szCs w:val="24"/>
        </w:rPr>
        <w:t>示：</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本</w:t>
      </w:r>
      <w:r>
        <w:rPr>
          <w:rFonts w:ascii="宋体" w:hAnsi="宋体" w:hint="eastAsia"/>
          <w:sz w:val="24"/>
          <w:szCs w:val="24"/>
        </w:rPr>
        <w:t>次</w:t>
      </w:r>
      <w:r>
        <w:rPr>
          <w:rFonts w:ascii="宋体" w:hAnsi="宋体" w:hint="eastAsia"/>
          <w:sz w:val="24"/>
          <w:szCs w:val="24"/>
        </w:rPr>
        <w:t>转型前本基金基金份额的分级设置决定了不同份额类别具有不同的风险收益特征，其中</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份额具有低风险、低预期收益的特征，</w:t>
      </w:r>
      <w:r>
        <w:rPr>
          <w:rFonts w:ascii="宋体" w:hAnsi="宋体" w:hint="eastAsia"/>
          <w:sz w:val="24"/>
          <w:szCs w:val="24"/>
        </w:rPr>
        <w:t>银华</w:t>
      </w:r>
      <w:r>
        <w:rPr>
          <w:rFonts w:ascii="宋体" w:hAnsi="宋体" w:hint="eastAsia"/>
          <w:sz w:val="24"/>
          <w:szCs w:val="24"/>
        </w:rPr>
        <w:t>300B</w:t>
      </w:r>
      <w:r>
        <w:rPr>
          <w:rFonts w:ascii="宋体" w:hAnsi="宋体" w:hint="eastAsia"/>
          <w:sz w:val="24"/>
          <w:szCs w:val="24"/>
        </w:rPr>
        <w:t>份额具有高风险、高预期收益的特征。转型后</w:t>
      </w:r>
      <w:r>
        <w:rPr>
          <w:rFonts w:ascii="宋体" w:hAnsi="宋体" w:hint="eastAsia"/>
          <w:sz w:val="24"/>
          <w:szCs w:val="24"/>
        </w:rPr>
        <w:t>的</w:t>
      </w:r>
      <w:r>
        <w:rPr>
          <w:rFonts w:ascii="宋体" w:hAnsi="宋体" w:hint="eastAsia"/>
          <w:sz w:val="24"/>
          <w:szCs w:val="24"/>
        </w:rPr>
        <w:t>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）预期风险和预期收益水平高于债券型基金和货币市场基金，且不再设置风险收益特征不同的两类子份额。</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转型后，由于基金运作方式</w:t>
      </w:r>
      <w:r>
        <w:rPr>
          <w:rFonts w:ascii="宋体" w:hAnsi="宋体" w:hint="eastAsia"/>
          <w:sz w:val="24"/>
          <w:szCs w:val="24"/>
        </w:rPr>
        <w:t>、</w:t>
      </w:r>
      <w:r>
        <w:rPr>
          <w:rFonts w:ascii="宋体" w:hAnsi="宋体" w:hint="eastAsia"/>
          <w:sz w:val="24"/>
          <w:szCs w:val="24"/>
        </w:rPr>
        <w:t>投资范围</w:t>
      </w:r>
      <w:r>
        <w:rPr>
          <w:rFonts w:ascii="宋体" w:hAnsi="宋体" w:hint="eastAsia"/>
          <w:sz w:val="24"/>
          <w:szCs w:val="24"/>
        </w:rPr>
        <w:t>等发生较大变化，影响基金的风险收益特征。转型后，原</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份额持有人</w:t>
      </w:r>
      <w:r>
        <w:rPr>
          <w:rFonts w:ascii="宋体" w:hAnsi="宋体" w:hint="eastAsia"/>
          <w:sz w:val="24"/>
          <w:szCs w:val="24"/>
        </w:rPr>
        <w:t>所</w:t>
      </w:r>
      <w:r>
        <w:rPr>
          <w:rFonts w:ascii="宋体" w:hAnsi="宋体" w:hint="eastAsia"/>
          <w:sz w:val="24"/>
          <w:szCs w:val="24"/>
        </w:rPr>
        <w:t>持有的基金份额的预期风险水平可能提高，原</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份额持有人</w:t>
      </w:r>
      <w:r>
        <w:rPr>
          <w:rFonts w:ascii="宋体" w:hAnsi="宋体" w:hint="eastAsia"/>
          <w:sz w:val="24"/>
          <w:szCs w:val="24"/>
        </w:rPr>
        <w:t>所</w:t>
      </w:r>
      <w:r>
        <w:rPr>
          <w:rFonts w:ascii="宋体" w:hAnsi="宋体" w:hint="eastAsia"/>
          <w:sz w:val="24"/>
          <w:szCs w:val="24"/>
        </w:rPr>
        <w:t>持有的基金份额的预期</w:t>
      </w:r>
      <w:r>
        <w:rPr>
          <w:rFonts w:ascii="宋体" w:hAnsi="宋体" w:hint="eastAsia"/>
          <w:sz w:val="24"/>
          <w:szCs w:val="24"/>
        </w:rPr>
        <w:t>风险水平可能降低。同时，不同销售机构采用的风险评价方法不同，因此存在基金变更前后风险等级不一致的可能。</w:t>
      </w:r>
    </w:p>
    <w:p w:rsidR="00000000" w:rsidRDefault="005D7097">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在基金份额的转换过程中，</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A</w:t>
      </w:r>
      <w:r>
        <w:rPr>
          <w:rFonts w:ascii="宋体" w:hAnsi="宋体" w:hint="eastAsia"/>
          <w:sz w:val="24"/>
          <w:szCs w:val="24"/>
        </w:rPr>
        <w:t>份额、</w:t>
      </w:r>
      <w:r>
        <w:rPr>
          <w:rFonts w:ascii="宋体" w:hAnsi="宋体" w:hint="eastAsia"/>
          <w:sz w:val="24"/>
          <w:szCs w:val="24"/>
        </w:rPr>
        <w:t>银华</w:t>
      </w:r>
      <w:r>
        <w:rPr>
          <w:rFonts w:ascii="宋体" w:hAnsi="宋体" w:hint="eastAsia"/>
          <w:sz w:val="24"/>
          <w:szCs w:val="24"/>
        </w:rPr>
        <w:t>300</w:t>
      </w:r>
      <w:r>
        <w:rPr>
          <w:rFonts w:ascii="宋体" w:hAnsi="宋体" w:hint="eastAsia"/>
          <w:sz w:val="24"/>
          <w:szCs w:val="24"/>
        </w:rPr>
        <w:t>B</w:t>
      </w:r>
      <w:r>
        <w:rPr>
          <w:rFonts w:ascii="宋体" w:hAnsi="宋体" w:hint="eastAsia"/>
          <w:sz w:val="24"/>
          <w:szCs w:val="24"/>
        </w:rPr>
        <w:t>份额、</w:t>
      </w:r>
      <w:r>
        <w:rPr>
          <w:rFonts w:ascii="宋体" w:hAnsi="宋体"/>
          <w:sz w:val="24"/>
          <w:szCs w:val="24"/>
        </w:rPr>
        <w:t>银华</w:t>
      </w:r>
      <w:r>
        <w:rPr>
          <w:rFonts w:ascii="宋体" w:hAnsi="宋体" w:hint="eastAsia"/>
          <w:sz w:val="24"/>
          <w:szCs w:val="24"/>
        </w:rPr>
        <w:t>300</w:t>
      </w:r>
      <w:r>
        <w:rPr>
          <w:rFonts w:ascii="宋体" w:hAnsi="宋体" w:hint="eastAsia"/>
          <w:sz w:val="24"/>
          <w:szCs w:val="24"/>
        </w:rPr>
        <w:t>份额</w:t>
      </w:r>
      <w:r>
        <w:rPr>
          <w:rFonts w:ascii="宋体" w:hAnsi="宋体"/>
          <w:sz w:val="24"/>
          <w:szCs w:val="24"/>
        </w:rPr>
        <w:t>的场内份额</w:t>
      </w:r>
      <w:r>
        <w:rPr>
          <w:rFonts w:ascii="宋体" w:hAnsi="宋体" w:hint="eastAsia"/>
          <w:sz w:val="24"/>
          <w:szCs w:val="24"/>
        </w:rPr>
        <w:t>转换为银华沪深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）的场内基金份额数截位取整计算（最小单位为</w:t>
      </w:r>
      <w:r>
        <w:rPr>
          <w:rFonts w:ascii="宋体" w:hAnsi="宋体" w:hint="eastAsia"/>
          <w:sz w:val="24"/>
          <w:szCs w:val="24"/>
        </w:rPr>
        <w:t>1</w:t>
      </w:r>
      <w:r>
        <w:rPr>
          <w:rFonts w:ascii="宋体" w:hAnsi="宋体" w:hint="eastAsia"/>
          <w:sz w:val="24"/>
          <w:szCs w:val="24"/>
        </w:rPr>
        <w:t>份），小数点以后的部分舍去</w:t>
      </w:r>
      <w:r>
        <w:rPr>
          <w:rFonts w:ascii="宋体" w:hAnsi="宋体" w:hint="eastAsia"/>
          <w:sz w:val="24"/>
          <w:szCs w:val="24"/>
        </w:rPr>
        <w:t>并</w:t>
      </w:r>
      <w:r>
        <w:rPr>
          <w:rFonts w:ascii="宋体" w:hAnsi="宋体" w:hint="eastAsia"/>
          <w:sz w:val="24"/>
          <w:szCs w:val="24"/>
        </w:rPr>
        <w:t>计入基金财产。由于基金份额数取整计算产生的误差，基金份额持有人将面临所持基金份额数量减少的风险</w:t>
      </w:r>
      <w:r>
        <w:rPr>
          <w:rFonts w:ascii="宋体" w:hAnsi="宋体" w:hint="eastAsia"/>
          <w:sz w:val="24"/>
          <w:szCs w:val="24"/>
        </w:rPr>
        <w:t>。</w:t>
      </w:r>
      <w:r>
        <w:rPr>
          <w:rFonts w:ascii="宋体" w:hAnsi="宋体" w:hint="eastAsia"/>
          <w:sz w:val="24"/>
          <w:szCs w:val="24"/>
        </w:rPr>
        <w:t>对于持有份额数较少的银华</w:t>
      </w:r>
      <w:r>
        <w:rPr>
          <w:rFonts w:ascii="宋体" w:hAnsi="宋体" w:hint="eastAsia"/>
          <w:sz w:val="24"/>
          <w:szCs w:val="24"/>
        </w:rPr>
        <w:t>300A</w:t>
      </w:r>
      <w:r>
        <w:rPr>
          <w:rFonts w:ascii="宋体" w:hAnsi="宋体" w:hint="eastAsia"/>
          <w:sz w:val="24"/>
          <w:szCs w:val="24"/>
        </w:rPr>
        <w:t>份额、银华</w:t>
      </w:r>
      <w:r>
        <w:rPr>
          <w:rFonts w:ascii="宋体" w:hAnsi="宋体" w:hint="eastAsia"/>
          <w:sz w:val="24"/>
          <w:szCs w:val="24"/>
        </w:rPr>
        <w:t>300B</w:t>
      </w:r>
      <w:r>
        <w:rPr>
          <w:rFonts w:ascii="宋体" w:hAnsi="宋体" w:hint="eastAsia"/>
          <w:sz w:val="24"/>
          <w:szCs w:val="24"/>
        </w:rPr>
        <w:t>份额、</w:t>
      </w:r>
      <w:r>
        <w:rPr>
          <w:rFonts w:ascii="宋体" w:hAnsi="宋体"/>
          <w:sz w:val="24"/>
          <w:szCs w:val="24"/>
        </w:rPr>
        <w:t>银华</w:t>
      </w:r>
      <w:r>
        <w:rPr>
          <w:rFonts w:ascii="宋体" w:hAnsi="宋体"/>
          <w:sz w:val="24"/>
          <w:szCs w:val="24"/>
        </w:rPr>
        <w:t>300</w:t>
      </w:r>
      <w:r>
        <w:rPr>
          <w:rFonts w:ascii="宋体" w:hAnsi="宋体" w:hint="eastAsia"/>
          <w:sz w:val="24"/>
          <w:szCs w:val="24"/>
        </w:rPr>
        <w:t>份额</w:t>
      </w:r>
      <w:r>
        <w:rPr>
          <w:rFonts w:ascii="宋体" w:hAnsi="宋体"/>
          <w:sz w:val="24"/>
          <w:szCs w:val="24"/>
        </w:rPr>
        <w:t>的场内份额</w:t>
      </w:r>
      <w:r>
        <w:rPr>
          <w:rFonts w:ascii="宋体" w:hAnsi="宋体" w:hint="eastAsia"/>
          <w:sz w:val="24"/>
          <w:szCs w:val="24"/>
        </w:rPr>
        <w:t>持有人，将面临</w:t>
      </w:r>
      <w:r>
        <w:rPr>
          <w:rFonts w:ascii="宋体" w:hAnsi="宋体" w:hint="eastAsia"/>
          <w:sz w:val="24"/>
          <w:szCs w:val="24"/>
        </w:rPr>
        <w:t>所</w:t>
      </w:r>
      <w:r>
        <w:rPr>
          <w:rFonts w:ascii="宋体" w:hAnsi="宋体" w:hint="eastAsia"/>
          <w:sz w:val="24"/>
          <w:szCs w:val="24"/>
        </w:rPr>
        <w:t>持有的基金份额转</w:t>
      </w:r>
      <w:r>
        <w:rPr>
          <w:rFonts w:ascii="宋体" w:hAnsi="宋体" w:hint="eastAsia"/>
          <w:sz w:val="24"/>
          <w:szCs w:val="24"/>
        </w:rPr>
        <w:t>换后份额数不足</w:t>
      </w:r>
      <w:r>
        <w:rPr>
          <w:rFonts w:ascii="宋体" w:hAnsi="宋体" w:hint="eastAsia"/>
          <w:sz w:val="24"/>
          <w:szCs w:val="24"/>
        </w:rPr>
        <w:t>1</w:t>
      </w:r>
      <w:r>
        <w:rPr>
          <w:rFonts w:ascii="宋体" w:hAnsi="宋体" w:hint="eastAsia"/>
          <w:sz w:val="24"/>
          <w:szCs w:val="24"/>
        </w:rPr>
        <w:t>份而被计入基金财产的风险。</w:t>
      </w:r>
    </w:p>
    <w:p w:rsidR="00000000" w:rsidRDefault="005D7097">
      <w:pPr>
        <w:adjustRightInd w:val="0"/>
        <w:snapToGrid w:val="0"/>
        <w:spacing w:line="360" w:lineRule="auto"/>
        <w:ind w:firstLineChars="200" w:firstLine="480"/>
        <w:rPr>
          <w:rFonts w:ascii="宋体" w:hAnsi="宋体" w:hint="eastAsia"/>
          <w:sz w:val="24"/>
          <w:szCs w:val="24"/>
        </w:rPr>
      </w:pPr>
      <w:r>
        <w:rPr>
          <w:rFonts w:ascii="宋体" w:hAnsi="宋体" w:hint="eastAsia"/>
          <w:sz w:val="24"/>
          <w:szCs w:val="24"/>
        </w:rPr>
        <w:t>经基金份额转换后，银华沪深</w:t>
      </w:r>
      <w:r>
        <w:rPr>
          <w:rFonts w:ascii="宋体" w:hAnsi="宋体" w:hint="eastAsia"/>
          <w:sz w:val="24"/>
          <w:szCs w:val="24"/>
        </w:rPr>
        <w:t>300</w:t>
      </w:r>
      <w:r>
        <w:rPr>
          <w:rFonts w:ascii="宋体" w:hAnsi="宋体" w:hint="eastAsia"/>
          <w:sz w:val="24"/>
          <w:szCs w:val="24"/>
        </w:rPr>
        <w:t>指数证券投资基金（</w:t>
      </w:r>
      <w:r>
        <w:rPr>
          <w:rFonts w:ascii="宋体" w:hAnsi="宋体" w:hint="eastAsia"/>
          <w:sz w:val="24"/>
          <w:szCs w:val="24"/>
        </w:rPr>
        <w:t>LOF</w:t>
      </w:r>
      <w:r>
        <w:rPr>
          <w:rFonts w:ascii="宋体" w:hAnsi="宋体" w:hint="eastAsia"/>
          <w:sz w:val="24"/>
          <w:szCs w:val="24"/>
        </w:rPr>
        <w:t>）的场外份额数采用截位法保留到小数点后两位，小数点后两位以后的部分舍去</w:t>
      </w:r>
      <w:r>
        <w:rPr>
          <w:rFonts w:ascii="宋体" w:hAnsi="宋体" w:hint="eastAsia"/>
          <w:sz w:val="24"/>
          <w:szCs w:val="24"/>
        </w:rPr>
        <w:t>并</w:t>
      </w:r>
      <w:r>
        <w:rPr>
          <w:rFonts w:ascii="宋体" w:hAnsi="宋体" w:hint="eastAsia"/>
          <w:sz w:val="24"/>
          <w:szCs w:val="24"/>
        </w:rPr>
        <w:t>计入基金财产。</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基金管理人承诺以诚实信用、勤勉尽责的原则管理和运用基金资产，但不保证基金一定盈利，也不保证最低收益。敬请投资者留意投资风险。</w:t>
      </w: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本公告解释权归</w:t>
      </w:r>
      <w:r>
        <w:rPr>
          <w:rFonts w:ascii="宋体" w:hAnsi="宋体" w:hint="eastAsia"/>
          <w:sz w:val="24"/>
          <w:szCs w:val="24"/>
        </w:rPr>
        <w:t>本基金管理人</w:t>
      </w:r>
      <w:r>
        <w:rPr>
          <w:rFonts w:ascii="宋体" w:hAnsi="宋体" w:hint="eastAsia"/>
          <w:sz w:val="24"/>
          <w:szCs w:val="24"/>
        </w:rPr>
        <w:t>。</w:t>
      </w:r>
    </w:p>
    <w:p w:rsidR="00000000" w:rsidRDefault="005D7097">
      <w:pPr>
        <w:spacing w:line="360" w:lineRule="auto"/>
        <w:ind w:firstLineChars="200" w:firstLine="480"/>
        <w:rPr>
          <w:rFonts w:ascii="宋体" w:hAnsi="宋体" w:hint="eastAsia"/>
          <w:sz w:val="24"/>
          <w:szCs w:val="24"/>
        </w:rPr>
      </w:pPr>
    </w:p>
    <w:p w:rsidR="00000000" w:rsidRDefault="005D7097">
      <w:pPr>
        <w:spacing w:line="360" w:lineRule="auto"/>
        <w:ind w:firstLineChars="200" w:firstLine="480"/>
        <w:rPr>
          <w:rFonts w:ascii="宋体" w:hAnsi="宋体"/>
          <w:sz w:val="24"/>
          <w:szCs w:val="24"/>
        </w:rPr>
      </w:pPr>
      <w:r>
        <w:rPr>
          <w:rFonts w:ascii="宋体" w:hAnsi="宋体" w:hint="eastAsia"/>
          <w:sz w:val="24"/>
          <w:szCs w:val="24"/>
        </w:rPr>
        <w:t>特此公告。</w:t>
      </w:r>
    </w:p>
    <w:p w:rsidR="00000000" w:rsidRDefault="005D7097">
      <w:pPr>
        <w:spacing w:line="360" w:lineRule="auto"/>
        <w:rPr>
          <w:rFonts w:ascii="宋体" w:hAnsi="宋体"/>
          <w:sz w:val="24"/>
          <w:szCs w:val="24"/>
        </w:rPr>
      </w:pPr>
    </w:p>
    <w:p w:rsidR="00000000" w:rsidRDefault="005D7097">
      <w:pPr>
        <w:spacing w:line="360" w:lineRule="auto"/>
        <w:rPr>
          <w:rFonts w:ascii="宋体" w:hAnsi="宋体"/>
          <w:sz w:val="24"/>
          <w:szCs w:val="24"/>
        </w:rPr>
      </w:pPr>
    </w:p>
    <w:p w:rsidR="00000000" w:rsidRDefault="005D7097">
      <w:pPr>
        <w:spacing w:line="360" w:lineRule="auto"/>
        <w:jc w:val="right"/>
        <w:rPr>
          <w:rFonts w:ascii="宋体" w:hAnsi="宋体"/>
          <w:sz w:val="24"/>
          <w:szCs w:val="24"/>
        </w:rPr>
      </w:pPr>
      <w:r>
        <w:rPr>
          <w:rFonts w:ascii="宋体" w:hAnsi="宋体" w:hint="eastAsia"/>
          <w:sz w:val="24"/>
          <w:szCs w:val="24"/>
        </w:rPr>
        <w:t>银华基金管理股份有限公司</w:t>
      </w:r>
    </w:p>
    <w:p w:rsidR="00000000" w:rsidRDefault="005D7097">
      <w:pPr>
        <w:spacing w:line="360" w:lineRule="auto"/>
        <w:jc w:val="right"/>
      </w:pPr>
      <w:r>
        <w:rPr>
          <w:rFonts w:ascii="宋体" w:hAnsi="宋体" w:hint="eastAsia"/>
          <w:sz w:val="24"/>
          <w:szCs w:val="24"/>
        </w:rPr>
        <w:t>20</w:t>
      </w:r>
      <w:r>
        <w:rPr>
          <w:rFonts w:ascii="宋体" w:hAnsi="宋体" w:hint="eastAsia"/>
          <w:sz w:val="24"/>
          <w:szCs w:val="24"/>
        </w:rPr>
        <w:t>20</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25</w:t>
      </w:r>
      <w:r>
        <w:rPr>
          <w:rFonts w:ascii="宋体" w:hAnsi="宋体" w:hint="eastAsia"/>
          <w:sz w:val="24"/>
          <w:szCs w:val="24"/>
        </w:rPr>
        <w:t>日</w:t>
      </w:r>
    </w:p>
    <w:sectPr w:rsidR="00000000">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D7097">
      <w:r>
        <w:separator/>
      </w:r>
    </w:p>
  </w:endnote>
  <w:endnote w:type="continuationSeparator" w:id="0">
    <w:p w:rsidR="00000000" w:rsidRDefault="005D7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7097">
    <w:pPr>
      <w:pStyle w:val="a5"/>
      <w:jc w:val="center"/>
    </w:pPr>
    <w:r>
      <w:fldChar w:fldCharType="begin"/>
    </w:r>
    <w:r>
      <w:instrText>PAGE   \* MERGEFORMAT</w:instrText>
    </w:r>
    <w:r>
      <w:fldChar w:fldCharType="separate"/>
    </w:r>
    <w:r w:rsidRPr="005D7097">
      <w:rPr>
        <w:noProof/>
        <w:lang w:val="zh-CN"/>
      </w:rPr>
      <w:t>1</w:t>
    </w:r>
    <w:r>
      <w:fldChar w:fldCharType="end"/>
    </w:r>
  </w:p>
  <w:p w:rsidR="00000000" w:rsidRDefault="005D70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D7097">
      <w:r>
        <w:separator/>
      </w:r>
    </w:p>
  </w:footnote>
  <w:footnote w:type="continuationSeparator" w:id="0">
    <w:p w:rsidR="00000000" w:rsidRDefault="005D7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01BC"/>
    <w:rsid w:val="0002562A"/>
    <w:rsid w:val="00063361"/>
    <w:rsid w:val="001348A3"/>
    <w:rsid w:val="001847AC"/>
    <w:rsid w:val="00295937"/>
    <w:rsid w:val="00306185"/>
    <w:rsid w:val="003D6FC1"/>
    <w:rsid w:val="0044228B"/>
    <w:rsid w:val="00501DE3"/>
    <w:rsid w:val="005640C5"/>
    <w:rsid w:val="005D7097"/>
    <w:rsid w:val="005F1258"/>
    <w:rsid w:val="006801BC"/>
    <w:rsid w:val="00825918"/>
    <w:rsid w:val="00851402"/>
    <w:rsid w:val="00927E76"/>
    <w:rsid w:val="00A84803"/>
    <w:rsid w:val="00B72563"/>
    <w:rsid w:val="00CB3177"/>
    <w:rsid w:val="00D51205"/>
    <w:rsid w:val="00DE71CC"/>
    <w:rsid w:val="00EF2FD1"/>
    <w:rsid w:val="03BD3795"/>
    <w:rsid w:val="0EBF69EC"/>
    <w:rsid w:val="0EFB1AF1"/>
    <w:rsid w:val="1363190F"/>
    <w:rsid w:val="16373039"/>
    <w:rsid w:val="166F0681"/>
    <w:rsid w:val="1A9D0881"/>
    <w:rsid w:val="1ECB73E7"/>
    <w:rsid w:val="24660CC8"/>
    <w:rsid w:val="2AB05E82"/>
    <w:rsid w:val="2CB635DC"/>
    <w:rsid w:val="397578E6"/>
    <w:rsid w:val="39D93FB6"/>
    <w:rsid w:val="3E153E6A"/>
    <w:rsid w:val="448C52B1"/>
    <w:rsid w:val="46D93739"/>
    <w:rsid w:val="4BDC6227"/>
    <w:rsid w:val="52101A62"/>
    <w:rsid w:val="66946523"/>
    <w:rsid w:val="72013D96"/>
    <w:rsid w:val="75E33EF6"/>
    <w:rsid w:val="77E65BC2"/>
    <w:rsid w:val="794835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21"/>
      <w:szCs w:val="21"/>
    </w:rPr>
  </w:style>
  <w:style w:type="character" w:customStyle="1" w:styleId="Char">
    <w:name w:val="批注文字 Char"/>
    <w:basedOn w:val="a0"/>
    <w:link w:val="a4"/>
    <w:uiPriority w:val="99"/>
    <w:semiHidden/>
    <w:qFormat/>
  </w:style>
  <w:style w:type="character" w:customStyle="1" w:styleId="Char0">
    <w:name w:val="页脚 Char"/>
    <w:basedOn w:val="a0"/>
    <w:link w:val="a5"/>
    <w:uiPriority w:val="99"/>
    <w:qFormat/>
    <w:rPr>
      <w:sz w:val="18"/>
      <w:szCs w:val="18"/>
    </w:rPr>
  </w:style>
  <w:style w:type="character" w:customStyle="1" w:styleId="Char1">
    <w:name w:val="页眉 Char"/>
    <w:basedOn w:val="a0"/>
    <w:link w:val="a6"/>
    <w:uiPriority w:val="99"/>
    <w:qFormat/>
    <w:rPr>
      <w:sz w:val="18"/>
      <w:szCs w:val="18"/>
    </w:rPr>
  </w:style>
  <w:style w:type="character" w:customStyle="1" w:styleId="Char2">
    <w:name w:val="批注框文本 Char"/>
    <w:basedOn w:val="a0"/>
    <w:link w:val="a7"/>
    <w:uiPriority w:val="99"/>
    <w:semiHidden/>
    <w:qFormat/>
    <w:rPr>
      <w:sz w:val="18"/>
      <w:szCs w:val="18"/>
    </w:rPr>
  </w:style>
  <w:style w:type="character" w:customStyle="1" w:styleId="Char3">
    <w:name w:val="批注主题 Char"/>
    <w:basedOn w:val="Char"/>
    <w:link w:val="a8"/>
    <w:uiPriority w:val="99"/>
    <w:semiHidden/>
    <w:qFormat/>
    <w:rPr>
      <w:b/>
      <w:bCs/>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7">
    <w:name w:val="Balloon Text"/>
    <w:basedOn w:val="a"/>
    <w:link w:val="Char2"/>
    <w:uiPriority w:val="99"/>
    <w:unhideWhenUsed/>
    <w:qFormat/>
    <w:rPr>
      <w:sz w:val="18"/>
      <w:szCs w:val="18"/>
    </w:rPr>
  </w:style>
  <w:style w:type="paragraph" w:styleId="a8">
    <w:name w:val="annotation subject"/>
    <w:basedOn w:val="a4"/>
    <w:next w:val="a4"/>
    <w:link w:val="Char3"/>
    <w:uiPriority w:val="99"/>
    <w:unhideWhenUsed/>
    <w:qFormat/>
    <w:rPr>
      <w:b/>
      <w:bCs/>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4">
    <w:name w:val="annotation text"/>
    <w:basedOn w:val="a"/>
    <w:link w:val="Char"/>
    <w:uiPriority w:val="99"/>
    <w:unhideWhenUsed/>
    <w:qFormat/>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4</DocSecurity>
  <Lines>17</Lines>
  <Paragraphs>5</Paragraphs>
  <ScaleCrop>false</ScaleCrop>
  <Company>CNSTOCK</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qiul</dc:creator>
  <cp:keywords/>
  <cp:lastModifiedBy>ZHONGM</cp:lastModifiedBy>
  <cp:revision>2</cp:revision>
  <dcterms:created xsi:type="dcterms:W3CDTF">2020-11-24T16:01:00Z</dcterms:created>
  <dcterms:modified xsi:type="dcterms:W3CDTF">2020-11-24T16:01:00Z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