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E78" w:rsidRPr="00692E78" w:rsidRDefault="00692E78" w:rsidP="00692E78">
      <w:pPr>
        <w:jc w:val="center"/>
        <w:rPr>
          <w:rFonts w:ascii="宋体" w:eastAsia="宋体" w:hAnsi="宋体" w:cs="Times New Roman"/>
          <w:b/>
          <w:sz w:val="28"/>
          <w:szCs w:val="32"/>
        </w:rPr>
      </w:pPr>
      <w:r w:rsidRPr="00692E78">
        <w:rPr>
          <w:rFonts w:ascii="宋体" w:eastAsia="宋体" w:hAnsi="宋体" w:cs="Times New Roman" w:hint="eastAsia"/>
          <w:b/>
          <w:sz w:val="28"/>
          <w:szCs w:val="32"/>
        </w:rPr>
        <w:t>关于汇添富恒生指数分级证券投资基金</w:t>
      </w:r>
      <w:r w:rsidR="00BD6946">
        <w:rPr>
          <w:rFonts w:ascii="宋体" w:eastAsia="宋体" w:hAnsi="宋体" w:cs="Times New Roman" w:hint="eastAsia"/>
          <w:b/>
          <w:sz w:val="28"/>
          <w:szCs w:val="32"/>
        </w:rPr>
        <w:t>的</w:t>
      </w:r>
      <w:r w:rsidRPr="00692E78">
        <w:rPr>
          <w:rFonts w:ascii="宋体" w:eastAsia="宋体" w:hAnsi="宋体" w:cs="Times New Roman" w:hint="eastAsia"/>
          <w:b/>
          <w:sz w:val="28"/>
          <w:szCs w:val="32"/>
        </w:rPr>
        <w:t>恒生A份额</w:t>
      </w:r>
      <w:r>
        <w:rPr>
          <w:rFonts w:ascii="宋体" w:eastAsia="宋体" w:hAnsi="宋体" w:cs="Times New Roman" w:hint="eastAsia"/>
          <w:b/>
          <w:sz w:val="28"/>
          <w:szCs w:val="32"/>
        </w:rPr>
        <w:t>、</w:t>
      </w:r>
      <w:r w:rsidRPr="00692E78">
        <w:rPr>
          <w:rFonts w:ascii="宋体" w:eastAsia="宋体" w:hAnsi="宋体" w:cs="Times New Roman" w:hint="eastAsia"/>
          <w:b/>
          <w:sz w:val="28"/>
          <w:szCs w:val="32"/>
        </w:rPr>
        <w:t>恒生B份额</w:t>
      </w:r>
      <w:r w:rsidRPr="00692E78">
        <w:rPr>
          <w:rFonts w:ascii="宋体" w:eastAsia="宋体" w:hAnsi="宋体" w:cs="Times New Roman"/>
          <w:b/>
          <w:sz w:val="28"/>
          <w:szCs w:val="32"/>
        </w:rPr>
        <w:t>终止上市的公告</w:t>
      </w:r>
    </w:p>
    <w:p w:rsidR="00692E78" w:rsidRPr="00692E78" w:rsidRDefault="00692E78" w:rsidP="00692E78">
      <w:pPr>
        <w:jc w:val="center"/>
        <w:rPr>
          <w:rFonts w:ascii="等线" w:eastAsia="等线" w:hAnsi="等线" w:cs="Times New Roman"/>
        </w:rPr>
      </w:pPr>
    </w:p>
    <w:p w:rsidR="00692E78" w:rsidRPr="00692E78" w:rsidRDefault="00692E78" w:rsidP="00692E78">
      <w:pPr>
        <w:spacing w:line="360" w:lineRule="auto"/>
        <w:ind w:firstLineChars="200" w:firstLine="480"/>
        <w:rPr>
          <w:rFonts w:ascii="宋体" w:eastAsia="宋体" w:hAnsi="宋体" w:cs="Times New Roman"/>
          <w:color w:val="000000"/>
          <w:kern w:val="0"/>
          <w:sz w:val="24"/>
          <w:szCs w:val="21"/>
        </w:rPr>
      </w:pPr>
      <w:r w:rsidRPr="00692E78">
        <w:rPr>
          <w:rFonts w:ascii="宋体" w:eastAsia="宋体" w:hAnsi="宋体" w:cs="Times New Roman" w:hint="eastAsia"/>
          <w:color w:val="000000"/>
          <w:kern w:val="0"/>
          <w:sz w:val="24"/>
          <w:szCs w:val="21"/>
        </w:rPr>
        <w:t>根据《中华人民共和国证券投资基金法》</w:t>
      </w:r>
      <w:r w:rsidR="002F5D76">
        <w:rPr>
          <w:rFonts w:ascii="宋体" w:eastAsia="宋体" w:hAnsi="宋体" w:cs="Times New Roman" w:hint="eastAsia"/>
          <w:color w:val="000000"/>
          <w:kern w:val="0"/>
          <w:sz w:val="24"/>
          <w:szCs w:val="21"/>
        </w:rPr>
        <w:t>、</w:t>
      </w:r>
      <w:r w:rsidRPr="00692E78">
        <w:rPr>
          <w:rFonts w:ascii="宋体" w:eastAsia="宋体" w:hAnsi="宋体" w:cs="Times New Roman" w:hint="eastAsia"/>
          <w:color w:val="000000"/>
          <w:kern w:val="0"/>
          <w:sz w:val="24"/>
          <w:szCs w:val="21"/>
        </w:rPr>
        <w:t>《公开募集证券投资基金运作管理办法》</w:t>
      </w:r>
      <w:r w:rsidR="002F5D76">
        <w:rPr>
          <w:rFonts w:ascii="宋体" w:eastAsia="宋体" w:hAnsi="宋体" w:cs="Times New Roman" w:hint="eastAsia"/>
          <w:color w:val="000000"/>
          <w:kern w:val="0"/>
          <w:sz w:val="24"/>
          <w:szCs w:val="21"/>
        </w:rPr>
        <w:t>、</w:t>
      </w:r>
      <w:r w:rsidRPr="00692E78">
        <w:rPr>
          <w:rFonts w:ascii="宋体" w:eastAsia="宋体" w:hAnsi="宋体" w:cs="Times New Roman" w:hint="eastAsia"/>
          <w:color w:val="000000"/>
          <w:kern w:val="0"/>
          <w:sz w:val="24"/>
          <w:szCs w:val="21"/>
        </w:rPr>
        <w:t>《深圳证券交易所证券投资基金上市规则》</w:t>
      </w:r>
      <w:r w:rsidR="002F5D76">
        <w:rPr>
          <w:rFonts w:ascii="宋体" w:eastAsia="宋体" w:hAnsi="宋体" w:cs="Times New Roman" w:hint="eastAsia"/>
          <w:color w:val="000000"/>
          <w:kern w:val="0"/>
          <w:sz w:val="24"/>
          <w:szCs w:val="21"/>
        </w:rPr>
        <w:t>、</w:t>
      </w:r>
      <w:r w:rsidRPr="00692E78">
        <w:rPr>
          <w:rFonts w:ascii="宋体" w:eastAsia="宋体" w:hAnsi="宋体" w:cs="Times New Roman" w:hint="eastAsia"/>
          <w:color w:val="000000"/>
          <w:kern w:val="0"/>
          <w:sz w:val="24"/>
          <w:szCs w:val="21"/>
        </w:rPr>
        <w:t>《汇添富恒生指数分级证券投资基金基金合同》</w:t>
      </w:r>
      <w:r w:rsidR="005C12FC">
        <w:rPr>
          <w:rFonts w:ascii="宋体" w:eastAsia="宋体" w:hAnsi="宋体" w:cs="Times New Roman" w:hint="eastAsia"/>
          <w:color w:val="000000"/>
          <w:kern w:val="0"/>
          <w:sz w:val="24"/>
          <w:szCs w:val="21"/>
        </w:rPr>
        <w:t>、</w:t>
      </w:r>
      <w:r w:rsidRPr="00692E78">
        <w:rPr>
          <w:rFonts w:ascii="宋体" w:eastAsia="宋体" w:hAnsi="宋体" w:cs="Times New Roman" w:hint="eastAsia"/>
          <w:color w:val="000000"/>
          <w:kern w:val="0"/>
          <w:sz w:val="24"/>
          <w:szCs w:val="21"/>
        </w:rPr>
        <w:t>《汇添富基金管理股份有限公司关于召开汇添富恒生指数分级证券投资基金基金份额持有人大会的公告》</w:t>
      </w:r>
      <w:r w:rsidR="005C12FC" w:rsidRPr="005C12FC">
        <w:rPr>
          <w:rFonts w:ascii="宋体" w:eastAsia="宋体" w:hAnsi="宋体" w:cs="Times New Roman" w:hint="eastAsia"/>
          <w:color w:val="000000"/>
          <w:kern w:val="0"/>
          <w:sz w:val="24"/>
          <w:szCs w:val="21"/>
        </w:rPr>
        <w:t>和《汇添富基金管理股份有限公司关于汇添富恒生指数分级证券投资基金基金份额持有人大会表决结果暨决议生效的公告》</w:t>
      </w:r>
      <w:r w:rsidRPr="00692E78">
        <w:rPr>
          <w:rFonts w:ascii="宋体" w:eastAsia="宋体" w:hAnsi="宋体" w:cs="Times New Roman" w:hint="eastAsia"/>
          <w:color w:val="000000"/>
          <w:kern w:val="0"/>
          <w:sz w:val="24"/>
          <w:szCs w:val="21"/>
        </w:rPr>
        <w:t>等有关规定，</w:t>
      </w:r>
      <w:r w:rsidR="00213B15" w:rsidRPr="00213B15">
        <w:rPr>
          <w:rFonts w:ascii="宋体" w:eastAsia="宋体" w:hAnsi="宋体" w:cs="Times New Roman" w:hint="eastAsia"/>
          <w:color w:val="000000"/>
          <w:kern w:val="0"/>
          <w:sz w:val="24"/>
          <w:szCs w:val="21"/>
        </w:rPr>
        <w:t>汇添富基金管理股份有限公司</w:t>
      </w:r>
      <w:r w:rsidR="00213B15">
        <w:rPr>
          <w:rFonts w:ascii="宋体" w:eastAsia="宋体" w:hAnsi="宋体" w:cs="Times New Roman" w:hint="eastAsia"/>
          <w:color w:val="000000"/>
          <w:kern w:val="0"/>
          <w:sz w:val="24"/>
          <w:szCs w:val="21"/>
        </w:rPr>
        <w:t>（以下简称“基金管理人”）</w:t>
      </w:r>
      <w:r w:rsidRPr="00692E78">
        <w:rPr>
          <w:rFonts w:ascii="宋体" w:eastAsia="宋体" w:hAnsi="宋体" w:cs="Times New Roman" w:hint="eastAsia"/>
          <w:color w:val="000000"/>
          <w:kern w:val="0"/>
          <w:sz w:val="24"/>
          <w:szCs w:val="21"/>
        </w:rPr>
        <w:t>已向深圳证券交易所申请汇添富恒生指数分级证券投资基金</w:t>
      </w:r>
      <w:r w:rsidR="00BD6946">
        <w:rPr>
          <w:rFonts w:ascii="宋体" w:eastAsia="宋体" w:hAnsi="宋体" w:cs="Times New Roman" w:hint="eastAsia"/>
          <w:color w:val="000000"/>
          <w:kern w:val="0"/>
          <w:sz w:val="24"/>
          <w:szCs w:val="21"/>
        </w:rPr>
        <w:t>的</w:t>
      </w:r>
      <w:r w:rsidRPr="00692E78">
        <w:rPr>
          <w:rFonts w:ascii="宋体" w:eastAsia="宋体" w:hAnsi="宋体" w:cs="Times New Roman" w:hint="eastAsia"/>
          <w:color w:val="000000"/>
          <w:kern w:val="0"/>
          <w:sz w:val="24"/>
          <w:szCs w:val="21"/>
        </w:rPr>
        <w:t>恒生A份额、恒生B份额</w:t>
      </w:r>
      <w:r w:rsidRPr="00692E78">
        <w:rPr>
          <w:rFonts w:ascii="宋体" w:eastAsia="宋体" w:hAnsi="宋体" w:cs="Times New Roman"/>
          <w:color w:val="000000"/>
          <w:kern w:val="0"/>
          <w:sz w:val="24"/>
          <w:szCs w:val="21"/>
        </w:rPr>
        <w:t>终止上市交易，并获得深圳证券交易所《终止上市通知书》（</w:t>
      </w:r>
      <w:r w:rsidRPr="00692E78">
        <w:rPr>
          <w:rFonts w:ascii="宋体" w:eastAsia="宋体" w:hAnsi="宋体" w:cs="Times New Roman" w:hint="eastAsia"/>
          <w:color w:val="000000"/>
          <w:kern w:val="0"/>
          <w:sz w:val="24"/>
          <w:szCs w:val="21"/>
        </w:rPr>
        <w:t>深证上</w:t>
      </w:r>
      <w:r w:rsidRPr="00692E78">
        <w:rPr>
          <w:rFonts w:ascii="宋体" w:eastAsia="宋体" w:hAnsi="宋体" w:cs="Times New Roman"/>
          <w:color w:val="000000"/>
          <w:kern w:val="0"/>
          <w:sz w:val="24"/>
          <w:szCs w:val="21"/>
        </w:rPr>
        <w:t>[2020]</w:t>
      </w:r>
      <w:r w:rsidR="00BD2B5B">
        <w:rPr>
          <w:rFonts w:ascii="宋体" w:eastAsia="宋体" w:hAnsi="宋体" w:cs="Times New Roman"/>
          <w:color w:val="000000"/>
          <w:kern w:val="0"/>
          <w:sz w:val="24"/>
          <w:szCs w:val="21"/>
        </w:rPr>
        <w:t>1155</w:t>
      </w:r>
      <w:r w:rsidRPr="00692E78">
        <w:rPr>
          <w:rFonts w:ascii="宋体" w:eastAsia="宋体" w:hAnsi="宋体" w:cs="Times New Roman"/>
          <w:color w:val="000000"/>
          <w:kern w:val="0"/>
          <w:sz w:val="24"/>
          <w:szCs w:val="21"/>
        </w:rPr>
        <w:t>号）的同意。现将</w:t>
      </w:r>
      <w:r w:rsidRPr="00692E78">
        <w:rPr>
          <w:rFonts w:ascii="宋体" w:eastAsia="宋体" w:hAnsi="宋体" w:cs="Times New Roman" w:hint="eastAsia"/>
          <w:color w:val="000000"/>
          <w:kern w:val="0"/>
          <w:sz w:val="24"/>
          <w:szCs w:val="21"/>
        </w:rPr>
        <w:t>恒生A</w:t>
      </w:r>
      <w:r>
        <w:rPr>
          <w:rFonts w:ascii="宋体" w:eastAsia="宋体" w:hAnsi="宋体" w:cs="Times New Roman" w:hint="eastAsia"/>
          <w:color w:val="000000"/>
          <w:kern w:val="0"/>
          <w:sz w:val="24"/>
          <w:szCs w:val="21"/>
        </w:rPr>
        <w:t>份额、</w:t>
      </w:r>
      <w:r w:rsidRPr="00692E78">
        <w:rPr>
          <w:rFonts w:ascii="宋体" w:eastAsia="宋体" w:hAnsi="宋体" w:cs="Times New Roman" w:hint="eastAsia"/>
          <w:color w:val="000000"/>
          <w:kern w:val="0"/>
          <w:sz w:val="24"/>
          <w:szCs w:val="21"/>
        </w:rPr>
        <w:t>恒生B份额</w:t>
      </w:r>
      <w:r w:rsidRPr="00692E78">
        <w:rPr>
          <w:rFonts w:ascii="宋体" w:eastAsia="宋体" w:hAnsi="宋体" w:cs="Times New Roman"/>
          <w:color w:val="000000"/>
          <w:kern w:val="0"/>
          <w:sz w:val="24"/>
          <w:szCs w:val="21"/>
        </w:rPr>
        <w:t>的终止上市相关事项</w:t>
      </w:r>
      <w:r w:rsidRPr="00692E78">
        <w:rPr>
          <w:rFonts w:ascii="宋体" w:eastAsia="宋体" w:hAnsi="宋体" w:cs="Times New Roman" w:hint="eastAsia"/>
          <w:color w:val="000000"/>
          <w:kern w:val="0"/>
          <w:sz w:val="24"/>
          <w:szCs w:val="21"/>
        </w:rPr>
        <w:t>公告如下：</w:t>
      </w:r>
    </w:p>
    <w:p w:rsidR="00692E78" w:rsidRPr="00692E78" w:rsidRDefault="00692E78" w:rsidP="00692E78">
      <w:pPr>
        <w:spacing w:line="360" w:lineRule="auto"/>
        <w:ind w:firstLineChars="200" w:firstLine="482"/>
        <w:rPr>
          <w:rFonts w:ascii="宋体" w:eastAsia="宋体" w:hAnsi="宋体" w:cs="Times New Roman"/>
          <w:b/>
          <w:color w:val="000000"/>
          <w:kern w:val="0"/>
          <w:sz w:val="24"/>
          <w:szCs w:val="21"/>
        </w:rPr>
      </w:pPr>
      <w:r w:rsidRPr="00692E78">
        <w:rPr>
          <w:rFonts w:ascii="宋体" w:eastAsia="宋体" w:hAnsi="宋体" w:cs="Times New Roman" w:hint="eastAsia"/>
          <w:b/>
          <w:color w:val="000000"/>
          <w:kern w:val="0"/>
          <w:sz w:val="24"/>
          <w:szCs w:val="21"/>
        </w:rPr>
        <w:t>一、终止上市基金的基本信息</w:t>
      </w:r>
    </w:p>
    <w:p w:rsidR="00692E78" w:rsidRPr="00692E78" w:rsidRDefault="00B76435" w:rsidP="00692E78">
      <w:pPr>
        <w:spacing w:line="360" w:lineRule="auto"/>
        <w:ind w:firstLineChars="200" w:firstLine="480"/>
        <w:rPr>
          <w:rFonts w:ascii="宋体" w:eastAsia="宋体" w:hAnsi="宋体" w:cs="Times New Roman"/>
          <w:color w:val="000000"/>
          <w:kern w:val="0"/>
          <w:sz w:val="24"/>
          <w:szCs w:val="21"/>
        </w:rPr>
      </w:pPr>
      <w:r>
        <w:rPr>
          <w:rFonts w:ascii="宋体" w:eastAsia="宋体" w:hAnsi="宋体" w:cs="Times New Roman" w:hint="eastAsia"/>
          <w:color w:val="000000"/>
          <w:kern w:val="0"/>
          <w:sz w:val="24"/>
          <w:szCs w:val="21"/>
        </w:rPr>
        <w:t>（一</w:t>
      </w:r>
      <w:r w:rsidR="00692E78" w:rsidRPr="00692E78">
        <w:rPr>
          <w:rFonts w:ascii="宋体" w:eastAsia="宋体" w:hAnsi="宋体" w:cs="Times New Roman" w:hint="eastAsia"/>
          <w:color w:val="000000"/>
          <w:kern w:val="0"/>
          <w:sz w:val="24"/>
          <w:szCs w:val="21"/>
        </w:rPr>
        <w:t>）汇添富恒生指数分级证券投资基金</w:t>
      </w:r>
      <w:r w:rsidR="00BD6946">
        <w:rPr>
          <w:rFonts w:ascii="宋体" w:eastAsia="宋体" w:hAnsi="宋体" w:cs="Times New Roman" w:hint="eastAsia"/>
          <w:color w:val="000000"/>
          <w:kern w:val="0"/>
          <w:sz w:val="24"/>
          <w:szCs w:val="21"/>
        </w:rPr>
        <w:t>的</w:t>
      </w:r>
      <w:r w:rsidR="00692E78" w:rsidRPr="00692E78">
        <w:rPr>
          <w:rFonts w:ascii="宋体" w:eastAsia="宋体" w:hAnsi="宋体" w:cs="Times New Roman" w:hint="eastAsia"/>
          <w:color w:val="000000"/>
          <w:kern w:val="0"/>
          <w:sz w:val="24"/>
          <w:szCs w:val="21"/>
        </w:rPr>
        <w:t>恒生A份额</w:t>
      </w:r>
    </w:p>
    <w:p w:rsidR="00692E78" w:rsidRPr="00692E78" w:rsidRDefault="00692E78" w:rsidP="00692E78">
      <w:pPr>
        <w:spacing w:line="360" w:lineRule="auto"/>
        <w:ind w:firstLineChars="200" w:firstLine="480"/>
        <w:rPr>
          <w:rFonts w:ascii="宋体" w:eastAsia="宋体" w:hAnsi="宋体" w:cs="Times New Roman"/>
          <w:color w:val="000000"/>
          <w:kern w:val="0"/>
          <w:sz w:val="24"/>
          <w:szCs w:val="21"/>
        </w:rPr>
      </w:pPr>
      <w:r w:rsidRPr="00692E78">
        <w:rPr>
          <w:rFonts w:ascii="宋体" w:eastAsia="宋体" w:hAnsi="宋体" w:cs="Times New Roman" w:hint="eastAsia"/>
          <w:color w:val="000000"/>
          <w:kern w:val="0"/>
          <w:sz w:val="24"/>
          <w:szCs w:val="21"/>
        </w:rPr>
        <w:t>场内简称：恒生A</w:t>
      </w:r>
    </w:p>
    <w:p w:rsidR="00692E78" w:rsidRDefault="00692E78" w:rsidP="00692E78">
      <w:pPr>
        <w:spacing w:line="360" w:lineRule="auto"/>
        <w:ind w:firstLineChars="200" w:firstLine="480"/>
        <w:rPr>
          <w:rFonts w:ascii="宋体" w:eastAsia="宋体" w:hAnsi="宋体" w:cs="Times New Roman"/>
          <w:color w:val="000000"/>
          <w:kern w:val="0"/>
          <w:sz w:val="24"/>
          <w:szCs w:val="21"/>
        </w:rPr>
      </w:pPr>
      <w:r w:rsidRPr="00692E78">
        <w:rPr>
          <w:rFonts w:ascii="宋体" w:eastAsia="宋体" w:hAnsi="宋体" w:cs="Times New Roman" w:hint="eastAsia"/>
          <w:color w:val="000000"/>
          <w:kern w:val="0"/>
          <w:sz w:val="24"/>
          <w:szCs w:val="21"/>
        </w:rPr>
        <w:t>交易代码：</w:t>
      </w:r>
      <w:r w:rsidRPr="00692E78">
        <w:rPr>
          <w:rFonts w:ascii="宋体" w:eastAsia="宋体" w:hAnsi="宋体" w:cs="Times New Roman"/>
          <w:color w:val="000000"/>
          <w:kern w:val="0"/>
          <w:sz w:val="24"/>
          <w:szCs w:val="21"/>
        </w:rPr>
        <w:t>150169</w:t>
      </w:r>
    </w:p>
    <w:p w:rsidR="00692E78" w:rsidRDefault="00B76435" w:rsidP="00692E78">
      <w:pPr>
        <w:spacing w:line="360" w:lineRule="auto"/>
        <w:ind w:firstLineChars="200" w:firstLine="480"/>
        <w:rPr>
          <w:rFonts w:ascii="宋体" w:eastAsia="宋体" w:hAnsi="宋体" w:cs="Times New Roman"/>
          <w:color w:val="000000"/>
          <w:kern w:val="0"/>
          <w:sz w:val="24"/>
          <w:szCs w:val="21"/>
        </w:rPr>
      </w:pPr>
      <w:r>
        <w:rPr>
          <w:rFonts w:ascii="宋体" w:eastAsia="宋体" w:hAnsi="宋体" w:cs="Times New Roman" w:hint="eastAsia"/>
          <w:color w:val="000000"/>
          <w:kern w:val="0"/>
          <w:sz w:val="24"/>
          <w:szCs w:val="21"/>
        </w:rPr>
        <w:t>（二</w:t>
      </w:r>
      <w:r w:rsidR="00692E78">
        <w:rPr>
          <w:rFonts w:ascii="宋体" w:eastAsia="宋体" w:hAnsi="宋体" w:cs="Times New Roman" w:hint="eastAsia"/>
          <w:color w:val="000000"/>
          <w:kern w:val="0"/>
          <w:sz w:val="24"/>
          <w:szCs w:val="21"/>
        </w:rPr>
        <w:t>）</w:t>
      </w:r>
      <w:r w:rsidR="00692E78" w:rsidRPr="00692E78">
        <w:rPr>
          <w:rFonts w:ascii="宋体" w:eastAsia="宋体" w:hAnsi="宋体" w:cs="Times New Roman" w:hint="eastAsia"/>
          <w:color w:val="000000"/>
          <w:kern w:val="0"/>
          <w:sz w:val="24"/>
          <w:szCs w:val="21"/>
        </w:rPr>
        <w:t>汇添富恒生指数分级证券投资基金</w:t>
      </w:r>
      <w:r w:rsidR="00BD6946">
        <w:rPr>
          <w:rFonts w:ascii="宋体" w:eastAsia="宋体" w:hAnsi="宋体" w:cs="Times New Roman" w:hint="eastAsia"/>
          <w:color w:val="000000"/>
          <w:kern w:val="0"/>
          <w:sz w:val="24"/>
          <w:szCs w:val="21"/>
        </w:rPr>
        <w:t>的</w:t>
      </w:r>
      <w:r w:rsidR="00692E78" w:rsidRPr="00692E78">
        <w:rPr>
          <w:rFonts w:ascii="宋体" w:eastAsia="宋体" w:hAnsi="宋体" w:cs="Times New Roman" w:hint="eastAsia"/>
          <w:color w:val="000000"/>
          <w:kern w:val="0"/>
          <w:sz w:val="24"/>
          <w:szCs w:val="21"/>
        </w:rPr>
        <w:t>恒生B份额</w:t>
      </w:r>
    </w:p>
    <w:p w:rsidR="00692E78" w:rsidRDefault="00692E78" w:rsidP="00692E78">
      <w:pPr>
        <w:spacing w:line="360" w:lineRule="auto"/>
        <w:ind w:firstLineChars="200" w:firstLine="480"/>
        <w:rPr>
          <w:rFonts w:ascii="宋体" w:eastAsia="宋体" w:hAnsi="宋体" w:cs="Times New Roman"/>
          <w:color w:val="000000"/>
          <w:kern w:val="0"/>
          <w:sz w:val="24"/>
          <w:szCs w:val="21"/>
        </w:rPr>
      </w:pPr>
      <w:r>
        <w:rPr>
          <w:rFonts w:ascii="宋体" w:eastAsia="宋体" w:hAnsi="宋体" w:cs="Times New Roman" w:hint="eastAsia"/>
          <w:color w:val="000000"/>
          <w:kern w:val="0"/>
          <w:sz w:val="24"/>
          <w:szCs w:val="21"/>
        </w:rPr>
        <w:t>场内简称：</w:t>
      </w:r>
      <w:r w:rsidRPr="00692E78">
        <w:rPr>
          <w:rFonts w:ascii="宋体" w:eastAsia="宋体" w:hAnsi="宋体" w:cs="Times New Roman" w:hint="eastAsia"/>
          <w:color w:val="000000"/>
          <w:kern w:val="0"/>
          <w:sz w:val="24"/>
          <w:szCs w:val="21"/>
        </w:rPr>
        <w:t>恒生B</w:t>
      </w:r>
    </w:p>
    <w:p w:rsidR="00692E78" w:rsidRDefault="00692E78" w:rsidP="00692E78">
      <w:pPr>
        <w:spacing w:line="360" w:lineRule="auto"/>
        <w:ind w:firstLineChars="200" w:firstLine="480"/>
        <w:rPr>
          <w:rFonts w:ascii="宋体" w:eastAsia="宋体" w:hAnsi="宋体" w:cs="Times New Roman"/>
          <w:color w:val="000000"/>
          <w:kern w:val="0"/>
          <w:sz w:val="24"/>
          <w:szCs w:val="21"/>
        </w:rPr>
      </w:pPr>
      <w:r>
        <w:rPr>
          <w:rFonts w:ascii="宋体" w:eastAsia="宋体" w:hAnsi="宋体" w:cs="Times New Roman"/>
          <w:color w:val="000000"/>
          <w:kern w:val="0"/>
          <w:sz w:val="24"/>
          <w:szCs w:val="21"/>
        </w:rPr>
        <w:t>交易代码</w:t>
      </w:r>
      <w:r>
        <w:rPr>
          <w:rFonts w:ascii="宋体" w:eastAsia="宋体" w:hAnsi="宋体" w:cs="Times New Roman" w:hint="eastAsia"/>
          <w:color w:val="000000"/>
          <w:kern w:val="0"/>
          <w:sz w:val="24"/>
          <w:szCs w:val="21"/>
        </w:rPr>
        <w:t>：</w:t>
      </w:r>
      <w:r w:rsidRPr="00692E78">
        <w:rPr>
          <w:rFonts w:ascii="宋体" w:eastAsia="宋体" w:hAnsi="宋体" w:cs="Times New Roman"/>
          <w:color w:val="000000"/>
          <w:kern w:val="0"/>
          <w:sz w:val="24"/>
          <w:szCs w:val="21"/>
        </w:rPr>
        <w:t>150170</w:t>
      </w:r>
    </w:p>
    <w:p w:rsidR="00692E78" w:rsidRPr="00692E78" w:rsidRDefault="00B76435" w:rsidP="00692E78">
      <w:pPr>
        <w:spacing w:line="360" w:lineRule="auto"/>
        <w:ind w:firstLineChars="200" w:firstLine="480"/>
        <w:rPr>
          <w:rFonts w:ascii="宋体" w:eastAsia="宋体" w:hAnsi="宋体" w:cs="Times New Roman"/>
          <w:color w:val="000000"/>
          <w:kern w:val="0"/>
          <w:sz w:val="24"/>
          <w:szCs w:val="21"/>
        </w:rPr>
      </w:pPr>
      <w:r>
        <w:rPr>
          <w:rFonts w:ascii="宋体" w:eastAsia="宋体" w:hAnsi="宋体" w:cs="Times New Roman" w:hint="eastAsia"/>
          <w:color w:val="000000"/>
          <w:kern w:val="0"/>
          <w:sz w:val="24"/>
          <w:szCs w:val="21"/>
        </w:rPr>
        <w:t>（三</w:t>
      </w:r>
      <w:r w:rsidR="00692E78" w:rsidRPr="00692E78">
        <w:rPr>
          <w:rFonts w:ascii="宋体" w:eastAsia="宋体" w:hAnsi="宋体" w:cs="Times New Roman" w:hint="eastAsia"/>
          <w:color w:val="000000"/>
          <w:kern w:val="0"/>
          <w:sz w:val="24"/>
          <w:szCs w:val="21"/>
        </w:rPr>
        <w:t>）终止上市日：</w:t>
      </w:r>
      <w:r w:rsidR="00692E78" w:rsidRPr="00692E78">
        <w:rPr>
          <w:rFonts w:ascii="宋体" w:eastAsia="宋体" w:hAnsi="宋体" w:cs="Times New Roman"/>
          <w:color w:val="000000"/>
          <w:kern w:val="0"/>
          <w:sz w:val="24"/>
          <w:szCs w:val="21"/>
        </w:rPr>
        <w:t>2020年11月</w:t>
      </w:r>
      <w:r w:rsidR="000F0664">
        <w:rPr>
          <w:rFonts w:ascii="宋体" w:eastAsia="宋体" w:hAnsi="宋体" w:cs="Times New Roman"/>
          <w:color w:val="000000"/>
          <w:kern w:val="0"/>
          <w:sz w:val="24"/>
          <w:szCs w:val="21"/>
        </w:rPr>
        <w:t>30</w:t>
      </w:r>
      <w:r w:rsidR="00692E78" w:rsidRPr="00692E78">
        <w:rPr>
          <w:rFonts w:ascii="宋体" w:eastAsia="宋体" w:hAnsi="宋体" w:cs="Times New Roman"/>
          <w:color w:val="000000"/>
          <w:kern w:val="0"/>
          <w:sz w:val="24"/>
          <w:szCs w:val="21"/>
        </w:rPr>
        <w:t>日</w:t>
      </w:r>
    </w:p>
    <w:p w:rsidR="00692E78" w:rsidRPr="00692E78" w:rsidRDefault="00B76435" w:rsidP="00692E78">
      <w:pPr>
        <w:spacing w:line="360" w:lineRule="auto"/>
        <w:ind w:firstLineChars="200" w:firstLine="480"/>
        <w:rPr>
          <w:rFonts w:ascii="宋体" w:eastAsia="宋体" w:hAnsi="宋体" w:cs="Times New Roman"/>
          <w:color w:val="000000"/>
          <w:kern w:val="0"/>
          <w:sz w:val="24"/>
          <w:szCs w:val="21"/>
        </w:rPr>
      </w:pPr>
      <w:r>
        <w:rPr>
          <w:rFonts w:ascii="宋体" w:eastAsia="宋体" w:hAnsi="宋体" w:cs="Times New Roman" w:hint="eastAsia"/>
          <w:color w:val="000000"/>
          <w:kern w:val="0"/>
          <w:sz w:val="24"/>
          <w:szCs w:val="21"/>
        </w:rPr>
        <w:t>（四</w:t>
      </w:r>
      <w:r w:rsidR="00692E78" w:rsidRPr="00692E78">
        <w:rPr>
          <w:rFonts w:ascii="宋体" w:eastAsia="宋体" w:hAnsi="宋体" w:cs="Times New Roman" w:hint="eastAsia"/>
          <w:color w:val="000000"/>
          <w:kern w:val="0"/>
          <w:sz w:val="24"/>
          <w:szCs w:val="21"/>
        </w:rPr>
        <w:t>）终止上市的权益登记日：</w:t>
      </w:r>
      <w:r w:rsidR="00692E78" w:rsidRPr="00692E78">
        <w:rPr>
          <w:rFonts w:ascii="宋体" w:eastAsia="宋体" w:hAnsi="宋体" w:cs="Times New Roman"/>
          <w:color w:val="000000"/>
          <w:kern w:val="0"/>
          <w:sz w:val="24"/>
          <w:szCs w:val="21"/>
        </w:rPr>
        <w:t>2020年11月</w:t>
      </w:r>
      <w:r w:rsidR="000F0664">
        <w:rPr>
          <w:rFonts w:ascii="宋体" w:eastAsia="宋体" w:hAnsi="宋体" w:cs="Times New Roman"/>
          <w:color w:val="000000"/>
          <w:kern w:val="0"/>
          <w:sz w:val="24"/>
          <w:szCs w:val="21"/>
        </w:rPr>
        <w:t>27</w:t>
      </w:r>
      <w:r w:rsidR="00692E78" w:rsidRPr="00692E78">
        <w:rPr>
          <w:rFonts w:ascii="宋体" w:eastAsia="宋体" w:hAnsi="宋体" w:cs="Times New Roman"/>
          <w:color w:val="000000"/>
          <w:kern w:val="0"/>
          <w:sz w:val="24"/>
          <w:szCs w:val="21"/>
        </w:rPr>
        <w:t>日，即在2020年11月</w:t>
      </w:r>
      <w:r w:rsidR="000F0664">
        <w:rPr>
          <w:rFonts w:ascii="宋体" w:eastAsia="宋体" w:hAnsi="宋体" w:cs="Times New Roman"/>
          <w:color w:val="000000"/>
          <w:kern w:val="0"/>
          <w:sz w:val="24"/>
          <w:szCs w:val="21"/>
        </w:rPr>
        <w:t>27</w:t>
      </w:r>
      <w:r w:rsidR="00AF5F33">
        <w:rPr>
          <w:rFonts w:ascii="宋体" w:eastAsia="宋体" w:hAnsi="宋体" w:cs="Times New Roman"/>
          <w:color w:val="000000"/>
          <w:kern w:val="0"/>
          <w:sz w:val="24"/>
          <w:szCs w:val="21"/>
        </w:rPr>
        <w:t>日</w:t>
      </w:r>
      <w:r w:rsidR="00AF5F33">
        <w:rPr>
          <w:rFonts w:ascii="宋体" w:eastAsia="宋体" w:hAnsi="宋体" w:cs="Times New Roman" w:hint="eastAsia"/>
          <w:color w:val="000000"/>
          <w:kern w:val="0"/>
          <w:sz w:val="24"/>
          <w:szCs w:val="21"/>
        </w:rPr>
        <w:t>1</w:t>
      </w:r>
      <w:r w:rsidR="00AF5F33">
        <w:rPr>
          <w:rFonts w:ascii="宋体" w:eastAsia="宋体" w:hAnsi="宋体" w:cs="Times New Roman"/>
          <w:color w:val="000000"/>
          <w:kern w:val="0"/>
          <w:sz w:val="24"/>
          <w:szCs w:val="21"/>
        </w:rPr>
        <w:t>5:00</w:t>
      </w:r>
      <w:r w:rsidR="00692E78" w:rsidRPr="00692E78">
        <w:rPr>
          <w:rFonts w:ascii="宋体" w:eastAsia="宋体" w:hAnsi="宋体" w:cs="Times New Roman"/>
          <w:color w:val="000000"/>
          <w:kern w:val="0"/>
          <w:sz w:val="24"/>
          <w:szCs w:val="21"/>
        </w:rPr>
        <w:t>深圳</w:t>
      </w:r>
      <w:r w:rsidR="00692E78" w:rsidRPr="00692E78">
        <w:rPr>
          <w:rFonts w:ascii="宋体" w:eastAsia="宋体" w:hAnsi="宋体" w:cs="Times New Roman" w:hint="eastAsia"/>
          <w:color w:val="000000"/>
          <w:kern w:val="0"/>
          <w:sz w:val="24"/>
          <w:szCs w:val="21"/>
        </w:rPr>
        <w:t>证券交易所交易结束后，在中国证券登记结算有限责任公司深圳分公司登记在册的</w:t>
      </w:r>
      <w:r w:rsidR="000F0664">
        <w:rPr>
          <w:rFonts w:ascii="宋体" w:eastAsia="宋体" w:hAnsi="宋体" w:cs="Times New Roman" w:hint="eastAsia"/>
          <w:color w:val="000000"/>
          <w:kern w:val="0"/>
          <w:sz w:val="24"/>
          <w:szCs w:val="21"/>
        </w:rPr>
        <w:t>恒生A、恒生B</w:t>
      </w:r>
      <w:r w:rsidR="00692E78" w:rsidRPr="00692E78">
        <w:rPr>
          <w:rFonts w:ascii="宋体" w:eastAsia="宋体" w:hAnsi="宋体" w:cs="Times New Roman"/>
          <w:color w:val="000000"/>
          <w:kern w:val="0"/>
          <w:sz w:val="24"/>
          <w:szCs w:val="21"/>
        </w:rPr>
        <w:t>全体基金份额持有人享有</w:t>
      </w:r>
      <w:r w:rsidR="000F0664" w:rsidRPr="000F0664">
        <w:rPr>
          <w:rFonts w:ascii="宋体" w:eastAsia="宋体" w:hAnsi="宋体" w:cs="Times New Roman" w:hint="eastAsia"/>
          <w:color w:val="000000"/>
          <w:kern w:val="0"/>
          <w:sz w:val="24"/>
          <w:szCs w:val="21"/>
        </w:rPr>
        <w:t>恒生A、恒生B</w:t>
      </w:r>
      <w:r w:rsidR="00692E78" w:rsidRPr="00692E78">
        <w:rPr>
          <w:rFonts w:ascii="宋体" w:eastAsia="宋体" w:hAnsi="宋体" w:cs="Times New Roman"/>
          <w:color w:val="000000"/>
          <w:kern w:val="0"/>
          <w:sz w:val="24"/>
          <w:szCs w:val="21"/>
        </w:rPr>
        <w:t>终止上市后的相</w:t>
      </w:r>
      <w:r w:rsidR="00692E78" w:rsidRPr="00692E78">
        <w:rPr>
          <w:rFonts w:ascii="宋体" w:eastAsia="宋体" w:hAnsi="宋体" w:cs="Times New Roman" w:hint="eastAsia"/>
          <w:color w:val="000000"/>
          <w:kern w:val="0"/>
          <w:sz w:val="24"/>
          <w:szCs w:val="21"/>
        </w:rPr>
        <w:t>关权利。</w:t>
      </w:r>
    </w:p>
    <w:p w:rsidR="00692E78" w:rsidRPr="00692E78" w:rsidRDefault="00692E78" w:rsidP="00692E78">
      <w:pPr>
        <w:spacing w:line="360" w:lineRule="auto"/>
        <w:ind w:firstLineChars="200" w:firstLine="482"/>
        <w:rPr>
          <w:rFonts w:ascii="宋体" w:eastAsia="宋体" w:hAnsi="宋体" w:cs="Times New Roman"/>
          <w:b/>
          <w:color w:val="000000"/>
          <w:kern w:val="0"/>
          <w:sz w:val="24"/>
          <w:szCs w:val="21"/>
        </w:rPr>
      </w:pPr>
      <w:r w:rsidRPr="00692E78">
        <w:rPr>
          <w:rFonts w:ascii="宋体" w:eastAsia="宋体" w:hAnsi="宋体" w:cs="Times New Roman" w:hint="eastAsia"/>
          <w:b/>
          <w:color w:val="000000"/>
          <w:kern w:val="0"/>
          <w:sz w:val="24"/>
          <w:szCs w:val="21"/>
        </w:rPr>
        <w:t>二、有关基金终止上市决定的主要内容</w:t>
      </w:r>
    </w:p>
    <w:p w:rsidR="00692E78" w:rsidRPr="00692E78" w:rsidRDefault="000F0664" w:rsidP="00692E78">
      <w:pPr>
        <w:spacing w:line="360" w:lineRule="auto"/>
        <w:ind w:firstLineChars="200" w:firstLine="480"/>
        <w:rPr>
          <w:rFonts w:ascii="宋体" w:eastAsia="宋体" w:hAnsi="宋体" w:cs="Times New Roman"/>
          <w:color w:val="000000"/>
          <w:kern w:val="0"/>
          <w:sz w:val="24"/>
          <w:szCs w:val="21"/>
        </w:rPr>
      </w:pPr>
      <w:r w:rsidRPr="000F0664">
        <w:rPr>
          <w:rFonts w:ascii="宋体" w:eastAsia="宋体" w:hAnsi="宋体" w:cs="Times New Roman" w:hint="eastAsia"/>
          <w:color w:val="000000"/>
          <w:kern w:val="0"/>
          <w:sz w:val="24"/>
          <w:szCs w:val="21"/>
        </w:rPr>
        <w:t>汇添富恒生指数分级证券投资基金</w:t>
      </w:r>
      <w:r w:rsidR="00692E78" w:rsidRPr="00692E78">
        <w:rPr>
          <w:rFonts w:ascii="宋体" w:eastAsia="宋体" w:hAnsi="宋体" w:cs="Times New Roman" w:hint="eastAsia"/>
          <w:color w:val="000000"/>
          <w:kern w:val="0"/>
          <w:sz w:val="24"/>
          <w:szCs w:val="21"/>
        </w:rPr>
        <w:t>基金份额持有人大会以</w:t>
      </w:r>
      <w:r>
        <w:rPr>
          <w:rFonts w:ascii="宋体" w:eastAsia="宋体" w:hAnsi="宋体" w:cs="Times New Roman" w:hint="eastAsia"/>
          <w:color w:val="000000"/>
          <w:kern w:val="0"/>
          <w:sz w:val="24"/>
          <w:szCs w:val="21"/>
        </w:rPr>
        <w:t>现场</w:t>
      </w:r>
      <w:r w:rsidR="00692E78" w:rsidRPr="00692E78">
        <w:rPr>
          <w:rFonts w:ascii="宋体" w:eastAsia="宋体" w:hAnsi="宋体" w:cs="Times New Roman" w:hint="eastAsia"/>
          <w:color w:val="000000"/>
          <w:kern w:val="0"/>
          <w:sz w:val="24"/>
          <w:szCs w:val="21"/>
        </w:rPr>
        <w:t>方式</w:t>
      </w:r>
      <w:r>
        <w:rPr>
          <w:rFonts w:ascii="宋体" w:eastAsia="宋体" w:hAnsi="宋体" w:cs="Times New Roman" w:hint="eastAsia"/>
          <w:color w:val="000000"/>
          <w:kern w:val="0"/>
          <w:sz w:val="24"/>
          <w:szCs w:val="21"/>
        </w:rPr>
        <w:t>组织</w:t>
      </w:r>
      <w:r w:rsidR="00692E78" w:rsidRPr="00692E78">
        <w:rPr>
          <w:rFonts w:ascii="宋体" w:eastAsia="宋体" w:hAnsi="宋体" w:cs="Times New Roman" w:hint="eastAsia"/>
          <w:color w:val="000000"/>
          <w:kern w:val="0"/>
          <w:sz w:val="24"/>
          <w:szCs w:val="21"/>
        </w:rPr>
        <w:t>召开，会议审议通过了《</w:t>
      </w:r>
      <w:r w:rsidRPr="000F0664">
        <w:rPr>
          <w:rFonts w:ascii="宋体" w:eastAsia="宋体" w:hAnsi="宋体" w:cs="Times New Roman" w:hint="eastAsia"/>
          <w:color w:val="000000"/>
          <w:kern w:val="0"/>
          <w:sz w:val="24"/>
          <w:szCs w:val="21"/>
        </w:rPr>
        <w:t>关于汇添富恒生指数分级证券投资基金转型的议案</w:t>
      </w:r>
      <w:r w:rsidR="00692E78" w:rsidRPr="00692E78">
        <w:rPr>
          <w:rFonts w:ascii="宋体" w:eastAsia="宋体" w:hAnsi="宋体" w:cs="Times New Roman" w:hint="eastAsia"/>
          <w:color w:val="000000"/>
          <w:kern w:val="0"/>
          <w:sz w:val="24"/>
          <w:szCs w:val="21"/>
        </w:rPr>
        <w:t>》。基</w:t>
      </w:r>
      <w:r w:rsidR="00692E78" w:rsidRPr="00692E78">
        <w:rPr>
          <w:rFonts w:ascii="宋体" w:eastAsia="宋体" w:hAnsi="宋体" w:cs="Times New Roman" w:hint="eastAsia"/>
          <w:color w:val="000000"/>
          <w:kern w:val="0"/>
          <w:sz w:val="24"/>
          <w:szCs w:val="21"/>
        </w:rPr>
        <w:lastRenderedPageBreak/>
        <w:t>金管理人已于</w:t>
      </w:r>
      <w:r w:rsidR="00692E78" w:rsidRPr="00692E78">
        <w:rPr>
          <w:rFonts w:ascii="宋体" w:eastAsia="宋体" w:hAnsi="宋体" w:cs="Times New Roman"/>
          <w:color w:val="000000"/>
          <w:kern w:val="0"/>
          <w:sz w:val="24"/>
          <w:szCs w:val="21"/>
        </w:rPr>
        <w:t>2020年</w:t>
      </w:r>
      <w:r w:rsidR="00692E78" w:rsidRPr="00692E78">
        <w:rPr>
          <w:rFonts w:ascii="宋体" w:eastAsia="宋体" w:hAnsi="宋体" w:cs="Times New Roman" w:hint="eastAsia"/>
          <w:color w:val="000000"/>
          <w:kern w:val="0"/>
          <w:sz w:val="24"/>
          <w:szCs w:val="21"/>
        </w:rPr>
        <w:t>10</w:t>
      </w:r>
      <w:r w:rsidR="00692E78" w:rsidRPr="00692E78">
        <w:rPr>
          <w:rFonts w:ascii="宋体" w:eastAsia="宋体" w:hAnsi="宋体" w:cs="Times New Roman"/>
          <w:color w:val="000000"/>
          <w:kern w:val="0"/>
          <w:sz w:val="24"/>
          <w:szCs w:val="21"/>
        </w:rPr>
        <w:t>月</w:t>
      </w:r>
      <w:r>
        <w:rPr>
          <w:rFonts w:ascii="宋体" w:eastAsia="宋体" w:hAnsi="宋体" w:cs="Times New Roman"/>
          <w:color w:val="000000"/>
          <w:kern w:val="0"/>
          <w:sz w:val="24"/>
          <w:szCs w:val="21"/>
        </w:rPr>
        <w:t>30</w:t>
      </w:r>
      <w:r w:rsidR="00692E78" w:rsidRPr="00692E78">
        <w:rPr>
          <w:rFonts w:ascii="宋体" w:eastAsia="宋体" w:hAnsi="宋体" w:cs="Times New Roman"/>
          <w:color w:val="000000"/>
          <w:kern w:val="0"/>
          <w:sz w:val="24"/>
          <w:szCs w:val="21"/>
        </w:rPr>
        <w:t>日在《</w:t>
      </w:r>
      <w:r w:rsidRPr="000F0664">
        <w:rPr>
          <w:rFonts w:ascii="宋体" w:eastAsia="宋体" w:hAnsi="宋体" w:cs="Times New Roman" w:hint="eastAsia"/>
          <w:color w:val="000000"/>
          <w:kern w:val="0"/>
          <w:sz w:val="24"/>
          <w:szCs w:val="21"/>
        </w:rPr>
        <w:t>上海证券报</w:t>
      </w:r>
      <w:r w:rsidR="00692E78" w:rsidRPr="00692E78">
        <w:rPr>
          <w:rFonts w:ascii="宋体" w:eastAsia="宋体" w:hAnsi="宋体" w:cs="Times New Roman"/>
          <w:color w:val="000000"/>
          <w:kern w:val="0"/>
          <w:sz w:val="24"/>
          <w:szCs w:val="21"/>
        </w:rPr>
        <w:t>》、中国证监会基金电子披露网站</w:t>
      </w:r>
      <w:r w:rsidR="00692E78" w:rsidRPr="00692E78">
        <w:rPr>
          <w:rFonts w:ascii="宋体" w:eastAsia="宋体" w:hAnsi="宋体" w:cs="Times New Roman" w:hint="eastAsia"/>
          <w:color w:val="000000"/>
          <w:kern w:val="0"/>
          <w:sz w:val="24"/>
          <w:szCs w:val="21"/>
        </w:rPr>
        <w:t>（</w:t>
      </w:r>
      <w:r w:rsidR="00692E78" w:rsidRPr="00692E78">
        <w:rPr>
          <w:rFonts w:ascii="宋体" w:eastAsia="宋体" w:hAnsi="宋体" w:cs="Times New Roman"/>
          <w:color w:val="000000"/>
          <w:kern w:val="0"/>
          <w:sz w:val="24"/>
          <w:szCs w:val="21"/>
        </w:rPr>
        <w:t>http://eid.csrc.gov.cn/fund）、深圳证券交易所网站（www.szse.cn）</w:t>
      </w:r>
      <w:r w:rsidR="00692E78" w:rsidRPr="00692E78">
        <w:rPr>
          <w:rFonts w:ascii="宋体" w:eastAsia="宋体" w:hAnsi="宋体" w:cs="Times New Roman" w:hint="eastAsia"/>
          <w:color w:val="000000"/>
          <w:kern w:val="0"/>
          <w:sz w:val="24"/>
          <w:szCs w:val="21"/>
        </w:rPr>
        <w:t>及</w:t>
      </w:r>
      <w:r w:rsidRPr="000F0664">
        <w:rPr>
          <w:rFonts w:ascii="宋体" w:eastAsia="宋体" w:hAnsi="宋体" w:cs="Times New Roman" w:hint="eastAsia"/>
          <w:color w:val="000000"/>
          <w:kern w:val="0"/>
          <w:sz w:val="24"/>
          <w:szCs w:val="21"/>
        </w:rPr>
        <w:t>汇添富基金管理股份有限公司</w:t>
      </w:r>
      <w:r w:rsidR="00692E78" w:rsidRPr="00692E78">
        <w:rPr>
          <w:rFonts w:ascii="宋体" w:eastAsia="宋体" w:hAnsi="宋体" w:cs="Times New Roman" w:hint="eastAsia"/>
          <w:color w:val="000000"/>
          <w:kern w:val="0"/>
          <w:sz w:val="24"/>
          <w:szCs w:val="21"/>
        </w:rPr>
        <w:t>官方网站（</w:t>
      </w:r>
      <w:r w:rsidRPr="000F0664">
        <w:rPr>
          <w:rFonts w:ascii="宋体" w:eastAsia="宋体" w:hAnsi="宋体" w:cs="Times New Roman"/>
          <w:color w:val="000000"/>
          <w:kern w:val="0"/>
          <w:sz w:val="24"/>
          <w:szCs w:val="21"/>
        </w:rPr>
        <w:t>www.99fund.com</w:t>
      </w:r>
      <w:r w:rsidR="00692E78" w:rsidRPr="00692E78">
        <w:rPr>
          <w:rFonts w:ascii="宋体" w:eastAsia="宋体" w:hAnsi="宋体" w:cs="Times New Roman"/>
          <w:color w:val="000000"/>
          <w:kern w:val="0"/>
          <w:sz w:val="24"/>
          <w:szCs w:val="21"/>
        </w:rPr>
        <w:t>）发布了《</w:t>
      </w:r>
      <w:r w:rsidRPr="000F0664">
        <w:rPr>
          <w:rFonts w:ascii="宋体" w:eastAsia="宋体" w:hAnsi="宋体" w:cs="Times New Roman" w:hint="eastAsia"/>
          <w:color w:val="000000"/>
          <w:kern w:val="0"/>
          <w:sz w:val="24"/>
          <w:szCs w:val="21"/>
        </w:rPr>
        <w:t>汇添富基金管理股份有限公司关于汇添富恒生指数分级证券投资基金基金份额持有人大会表决结果暨决议生效的公告</w:t>
      </w:r>
      <w:r w:rsidR="00692E78" w:rsidRPr="00692E78">
        <w:rPr>
          <w:rFonts w:ascii="宋体" w:eastAsia="宋体" w:hAnsi="宋体" w:cs="Times New Roman" w:hint="eastAsia"/>
          <w:color w:val="000000"/>
          <w:kern w:val="0"/>
          <w:sz w:val="24"/>
          <w:szCs w:val="21"/>
        </w:rPr>
        <w:t>》。</w:t>
      </w:r>
    </w:p>
    <w:p w:rsidR="00692E78" w:rsidRPr="00692E78" w:rsidRDefault="00692E78" w:rsidP="00692E78">
      <w:pPr>
        <w:spacing w:line="360" w:lineRule="auto"/>
        <w:ind w:firstLineChars="200" w:firstLine="480"/>
        <w:rPr>
          <w:rFonts w:ascii="宋体" w:eastAsia="宋体" w:hAnsi="宋体" w:cs="Times New Roman"/>
          <w:color w:val="000000"/>
          <w:kern w:val="0"/>
          <w:sz w:val="24"/>
          <w:szCs w:val="21"/>
        </w:rPr>
      </w:pPr>
      <w:r w:rsidRPr="00692E78">
        <w:rPr>
          <w:rFonts w:ascii="宋体" w:eastAsia="宋体" w:hAnsi="宋体" w:cs="Times New Roman" w:hint="eastAsia"/>
          <w:color w:val="000000"/>
          <w:kern w:val="0"/>
          <w:sz w:val="24"/>
          <w:szCs w:val="21"/>
        </w:rPr>
        <w:t>根据基金份额持有人大会通过的本次会议议案及相关议案说明，基金管理人向深圳证券交易所申请于</w:t>
      </w:r>
      <w:r w:rsidRPr="00692E78">
        <w:rPr>
          <w:rFonts w:ascii="宋体" w:eastAsia="宋体" w:hAnsi="宋体" w:cs="Times New Roman"/>
          <w:color w:val="000000"/>
          <w:kern w:val="0"/>
          <w:sz w:val="24"/>
          <w:szCs w:val="21"/>
        </w:rPr>
        <w:t>2020年11月</w:t>
      </w:r>
      <w:r w:rsidR="000F0664">
        <w:rPr>
          <w:rFonts w:ascii="宋体" w:eastAsia="宋体" w:hAnsi="宋体" w:cs="Times New Roman"/>
          <w:color w:val="000000"/>
          <w:kern w:val="0"/>
          <w:sz w:val="24"/>
          <w:szCs w:val="21"/>
        </w:rPr>
        <w:t>30</w:t>
      </w:r>
      <w:r w:rsidRPr="00692E78">
        <w:rPr>
          <w:rFonts w:ascii="宋体" w:eastAsia="宋体" w:hAnsi="宋体" w:cs="Times New Roman"/>
          <w:color w:val="000000"/>
          <w:kern w:val="0"/>
          <w:sz w:val="24"/>
          <w:szCs w:val="21"/>
        </w:rPr>
        <w:t>日终止</w:t>
      </w:r>
      <w:r w:rsidR="000F0664" w:rsidRPr="000F0664">
        <w:rPr>
          <w:rFonts w:ascii="宋体" w:eastAsia="宋体" w:hAnsi="宋体" w:cs="Times New Roman" w:hint="eastAsia"/>
          <w:color w:val="000000"/>
          <w:kern w:val="0"/>
          <w:sz w:val="24"/>
          <w:szCs w:val="21"/>
        </w:rPr>
        <w:t>恒生A、恒生B</w:t>
      </w:r>
      <w:r w:rsidRPr="00692E78">
        <w:rPr>
          <w:rFonts w:ascii="宋体" w:eastAsia="宋体" w:hAnsi="宋体" w:cs="Times New Roman"/>
          <w:color w:val="000000"/>
          <w:kern w:val="0"/>
          <w:sz w:val="24"/>
          <w:szCs w:val="21"/>
        </w:rPr>
        <w:t>的上市交易，获得</w:t>
      </w:r>
      <w:r w:rsidRPr="00692E78">
        <w:rPr>
          <w:rFonts w:ascii="宋体" w:eastAsia="宋体" w:hAnsi="宋体" w:cs="Times New Roman" w:hint="eastAsia"/>
          <w:color w:val="000000"/>
          <w:kern w:val="0"/>
          <w:sz w:val="24"/>
          <w:szCs w:val="21"/>
        </w:rPr>
        <w:t>深圳证券交易所《终止上市通知书》（深证上</w:t>
      </w:r>
      <w:r w:rsidRPr="00692E78">
        <w:rPr>
          <w:rFonts w:ascii="宋体" w:eastAsia="宋体" w:hAnsi="宋体" w:cs="Times New Roman"/>
          <w:color w:val="000000"/>
          <w:kern w:val="0"/>
          <w:sz w:val="24"/>
          <w:szCs w:val="21"/>
        </w:rPr>
        <w:t>[2020]</w:t>
      </w:r>
      <w:r w:rsidR="00BD2B5B">
        <w:rPr>
          <w:rFonts w:ascii="宋体" w:eastAsia="宋体" w:hAnsi="宋体" w:cs="Times New Roman"/>
          <w:color w:val="000000"/>
          <w:kern w:val="0"/>
          <w:sz w:val="24"/>
          <w:szCs w:val="21"/>
        </w:rPr>
        <w:t>1155</w:t>
      </w:r>
      <w:bookmarkStart w:id="0" w:name="_GoBack"/>
      <w:bookmarkEnd w:id="0"/>
      <w:r w:rsidRPr="00692E78">
        <w:rPr>
          <w:rFonts w:ascii="宋体" w:eastAsia="宋体" w:hAnsi="宋体" w:cs="Times New Roman"/>
          <w:color w:val="000000"/>
          <w:kern w:val="0"/>
          <w:sz w:val="24"/>
          <w:szCs w:val="21"/>
        </w:rPr>
        <w:t>号）同意。</w:t>
      </w:r>
    </w:p>
    <w:p w:rsidR="00692E78" w:rsidRPr="00692E78" w:rsidRDefault="00692E78" w:rsidP="00692E78">
      <w:pPr>
        <w:spacing w:line="360" w:lineRule="auto"/>
        <w:ind w:firstLineChars="200" w:firstLine="482"/>
        <w:rPr>
          <w:rFonts w:ascii="宋体" w:eastAsia="宋体" w:hAnsi="宋体" w:cs="Times New Roman"/>
          <w:b/>
          <w:color w:val="000000"/>
          <w:kern w:val="0"/>
          <w:sz w:val="24"/>
          <w:szCs w:val="21"/>
        </w:rPr>
      </w:pPr>
      <w:r w:rsidRPr="00692E78">
        <w:rPr>
          <w:rFonts w:ascii="宋体" w:eastAsia="宋体" w:hAnsi="宋体" w:cs="Times New Roman" w:hint="eastAsia"/>
          <w:b/>
          <w:color w:val="000000"/>
          <w:kern w:val="0"/>
          <w:sz w:val="24"/>
          <w:szCs w:val="21"/>
        </w:rPr>
        <w:t>三、</w:t>
      </w:r>
      <w:r w:rsidR="00237E69">
        <w:rPr>
          <w:rFonts w:ascii="宋体" w:eastAsia="宋体" w:hAnsi="宋体" w:cs="Times New Roman" w:hint="eastAsia"/>
          <w:b/>
          <w:color w:val="000000"/>
          <w:kern w:val="0"/>
          <w:sz w:val="24"/>
          <w:szCs w:val="21"/>
        </w:rPr>
        <w:t>其他重要提示</w:t>
      </w:r>
    </w:p>
    <w:p w:rsidR="00A96477" w:rsidRDefault="00213B15" w:rsidP="00692E78">
      <w:pPr>
        <w:spacing w:line="360" w:lineRule="auto"/>
        <w:ind w:firstLineChars="200" w:firstLine="480"/>
        <w:rPr>
          <w:rFonts w:ascii="宋体" w:eastAsia="宋体" w:hAnsi="宋体" w:cs="Times New Roman"/>
          <w:color w:val="000000"/>
          <w:kern w:val="0"/>
          <w:sz w:val="24"/>
          <w:szCs w:val="21"/>
        </w:rPr>
      </w:pPr>
      <w:r w:rsidRPr="00213B15">
        <w:rPr>
          <w:rFonts w:ascii="宋体" w:eastAsia="宋体" w:hAnsi="宋体" w:cs="Times New Roman" w:hint="eastAsia"/>
          <w:color w:val="000000"/>
          <w:kern w:val="0"/>
          <w:sz w:val="24"/>
          <w:szCs w:val="21"/>
        </w:rPr>
        <w:t>基金管理人将以2020年11月30日（选择期结束之日的次一工作日）为基金份额折算基准日办理基金份额</w:t>
      </w:r>
      <w:r w:rsidR="008F598B">
        <w:rPr>
          <w:rFonts w:ascii="宋体" w:eastAsia="宋体" w:hAnsi="宋体" w:cs="Times New Roman" w:hint="eastAsia"/>
          <w:color w:val="000000"/>
          <w:kern w:val="0"/>
          <w:sz w:val="24"/>
          <w:szCs w:val="21"/>
        </w:rPr>
        <w:t>转换</w:t>
      </w:r>
      <w:r w:rsidR="00BD6946">
        <w:rPr>
          <w:rFonts w:ascii="宋体" w:eastAsia="宋体" w:hAnsi="宋体" w:cs="Times New Roman" w:hint="eastAsia"/>
          <w:color w:val="000000"/>
          <w:kern w:val="0"/>
          <w:sz w:val="24"/>
          <w:szCs w:val="21"/>
        </w:rPr>
        <w:t>。</w:t>
      </w:r>
      <w:r w:rsidRPr="00213B15">
        <w:rPr>
          <w:rFonts w:ascii="宋体" w:eastAsia="宋体" w:hAnsi="宋体" w:cs="Times New Roman" w:hint="eastAsia"/>
          <w:color w:val="000000"/>
          <w:kern w:val="0"/>
          <w:sz w:val="24"/>
          <w:szCs w:val="21"/>
        </w:rPr>
        <w:t>自2020年12月1日起，变更后的《汇添富恒生指数型证券投资基金（QDII-LOF）基金合同》生效，原《汇添富恒生指数分级证券投资基金基金合同》自同一日起失效，基金名称由“汇添富恒生指数分级证券投资基金”变更为“汇添富恒生指数型证券投资基金（QDII-LOF）”。</w:t>
      </w:r>
    </w:p>
    <w:p w:rsidR="00BF43A6" w:rsidRPr="00BF43A6" w:rsidRDefault="005C12FC" w:rsidP="00BF43A6">
      <w:pPr>
        <w:spacing w:line="360" w:lineRule="auto"/>
        <w:ind w:firstLineChars="200" w:firstLine="480"/>
        <w:rPr>
          <w:rFonts w:ascii="宋体" w:eastAsia="宋体" w:hAnsi="宋体" w:cs="Times New Roman"/>
          <w:color w:val="000000"/>
          <w:kern w:val="0"/>
          <w:sz w:val="24"/>
          <w:szCs w:val="21"/>
        </w:rPr>
      </w:pPr>
      <w:r>
        <w:rPr>
          <w:rFonts w:ascii="宋体" w:eastAsia="宋体" w:hAnsi="宋体" w:cs="Times New Roman" w:hint="eastAsia"/>
          <w:color w:val="000000"/>
          <w:kern w:val="0"/>
          <w:sz w:val="24"/>
          <w:szCs w:val="21"/>
        </w:rPr>
        <w:t>投资者可登录</w:t>
      </w:r>
      <w:r w:rsidR="00213B15">
        <w:rPr>
          <w:rFonts w:ascii="宋体" w:eastAsia="宋体" w:hAnsi="宋体" w:cs="Times New Roman" w:hint="eastAsia"/>
          <w:color w:val="000000"/>
          <w:kern w:val="0"/>
          <w:sz w:val="24"/>
          <w:szCs w:val="21"/>
        </w:rPr>
        <w:t>基金管理人</w:t>
      </w:r>
      <w:r w:rsidR="00BF43A6" w:rsidRPr="00BF43A6">
        <w:rPr>
          <w:rFonts w:ascii="宋体" w:eastAsia="宋体" w:hAnsi="宋体" w:cs="Times New Roman" w:hint="eastAsia"/>
          <w:color w:val="000000"/>
          <w:kern w:val="0"/>
          <w:sz w:val="24"/>
          <w:szCs w:val="21"/>
        </w:rPr>
        <w:t>网站（www.99fund.com）查询相关信息或拨打客户服务电话（400-888-9918）咨询相关事宜。</w:t>
      </w:r>
    </w:p>
    <w:p w:rsidR="00692E78" w:rsidRPr="00692E78" w:rsidRDefault="00BF43A6" w:rsidP="00BF43A6">
      <w:pPr>
        <w:spacing w:line="360" w:lineRule="auto"/>
        <w:ind w:firstLineChars="200" w:firstLine="480"/>
        <w:rPr>
          <w:rFonts w:ascii="宋体" w:eastAsia="宋体" w:hAnsi="宋体" w:cs="Times New Roman"/>
          <w:color w:val="000000"/>
          <w:kern w:val="0"/>
          <w:sz w:val="24"/>
          <w:szCs w:val="21"/>
        </w:rPr>
      </w:pPr>
      <w:r w:rsidRPr="00BF43A6">
        <w:rPr>
          <w:rFonts w:ascii="宋体" w:eastAsia="宋体" w:hAnsi="宋体" w:cs="Times New Roman" w:hint="eastAsia"/>
          <w:color w:val="000000"/>
          <w:kern w:val="0"/>
          <w:sz w:val="24"/>
          <w:szCs w:val="21"/>
        </w:rPr>
        <w:t>汇添富基金高度重视投资者服务和投资者教育，特此提醒投资者需正确认知基金投资的风险和长期收益，做理性的基金投资人，做明白的基金投资人，享受长期投资的快乐！</w:t>
      </w:r>
    </w:p>
    <w:p w:rsidR="00692E78" w:rsidRPr="00692E78" w:rsidRDefault="00692E78" w:rsidP="00692E78">
      <w:pPr>
        <w:spacing w:line="360" w:lineRule="auto"/>
        <w:ind w:firstLineChars="200" w:firstLine="480"/>
        <w:rPr>
          <w:rFonts w:ascii="宋体" w:eastAsia="宋体" w:hAnsi="宋体" w:cs="Times New Roman"/>
          <w:color w:val="000000"/>
          <w:kern w:val="0"/>
          <w:sz w:val="24"/>
          <w:szCs w:val="21"/>
        </w:rPr>
      </w:pPr>
      <w:r w:rsidRPr="00692E78">
        <w:rPr>
          <w:rFonts w:ascii="宋体" w:eastAsia="宋体" w:hAnsi="宋体" w:cs="Times New Roman" w:hint="eastAsia"/>
          <w:color w:val="000000"/>
          <w:kern w:val="0"/>
          <w:sz w:val="24"/>
          <w:szCs w:val="21"/>
        </w:rPr>
        <w:t>特此公告。</w:t>
      </w:r>
    </w:p>
    <w:p w:rsidR="00692E78" w:rsidRPr="00692E78" w:rsidRDefault="00692E78" w:rsidP="00692E78">
      <w:pPr>
        <w:ind w:firstLineChars="200" w:firstLine="480"/>
        <w:rPr>
          <w:rFonts w:ascii="宋体" w:eastAsia="宋体" w:hAnsi="宋体" w:cs="Times New Roman"/>
          <w:color w:val="000000"/>
          <w:kern w:val="0"/>
          <w:sz w:val="24"/>
          <w:szCs w:val="21"/>
        </w:rPr>
      </w:pPr>
    </w:p>
    <w:p w:rsidR="00692E78" w:rsidRPr="00692E78" w:rsidRDefault="00692E78" w:rsidP="00692E78">
      <w:pPr>
        <w:ind w:firstLineChars="200" w:firstLine="480"/>
        <w:rPr>
          <w:rFonts w:ascii="宋体" w:eastAsia="宋体" w:hAnsi="宋体" w:cs="Times New Roman"/>
          <w:color w:val="000000"/>
          <w:kern w:val="0"/>
          <w:sz w:val="24"/>
          <w:szCs w:val="21"/>
        </w:rPr>
      </w:pPr>
    </w:p>
    <w:p w:rsidR="00692E78" w:rsidRPr="00692E78" w:rsidRDefault="00692E78" w:rsidP="00692E78">
      <w:pPr>
        <w:spacing w:line="360" w:lineRule="auto"/>
        <w:ind w:firstLineChars="200" w:firstLine="480"/>
        <w:jc w:val="right"/>
        <w:rPr>
          <w:rFonts w:ascii="宋体" w:eastAsia="宋体" w:hAnsi="宋体" w:cs="Times New Roman"/>
          <w:color w:val="000000"/>
          <w:kern w:val="0"/>
          <w:sz w:val="24"/>
          <w:szCs w:val="21"/>
        </w:rPr>
      </w:pPr>
      <w:r w:rsidRPr="00692E78">
        <w:rPr>
          <w:rFonts w:ascii="宋体" w:eastAsia="宋体" w:hAnsi="宋体" w:cs="Times New Roman" w:hint="eastAsia"/>
          <w:color w:val="000000"/>
          <w:kern w:val="0"/>
          <w:sz w:val="24"/>
          <w:szCs w:val="21"/>
        </w:rPr>
        <w:t>汇添富基金管理股份有限公司</w:t>
      </w:r>
    </w:p>
    <w:p w:rsidR="00A72D91" w:rsidRPr="00213B15" w:rsidRDefault="00692E78" w:rsidP="00213B15">
      <w:pPr>
        <w:spacing w:line="360" w:lineRule="auto"/>
        <w:ind w:firstLineChars="200" w:firstLine="480"/>
        <w:jc w:val="right"/>
        <w:rPr>
          <w:rFonts w:ascii="宋体" w:eastAsia="宋体" w:hAnsi="宋体" w:cs="Times New Roman"/>
          <w:color w:val="000000"/>
          <w:kern w:val="0"/>
          <w:sz w:val="24"/>
          <w:szCs w:val="21"/>
        </w:rPr>
      </w:pPr>
      <w:r w:rsidRPr="00692E78">
        <w:rPr>
          <w:rFonts w:ascii="宋体" w:eastAsia="宋体" w:hAnsi="宋体" w:cs="Times New Roman"/>
          <w:color w:val="000000"/>
          <w:kern w:val="0"/>
          <w:sz w:val="24"/>
          <w:szCs w:val="21"/>
        </w:rPr>
        <w:t>2020年11月</w:t>
      </w:r>
      <w:r w:rsidR="00617E16">
        <w:rPr>
          <w:rFonts w:ascii="宋体" w:eastAsia="宋体" w:hAnsi="宋体" w:cs="Times New Roman"/>
          <w:color w:val="000000"/>
          <w:kern w:val="0"/>
          <w:sz w:val="24"/>
          <w:szCs w:val="21"/>
        </w:rPr>
        <w:t>25</w:t>
      </w:r>
      <w:r w:rsidRPr="00692E78">
        <w:rPr>
          <w:rFonts w:ascii="宋体" w:eastAsia="宋体" w:hAnsi="宋体" w:cs="Times New Roman"/>
          <w:color w:val="000000"/>
          <w:kern w:val="0"/>
          <w:sz w:val="24"/>
          <w:szCs w:val="21"/>
        </w:rPr>
        <w:t>日</w:t>
      </w:r>
    </w:p>
    <w:sectPr w:rsidR="00A72D91" w:rsidRPr="00213B15" w:rsidSect="006356F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610" w:rsidRDefault="003D6610" w:rsidP="002F5D76">
      <w:r>
        <w:separator/>
      </w:r>
    </w:p>
  </w:endnote>
  <w:endnote w:type="continuationSeparator" w:id="0">
    <w:p w:rsidR="003D6610" w:rsidRDefault="003D6610" w:rsidP="002F5D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等线">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610" w:rsidRDefault="003D6610" w:rsidP="002F5D76">
      <w:r>
        <w:separator/>
      </w:r>
    </w:p>
  </w:footnote>
  <w:footnote w:type="continuationSeparator" w:id="0">
    <w:p w:rsidR="003D6610" w:rsidRDefault="003D6610" w:rsidP="002F5D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8C647B58"/>
    <w:lvl w:ilvl="0">
      <w:start w:val="1"/>
      <w:numFmt w:val="decimal"/>
      <w:suff w:val="space"/>
      <w:lvlText w:val="§%1"/>
      <w:lvlJc w:val="left"/>
      <w:pPr>
        <w:ind w:left="425" w:hanging="425"/>
      </w:pPr>
      <w:rPr>
        <w:rFonts w:hint="eastAsia"/>
      </w:rPr>
    </w:lvl>
    <w:lvl w:ilvl="1">
      <w:start w:val="1"/>
      <w:numFmt w:val="decimal"/>
      <w:pStyle w:val="XBRLTitle2"/>
      <w:suff w:val="space"/>
      <w:lvlText w:val="%1.%2"/>
      <w:lvlJc w:val="left"/>
      <w:pPr>
        <w:ind w:left="2581" w:hanging="454"/>
      </w:pPr>
      <w:rPr>
        <w:rFonts w:hint="eastAsia"/>
      </w:rPr>
    </w:lvl>
    <w:lvl w:ilvl="2">
      <w:start w:val="1"/>
      <w:numFmt w:val="decimal"/>
      <w:pStyle w:val="XBRLTitle3"/>
      <w:suff w:val="space"/>
      <w:lvlText w:val="%1.%2.%3"/>
      <w:lvlJc w:val="left"/>
      <w:pPr>
        <w:ind w:left="624" w:hanging="624"/>
      </w:pPr>
      <w:rPr>
        <w:rFonts w:hint="eastAsia"/>
      </w:rPr>
    </w:lvl>
    <w:lvl w:ilvl="3">
      <w:start w:val="1"/>
      <w:numFmt w:val="decimal"/>
      <w:suff w:val="space"/>
      <w:lvlText w:val="%1.%2.%3.%4"/>
      <w:lvlJc w:val="left"/>
      <w:pPr>
        <w:ind w:left="794" w:hanging="794"/>
      </w:pPr>
      <w:rPr>
        <w:rFonts w:hint="eastAsia"/>
      </w:rPr>
    </w:lvl>
    <w:lvl w:ilvl="4">
      <w:start w:val="1"/>
      <w:numFmt w:val="decimal"/>
      <w:suff w:val="space"/>
      <w:lvlText w:val="%1.%2.%3.%4.%5"/>
      <w:lvlJc w:val="left"/>
      <w:pPr>
        <w:ind w:left="1021" w:hanging="1021"/>
      </w:pPr>
      <w:rPr>
        <w:rFonts w:hint="eastAsia"/>
      </w:rPr>
    </w:lvl>
    <w:lvl w:ilvl="5">
      <w:start w:val="1"/>
      <w:numFmt w:val="decimal"/>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7880"/>
    <w:rsid w:val="000C1851"/>
    <w:rsid w:val="000F0664"/>
    <w:rsid w:val="00182C4F"/>
    <w:rsid w:val="001A7EB4"/>
    <w:rsid w:val="001E067A"/>
    <w:rsid w:val="00213B15"/>
    <w:rsid w:val="00237E69"/>
    <w:rsid w:val="002B310C"/>
    <w:rsid w:val="002F5D76"/>
    <w:rsid w:val="003218F3"/>
    <w:rsid w:val="003B6569"/>
    <w:rsid w:val="003D6610"/>
    <w:rsid w:val="004E5EC2"/>
    <w:rsid w:val="005C12FC"/>
    <w:rsid w:val="00617E16"/>
    <w:rsid w:val="006356F3"/>
    <w:rsid w:val="00664EE9"/>
    <w:rsid w:val="00692E78"/>
    <w:rsid w:val="00702101"/>
    <w:rsid w:val="007305C9"/>
    <w:rsid w:val="00794B70"/>
    <w:rsid w:val="008F598B"/>
    <w:rsid w:val="00984C23"/>
    <w:rsid w:val="00A72D91"/>
    <w:rsid w:val="00A84B15"/>
    <w:rsid w:val="00A96477"/>
    <w:rsid w:val="00AF5F33"/>
    <w:rsid w:val="00B76435"/>
    <w:rsid w:val="00BD2B5B"/>
    <w:rsid w:val="00BD6946"/>
    <w:rsid w:val="00BD755D"/>
    <w:rsid w:val="00BF43A6"/>
    <w:rsid w:val="00C11356"/>
    <w:rsid w:val="00CE4CEC"/>
    <w:rsid w:val="00D05C22"/>
    <w:rsid w:val="00D57880"/>
    <w:rsid w:val="00E0486D"/>
    <w:rsid w:val="00F11B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6F3"/>
    <w:pPr>
      <w:widowControl w:val="0"/>
      <w:jc w:val="both"/>
    </w:pPr>
  </w:style>
  <w:style w:type="paragraph" w:styleId="4">
    <w:name w:val="heading 4"/>
    <w:basedOn w:val="a"/>
    <w:next w:val="a"/>
    <w:link w:val="4Char"/>
    <w:uiPriority w:val="9"/>
    <w:semiHidden/>
    <w:unhideWhenUsed/>
    <w:qFormat/>
    <w:rsid w:val="003B6569"/>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BRLTitle2">
    <w:name w:val="XBRLTitle2"/>
    <w:basedOn w:val="a3"/>
    <w:next w:val="4"/>
    <w:qFormat/>
    <w:rsid w:val="003B6569"/>
    <w:pPr>
      <w:keepNext/>
      <w:keepLines/>
      <w:numPr>
        <w:ilvl w:val="1"/>
        <w:numId w:val="2"/>
      </w:numPr>
      <w:spacing w:beforeLines="50" w:afterLines="50" w:line="240" w:lineRule="auto"/>
      <w:jc w:val="left"/>
    </w:pPr>
    <w:rPr>
      <w:rFonts w:ascii="Cambria" w:hAnsi="Cambria" w:cs="Times New Roman"/>
      <w:sz w:val="24"/>
    </w:rPr>
  </w:style>
  <w:style w:type="paragraph" w:styleId="a3">
    <w:name w:val="Subtitle"/>
    <w:basedOn w:val="a"/>
    <w:next w:val="a"/>
    <w:link w:val="Char"/>
    <w:uiPriority w:val="11"/>
    <w:qFormat/>
    <w:rsid w:val="003B6569"/>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
    <w:name w:val="副标题 Char"/>
    <w:basedOn w:val="a0"/>
    <w:link w:val="a3"/>
    <w:uiPriority w:val="11"/>
    <w:rsid w:val="003B6569"/>
    <w:rPr>
      <w:rFonts w:asciiTheme="majorHAnsi" w:eastAsia="宋体" w:hAnsiTheme="majorHAnsi" w:cstheme="majorBidi"/>
      <w:b/>
      <w:bCs/>
      <w:kern w:val="28"/>
      <w:sz w:val="32"/>
      <w:szCs w:val="32"/>
    </w:rPr>
  </w:style>
  <w:style w:type="character" w:customStyle="1" w:styleId="4Char">
    <w:name w:val="标题 4 Char"/>
    <w:basedOn w:val="a0"/>
    <w:link w:val="4"/>
    <w:uiPriority w:val="9"/>
    <w:semiHidden/>
    <w:rsid w:val="003B6569"/>
    <w:rPr>
      <w:rFonts w:asciiTheme="majorHAnsi" w:eastAsiaTheme="majorEastAsia" w:hAnsiTheme="majorHAnsi" w:cstheme="majorBidi"/>
      <w:b/>
      <w:bCs/>
      <w:sz w:val="28"/>
      <w:szCs w:val="28"/>
    </w:rPr>
  </w:style>
  <w:style w:type="paragraph" w:customStyle="1" w:styleId="XBRLTitle3">
    <w:name w:val="XBRLTitle3"/>
    <w:basedOn w:val="a3"/>
    <w:next w:val="4"/>
    <w:qFormat/>
    <w:rsid w:val="003B6569"/>
    <w:pPr>
      <w:keepNext/>
      <w:keepLines/>
      <w:numPr>
        <w:ilvl w:val="2"/>
        <w:numId w:val="2"/>
      </w:numPr>
      <w:spacing w:beforeLines="50" w:afterLines="50" w:line="240" w:lineRule="auto"/>
      <w:jc w:val="left"/>
      <w:outlineLvl w:val="9"/>
    </w:pPr>
    <w:rPr>
      <w:rFonts w:ascii="Cambria" w:hAnsi="Cambria" w:cs="Times New Roman"/>
      <w:sz w:val="24"/>
    </w:rPr>
  </w:style>
  <w:style w:type="character" w:styleId="a4">
    <w:name w:val="annotation reference"/>
    <w:basedOn w:val="a0"/>
    <w:uiPriority w:val="99"/>
    <w:semiHidden/>
    <w:unhideWhenUsed/>
    <w:rsid w:val="00692E78"/>
    <w:rPr>
      <w:sz w:val="21"/>
      <w:szCs w:val="21"/>
    </w:rPr>
  </w:style>
  <w:style w:type="paragraph" w:styleId="a5">
    <w:name w:val="annotation text"/>
    <w:basedOn w:val="a"/>
    <w:link w:val="Char0"/>
    <w:uiPriority w:val="99"/>
    <w:semiHidden/>
    <w:unhideWhenUsed/>
    <w:rsid w:val="00692E78"/>
    <w:pPr>
      <w:jc w:val="left"/>
    </w:pPr>
  </w:style>
  <w:style w:type="character" w:customStyle="1" w:styleId="Char0">
    <w:name w:val="批注文字 Char"/>
    <w:basedOn w:val="a0"/>
    <w:link w:val="a5"/>
    <w:uiPriority w:val="99"/>
    <w:semiHidden/>
    <w:rsid w:val="00692E78"/>
  </w:style>
  <w:style w:type="paragraph" w:styleId="a6">
    <w:name w:val="annotation subject"/>
    <w:basedOn w:val="a5"/>
    <w:next w:val="a5"/>
    <w:link w:val="Char1"/>
    <w:uiPriority w:val="99"/>
    <w:semiHidden/>
    <w:unhideWhenUsed/>
    <w:rsid w:val="00692E78"/>
    <w:rPr>
      <w:b/>
      <w:bCs/>
    </w:rPr>
  </w:style>
  <w:style w:type="character" w:customStyle="1" w:styleId="Char1">
    <w:name w:val="批注主题 Char"/>
    <w:basedOn w:val="Char0"/>
    <w:link w:val="a6"/>
    <w:uiPriority w:val="99"/>
    <w:semiHidden/>
    <w:rsid w:val="00692E78"/>
    <w:rPr>
      <w:b/>
      <w:bCs/>
    </w:rPr>
  </w:style>
  <w:style w:type="paragraph" w:styleId="a7">
    <w:name w:val="Balloon Text"/>
    <w:basedOn w:val="a"/>
    <w:link w:val="Char2"/>
    <w:uiPriority w:val="99"/>
    <w:semiHidden/>
    <w:unhideWhenUsed/>
    <w:rsid w:val="00692E78"/>
    <w:rPr>
      <w:sz w:val="18"/>
      <w:szCs w:val="18"/>
    </w:rPr>
  </w:style>
  <w:style w:type="character" w:customStyle="1" w:styleId="Char2">
    <w:name w:val="批注框文本 Char"/>
    <w:basedOn w:val="a0"/>
    <w:link w:val="a7"/>
    <w:uiPriority w:val="99"/>
    <w:semiHidden/>
    <w:rsid w:val="00692E78"/>
    <w:rPr>
      <w:sz w:val="18"/>
      <w:szCs w:val="18"/>
    </w:rPr>
  </w:style>
  <w:style w:type="paragraph" w:styleId="a8">
    <w:name w:val="header"/>
    <w:basedOn w:val="a"/>
    <w:link w:val="Char3"/>
    <w:uiPriority w:val="99"/>
    <w:unhideWhenUsed/>
    <w:rsid w:val="002F5D76"/>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8"/>
    <w:uiPriority w:val="99"/>
    <w:rsid w:val="002F5D76"/>
    <w:rPr>
      <w:sz w:val="18"/>
      <w:szCs w:val="18"/>
    </w:rPr>
  </w:style>
  <w:style w:type="paragraph" w:styleId="a9">
    <w:name w:val="footer"/>
    <w:basedOn w:val="a"/>
    <w:link w:val="Char4"/>
    <w:uiPriority w:val="99"/>
    <w:unhideWhenUsed/>
    <w:rsid w:val="002F5D76"/>
    <w:pPr>
      <w:tabs>
        <w:tab w:val="center" w:pos="4153"/>
        <w:tab w:val="right" w:pos="8306"/>
      </w:tabs>
      <w:snapToGrid w:val="0"/>
      <w:jc w:val="left"/>
    </w:pPr>
    <w:rPr>
      <w:sz w:val="18"/>
      <w:szCs w:val="18"/>
    </w:rPr>
  </w:style>
  <w:style w:type="character" w:customStyle="1" w:styleId="Char4">
    <w:name w:val="页脚 Char"/>
    <w:basedOn w:val="a0"/>
    <w:link w:val="a9"/>
    <w:uiPriority w:val="99"/>
    <w:rsid w:val="002F5D76"/>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1153</Characters>
  <Application>Microsoft Office Word</Application>
  <DocSecurity>4</DocSecurity>
  <Lines>9</Lines>
  <Paragraphs>2</Paragraphs>
  <ScaleCrop>false</ScaleCrop>
  <Company/>
  <LinksUpToDate>false</LinksUpToDate>
  <CharactersWithSpaces>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张璋</dc:creator>
  <cp:keywords/>
  <dc:description/>
  <cp:lastModifiedBy>ZHONGM</cp:lastModifiedBy>
  <cp:revision>2</cp:revision>
  <dcterms:created xsi:type="dcterms:W3CDTF">2020-11-24T16:01:00Z</dcterms:created>
  <dcterms:modified xsi:type="dcterms:W3CDTF">2020-11-24T16:01:00Z</dcterms:modified>
</cp:coreProperties>
</file>