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5C" w:rsidRDefault="009C3C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宋体" w:hAnsi="宋体" w:cs="宋体"/>
          <w:b/>
          <w:bCs/>
          <w:color w:val="000000"/>
          <w:kern w:val="36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t>安信基金管理有限责任公司</w:t>
      </w:r>
      <w:r w:rsidR="0016371C" w:rsidRPr="0016371C"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t>关于</w:t>
      </w:r>
      <w:r w:rsidR="0016371C"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t>新增</w:t>
      </w:r>
      <w:r w:rsidR="000A505B" w:rsidRPr="007A5E0E"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t>腾安基金销售（深圳）有限公司</w:t>
      </w:r>
      <w:r w:rsidR="0016371C"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t>为</w:t>
      </w:r>
      <w:r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t>旗下部分开放式</w:t>
      </w:r>
      <w:r w:rsidRPr="007A5E0E"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t>基金</w:t>
      </w:r>
      <w:r w:rsidR="0016371C"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t>销售机构</w:t>
      </w:r>
      <w:r w:rsidR="007A5E0E"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t>并</w:t>
      </w:r>
      <w:r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t>参与其</w:t>
      </w:r>
      <w:r w:rsidR="00B71C94" w:rsidRPr="00B71C94"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t>费率优惠活动</w:t>
      </w:r>
      <w:r w:rsidR="007A5E0E" w:rsidRPr="007A5E0E"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  <w:t>的公告</w:t>
      </w:r>
    </w:p>
    <w:p w:rsidR="0016371C" w:rsidRDefault="001637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宋体" w:hAnsi="宋体" w:cs="宋体" w:hint="eastAsia"/>
          <w:b/>
          <w:bCs/>
          <w:color w:val="000000"/>
          <w:kern w:val="36"/>
          <w:sz w:val="30"/>
          <w:szCs w:val="30"/>
        </w:rPr>
      </w:pPr>
    </w:p>
    <w:p w:rsidR="00517CA6" w:rsidRPr="00E105FC" w:rsidRDefault="00E95BEA" w:rsidP="008220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E105FC">
        <w:rPr>
          <w:rFonts w:ascii="宋体" w:hAnsi="宋体" w:cs="宋体"/>
          <w:color w:val="000000"/>
          <w:kern w:val="0"/>
          <w:sz w:val="24"/>
          <w:szCs w:val="24"/>
        </w:rPr>
        <w:t>根据</w:t>
      </w: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安信基金管理有限责任公司(以下简称“本公司”</w:t>
      </w:r>
      <w:r w:rsidR="00245EEE"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或“安信基金”</w:t>
      </w: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)与</w:t>
      </w:r>
      <w:r w:rsidR="000A505B"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腾安基金销售（深圳）有限公司</w:t>
      </w:r>
      <w:r w:rsidR="00666A94" w:rsidRPr="00E105FC">
        <w:rPr>
          <w:rFonts w:ascii="宋体" w:hAnsi="宋体" w:cs="宋体"/>
          <w:color w:val="000000"/>
          <w:kern w:val="0"/>
          <w:sz w:val="24"/>
          <w:szCs w:val="24"/>
        </w:rPr>
        <w:t>（</w:t>
      </w:r>
      <w:r w:rsidR="00666A94"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以下</w:t>
      </w:r>
      <w:r w:rsidR="00666A94" w:rsidRPr="00E105FC">
        <w:rPr>
          <w:rFonts w:ascii="宋体" w:hAnsi="宋体" w:cs="宋体"/>
          <w:color w:val="000000"/>
          <w:kern w:val="0"/>
          <w:sz w:val="24"/>
          <w:szCs w:val="24"/>
        </w:rPr>
        <w:t>简称</w:t>
      </w:r>
      <w:r w:rsidR="00666A94"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“</w:t>
      </w:r>
      <w:r w:rsidR="000A505B"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腾安基金</w:t>
      </w:r>
      <w:r w:rsidR="00666A94" w:rsidRPr="00E105FC">
        <w:rPr>
          <w:rFonts w:ascii="宋体" w:hAnsi="宋体" w:cs="宋体"/>
          <w:color w:val="000000"/>
          <w:kern w:val="0"/>
          <w:sz w:val="24"/>
          <w:szCs w:val="24"/>
        </w:rPr>
        <w:t>”）</w:t>
      </w:r>
      <w:r w:rsidRPr="00E105FC">
        <w:rPr>
          <w:rFonts w:ascii="宋体" w:hAnsi="宋体" w:cs="宋体"/>
          <w:color w:val="000000"/>
          <w:kern w:val="0"/>
          <w:sz w:val="24"/>
          <w:szCs w:val="24"/>
        </w:rPr>
        <w:t>签署的销售代理协议，本公司决定</w:t>
      </w: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新增</w:t>
      </w:r>
      <w:r w:rsidR="000A505B"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腾安基金</w:t>
      </w: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为</w:t>
      </w:r>
      <w:r w:rsidR="009C3C6F">
        <w:rPr>
          <w:rFonts w:ascii="宋体" w:hAnsi="宋体" w:cs="宋体" w:hint="eastAsia"/>
          <w:color w:val="000000"/>
          <w:kern w:val="0"/>
          <w:sz w:val="24"/>
          <w:szCs w:val="24"/>
        </w:rPr>
        <w:t>旗下</w:t>
      </w:r>
      <w:r w:rsidR="009C3C6F" w:rsidRPr="009C3C6F">
        <w:rPr>
          <w:rFonts w:ascii="宋体" w:hAnsi="宋体" w:cs="宋体" w:hint="eastAsia"/>
          <w:color w:val="000000"/>
          <w:kern w:val="0"/>
          <w:sz w:val="24"/>
          <w:szCs w:val="24"/>
        </w:rPr>
        <w:t>部分开放式基金</w:t>
      </w: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销售机构。</w:t>
      </w:r>
      <w:r w:rsidRPr="00E105FC">
        <w:rPr>
          <w:rFonts w:ascii="宋体" w:hAnsi="宋体" w:cs="宋体"/>
          <w:color w:val="000000"/>
          <w:kern w:val="0"/>
          <w:sz w:val="24"/>
          <w:szCs w:val="24"/>
        </w:rPr>
        <w:t>投资者自</w:t>
      </w: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20</w:t>
      </w:r>
      <w:r w:rsidR="007A5E0E" w:rsidRPr="00E105FC">
        <w:rPr>
          <w:rFonts w:ascii="宋体" w:hAnsi="宋体" w:cs="宋体"/>
          <w:color w:val="000000"/>
          <w:kern w:val="0"/>
          <w:sz w:val="24"/>
          <w:szCs w:val="24"/>
        </w:rPr>
        <w:t>20</w:t>
      </w: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16371C" w:rsidRPr="00E105FC">
        <w:rPr>
          <w:rFonts w:ascii="宋体" w:hAnsi="宋体" w:cs="宋体"/>
          <w:color w:val="000000"/>
          <w:kern w:val="0"/>
          <w:sz w:val="24"/>
          <w:szCs w:val="24"/>
        </w:rPr>
        <w:t>11</w:t>
      </w: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7A5E0E" w:rsidRPr="00E105FC">
        <w:rPr>
          <w:rFonts w:ascii="宋体" w:hAnsi="宋体" w:cs="宋体"/>
          <w:color w:val="000000"/>
          <w:kern w:val="0"/>
          <w:sz w:val="24"/>
          <w:szCs w:val="24"/>
        </w:rPr>
        <w:t>20</w:t>
      </w: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r w:rsidRPr="00E105FC">
        <w:rPr>
          <w:rFonts w:ascii="宋体" w:hAnsi="宋体" w:cs="宋体"/>
          <w:color w:val="000000"/>
          <w:kern w:val="0"/>
          <w:sz w:val="24"/>
          <w:szCs w:val="24"/>
        </w:rPr>
        <w:t>起</w:t>
      </w:r>
      <w:r w:rsidR="00666A94"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可在上述销售机构办理</w:t>
      </w:r>
      <w:r w:rsidR="009C3C6F">
        <w:rPr>
          <w:rFonts w:ascii="宋体" w:hAnsi="宋体" w:cs="宋体" w:hint="eastAsia"/>
          <w:color w:val="000000"/>
          <w:kern w:val="0"/>
          <w:sz w:val="24"/>
          <w:szCs w:val="24"/>
        </w:rPr>
        <w:t>本公司</w:t>
      </w:r>
      <w:r w:rsidR="009C3C6F" w:rsidRPr="009C3C6F">
        <w:rPr>
          <w:rFonts w:ascii="宋体" w:hAnsi="宋体" w:cs="宋体" w:hint="eastAsia"/>
          <w:color w:val="000000"/>
          <w:kern w:val="0"/>
          <w:sz w:val="24"/>
          <w:szCs w:val="24"/>
        </w:rPr>
        <w:t>旗下部分开放式基金</w:t>
      </w:r>
      <w:r w:rsidR="00666A94"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的开户、申购、赎回、</w:t>
      </w:r>
      <w:r w:rsidR="00CF250F"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转换、</w:t>
      </w:r>
      <w:r w:rsidR="00666A94"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定期定额投资等业务。</w:t>
      </w:r>
      <w:r w:rsidR="00AF0014" w:rsidRPr="00AF0014">
        <w:rPr>
          <w:rFonts w:ascii="宋体" w:hAnsi="宋体" w:cs="宋体" w:hint="eastAsia"/>
          <w:color w:val="000000"/>
          <w:kern w:val="0"/>
          <w:sz w:val="24"/>
          <w:szCs w:val="24"/>
        </w:rPr>
        <w:t>如上述基金尚未开放、暂停办理对应业务或对其进行限制的，请遵照相关公告执行。</w:t>
      </w:r>
    </w:p>
    <w:p w:rsidR="00E95BEA" w:rsidRDefault="00517CA6" w:rsidP="008220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同时</w:t>
      </w:r>
      <w:r w:rsidR="00CF250F"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为了更好地向投资者提供服务，根据相关法律</w:t>
      </w:r>
      <w:r w:rsidR="00CF250F" w:rsidRPr="00E105FC">
        <w:rPr>
          <w:rFonts w:ascii="宋体" w:hAnsi="宋体" w:cs="宋体"/>
          <w:color w:val="000000"/>
          <w:kern w:val="0"/>
          <w:sz w:val="24"/>
          <w:szCs w:val="24"/>
        </w:rPr>
        <w:t>法规以及</w:t>
      </w:r>
      <w:r w:rsidR="00CF250F"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基金合同的相关规定，</w:t>
      </w: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本公司</w:t>
      </w:r>
      <w:r w:rsidR="00CF250F"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经与</w:t>
      </w:r>
      <w:r w:rsidR="00A41743"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腾安基金</w:t>
      </w:r>
      <w:r w:rsidR="00CF250F"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协商一致，决定自</w:t>
      </w:r>
      <w:r w:rsidR="00A41743"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20</w:t>
      </w:r>
      <w:r w:rsidR="00A41743" w:rsidRPr="00E105FC">
        <w:rPr>
          <w:rFonts w:ascii="宋体" w:hAnsi="宋体" w:cs="宋体"/>
          <w:color w:val="000000"/>
          <w:kern w:val="0"/>
          <w:sz w:val="24"/>
          <w:szCs w:val="24"/>
        </w:rPr>
        <w:t>20</w:t>
      </w:r>
      <w:r w:rsidR="00A41743"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A41743" w:rsidRPr="00E105FC">
        <w:rPr>
          <w:rFonts w:ascii="宋体" w:hAnsi="宋体" w:cs="宋体"/>
          <w:color w:val="000000"/>
          <w:kern w:val="0"/>
          <w:sz w:val="24"/>
          <w:szCs w:val="24"/>
        </w:rPr>
        <w:t>11</w:t>
      </w:r>
      <w:r w:rsidR="00A41743"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A41743" w:rsidRPr="00E105FC">
        <w:rPr>
          <w:rFonts w:ascii="宋体" w:hAnsi="宋体" w:cs="宋体"/>
          <w:color w:val="000000"/>
          <w:kern w:val="0"/>
          <w:sz w:val="24"/>
          <w:szCs w:val="24"/>
        </w:rPr>
        <w:t>20</w:t>
      </w:r>
      <w:r w:rsidR="00A41743"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r w:rsidR="00CF250F"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起</w:t>
      </w:r>
      <w:r w:rsidR="00761ACD"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对通过腾安基金申购（含定期定额申购）、赎回</w:t>
      </w:r>
      <w:r w:rsidR="006F0686">
        <w:rPr>
          <w:rFonts w:ascii="宋体" w:hAnsi="宋体" w:cs="宋体" w:hint="eastAsia"/>
          <w:color w:val="000000"/>
          <w:kern w:val="0"/>
          <w:sz w:val="24"/>
          <w:szCs w:val="24"/>
        </w:rPr>
        <w:t>安信</w:t>
      </w:r>
      <w:r w:rsidR="00761ACD"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基金旗下部分开放式基金的投资者给予相关费率优惠</w:t>
      </w:r>
      <w:r w:rsidR="00CF250F"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。具体安排如下：</w:t>
      </w:r>
    </w:p>
    <w:p w:rsidR="006F0686" w:rsidRPr="00E105FC" w:rsidRDefault="006F0686" w:rsidP="008220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BF475C" w:rsidRPr="00E105FC" w:rsidRDefault="0082204A" w:rsidP="008220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一、</w:t>
      </w:r>
      <w:r w:rsidR="00761ACD"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本次新增上线</w:t>
      </w:r>
      <w:r w:rsidR="00BF475C"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基金：</w:t>
      </w:r>
    </w:p>
    <w:tbl>
      <w:tblPr>
        <w:tblW w:w="8075" w:type="dxa"/>
        <w:tblInd w:w="113" w:type="dxa"/>
        <w:tblLook w:val="04A0"/>
      </w:tblPr>
      <w:tblGrid>
        <w:gridCol w:w="1838"/>
        <w:gridCol w:w="6237"/>
      </w:tblGrid>
      <w:tr w:rsidR="00A41743" w:rsidRPr="00A41743" w:rsidTr="00493400">
        <w:trPr>
          <w:trHeight w:val="2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基金</w:t>
            </w:r>
            <w:r w:rsidR="00493400" w:rsidRPr="00E10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 w:rsidR="00A41743" w:rsidRPr="00A41743" w:rsidTr="00493400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750001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安信策略精选灵活配置混合型证券投资基金</w:t>
            </w:r>
          </w:p>
        </w:tc>
      </w:tr>
      <w:tr w:rsidR="00A41743" w:rsidRPr="00A41743" w:rsidTr="00493400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750002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安信目标收益债券型证券投资基金A类份额</w:t>
            </w:r>
          </w:p>
        </w:tc>
      </w:tr>
      <w:tr w:rsidR="00A41743" w:rsidRPr="00A41743" w:rsidTr="00493400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750003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安信目标收益债券型证券投资基金C类份额</w:t>
            </w:r>
          </w:p>
        </w:tc>
      </w:tr>
      <w:tr w:rsidR="00A41743" w:rsidRPr="00A41743" w:rsidTr="00493400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000974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安信消费医药主题股票型证券投资基金</w:t>
            </w:r>
          </w:p>
        </w:tc>
      </w:tr>
      <w:tr w:rsidR="00A41743" w:rsidRPr="00A41743" w:rsidTr="00493400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001583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安信新常态沪港深精选股票型证券投资基金</w:t>
            </w:r>
          </w:p>
        </w:tc>
      </w:tr>
      <w:tr w:rsidR="00A41743" w:rsidRPr="00A41743" w:rsidTr="00493400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002770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安信新回报灵活配置混合型证券投资基金A类份额</w:t>
            </w:r>
          </w:p>
        </w:tc>
      </w:tr>
      <w:tr w:rsidR="00A41743" w:rsidRPr="00A41743" w:rsidTr="00493400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002771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安信新回报灵活配置混合型证券投资基金C类份额</w:t>
            </w:r>
          </w:p>
        </w:tc>
      </w:tr>
      <w:tr w:rsidR="00A41743" w:rsidRPr="00A41743" w:rsidTr="00493400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001710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安信新趋势灵活配置混合型证券投资基金A类份额</w:t>
            </w:r>
          </w:p>
        </w:tc>
      </w:tr>
      <w:tr w:rsidR="00A41743" w:rsidRPr="00A41743" w:rsidTr="00493400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001711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安信新趋势灵活配置混合型证券投资基金C类份额</w:t>
            </w:r>
          </w:p>
        </w:tc>
      </w:tr>
      <w:tr w:rsidR="00A41743" w:rsidRPr="00A41743" w:rsidTr="00493400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001399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安信鑫安得利灵活配置混合型证券投资基金A类份额</w:t>
            </w:r>
          </w:p>
        </w:tc>
      </w:tr>
      <w:tr w:rsidR="00A41743" w:rsidRPr="00A41743" w:rsidTr="00493400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001400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安信鑫安得利灵活配置混合型证券投资基金C类份额</w:t>
            </w:r>
          </w:p>
        </w:tc>
      </w:tr>
      <w:tr w:rsidR="00A41743" w:rsidRPr="00A41743" w:rsidTr="00493400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006818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安信盈利驱动股票型证券投资基金A类份额</w:t>
            </w:r>
          </w:p>
        </w:tc>
      </w:tr>
      <w:tr w:rsidR="00A41743" w:rsidRPr="00A41743" w:rsidTr="00493400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006819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安信盈利驱动股票型证券投资基金C类份额</w:t>
            </w:r>
          </w:p>
        </w:tc>
      </w:tr>
      <w:tr w:rsidR="00A41743" w:rsidRPr="00A41743" w:rsidTr="00493400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001287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安信优势增长灵活配置混合型证券投资基金A类份额</w:t>
            </w:r>
          </w:p>
        </w:tc>
      </w:tr>
      <w:tr w:rsidR="00A41743" w:rsidRPr="00A41743" w:rsidTr="00493400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002036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安信优势增长灵活配置混合型证券投资基金C类份额</w:t>
            </w:r>
          </w:p>
        </w:tc>
      </w:tr>
      <w:tr w:rsidR="00A41743" w:rsidRPr="00A41743" w:rsidTr="00493400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005678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安信尊享添益债券型证券投资基金A类份额</w:t>
            </w:r>
          </w:p>
        </w:tc>
      </w:tr>
      <w:tr w:rsidR="00A41743" w:rsidRPr="00A41743" w:rsidTr="00493400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007099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43" w:rsidRPr="00A41743" w:rsidRDefault="00A41743" w:rsidP="008220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68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417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安信尊享添益债券型证券投资基金C类份额</w:t>
            </w:r>
          </w:p>
        </w:tc>
      </w:tr>
    </w:tbl>
    <w:p w:rsidR="00493400" w:rsidRPr="0082204A" w:rsidRDefault="00493400" w:rsidP="008220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493400" w:rsidRPr="00E105FC" w:rsidRDefault="00396208" w:rsidP="008220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二、</w:t>
      </w:r>
      <w:r w:rsidR="00493400"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费率优惠情况说明</w:t>
      </w:r>
    </w:p>
    <w:p w:rsidR="00245EEE" w:rsidRPr="00245EEE" w:rsidRDefault="00245EEE" w:rsidP="008220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E105FC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、费率优惠活动</w:t>
      </w:r>
      <w:r w:rsidRPr="00245EEE">
        <w:rPr>
          <w:rFonts w:ascii="宋体" w:hAnsi="宋体" w:cs="宋体" w:hint="eastAsia"/>
          <w:color w:val="000000"/>
          <w:kern w:val="0"/>
          <w:sz w:val="24"/>
          <w:szCs w:val="24"/>
        </w:rPr>
        <w:t>适用</w:t>
      </w: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于安信基金</w:t>
      </w:r>
      <w:r w:rsidRPr="00245EEE">
        <w:rPr>
          <w:rFonts w:ascii="宋体" w:hAnsi="宋体" w:cs="宋体" w:hint="eastAsia"/>
          <w:color w:val="000000"/>
          <w:kern w:val="0"/>
          <w:sz w:val="24"/>
          <w:szCs w:val="24"/>
        </w:rPr>
        <w:t>管理的、由腾安基金销售的所有基金产品，包括已发行的以及将来发行的产品。如有某只或某些特定产品不适用费率优惠，则由</w:t>
      </w: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安信基金</w:t>
      </w:r>
      <w:r w:rsidRPr="00245EEE">
        <w:rPr>
          <w:rFonts w:ascii="宋体" w:hAnsi="宋体" w:cs="宋体" w:hint="eastAsia"/>
          <w:color w:val="000000"/>
          <w:kern w:val="0"/>
          <w:sz w:val="24"/>
          <w:szCs w:val="24"/>
        </w:rPr>
        <w:t>或腾安基金另行公告确定。</w:t>
      </w:r>
      <w:r w:rsidR="00673C51" w:rsidRPr="00673C51">
        <w:rPr>
          <w:rFonts w:ascii="宋体" w:hAnsi="宋体" w:cs="宋体" w:hint="eastAsia"/>
          <w:color w:val="000000"/>
          <w:kern w:val="0"/>
          <w:sz w:val="24"/>
          <w:szCs w:val="24"/>
        </w:rPr>
        <w:t>其中，原申购费率为固定金额的，按照原申购费率执行</w:t>
      </w:r>
      <w:r w:rsidR="009C3C6F">
        <w:rPr>
          <w:rFonts w:ascii="宋体" w:hAnsi="宋体" w:cs="宋体" w:hint="eastAsia"/>
          <w:color w:val="000000"/>
          <w:kern w:val="0"/>
          <w:sz w:val="24"/>
          <w:szCs w:val="24"/>
        </w:rPr>
        <w:t>，不享有优惠费率</w:t>
      </w:r>
      <w:r w:rsidR="00673C51" w:rsidRPr="00673C51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245EEE" w:rsidRPr="00245EEE" w:rsidRDefault="00245EEE" w:rsidP="008220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245EEE">
        <w:rPr>
          <w:rFonts w:ascii="宋体" w:hAnsi="宋体" w:cs="宋体" w:hint="eastAsia"/>
          <w:color w:val="000000"/>
          <w:kern w:val="0"/>
          <w:sz w:val="24"/>
          <w:szCs w:val="24"/>
        </w:rPr>
        <w:t>2、</w:t>
      </w: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费率优惠活动</w:t>
      </w:r>
      <w:r w:rsidRPr="00245EEE">
        <w:rPr>
          <w:rFonts w:ascii="宋体" w:hAnsi="宋体" w:cs="宋体" w:hint="eastAsia"/>
          <w:color w:val="000000"/>
          <w:kern w:val="0"/>
          <w:sz w:val="24"/>
          <w:szCs w:val="24"/>
        </w:rPr>
        <w:t>时间自2020年11月</w:t>
      </w:r>
      <w:r w:rsidRPr="00E105FC">
        <w:rPr>
          <w:rFonts w:ascii="宋体" w:hAnsi="宋体" w:cs="宋体"/>
          <w:color w:val="000000"/>
          <w:kern w:val="0"/>
          <w:sz w:val="24"/>
          <w:szCs w:val="24"/>
        </w:rPr>
        <w:t>20</w:t>
      </w:r>
      <w:r w:rsidRPr="00245EEE">
        <w:rPr>
          <w:rFonts w:ascii="宋体" w:hAnsi="宋体" w:cs="宋体" w:hint="eastAsia"/>
          <w:color w:val="000000"/>
          <w:kern w:val="0"/>
          <w:sz w:val="24"/>
          <w:szCs w:val="24"/>
        </w:rPr>
        <w:t>日起，结束时间以</w:t>
      </w: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安信基金</w:t>
      </w:r>
      <w:r w:rsidRPr="00245EEE">
        <w:rPr>
          <w:rFonts w:ascii="宋体" w:hAnsi="宋体" w:cs="宋体" w:hint="eastAsia"/>
          <w:color w:val="000000"/>
          <w:kern w:val="0"/>
          <w:sz w:val="24"/>
          <w:szCs w:val="24"/>
        </w:rPr>
        <w:t>或腾安基金公告为准。</w:t>
      </w:r>
    </w:p>
    <w:p w:rsidR="00245EEE" w:rsidRPr="0082204A" w:rsidRDefault="00245EEE" w:rsidP="008220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245EEE">
        <w:rPr>
          <w:rFonts w:ascii="宋体" w:hAnsi="宋体" w:cs="宋体" w:hint="eastAsia"/>
          <w:color w:val="000000"/>
          <w:kern w:val="0"/>
          <w:sz w:val="24"/>
          <w:szCs w:val="24"/>
        </w:rPr>
        <w:t>3、投资者通过腾安基金申购（含定期定额申购）上述适用的基金，</w:t>
      </w:r>
      <w:r w:rsidR="00D676E1" w:rsidRPr="0082204A">
        <w:rPr>
          <w:rFonts w:ascii="宋体" w:hAnsi="宋体" w:cs="宋体"/>
          <w:color w:val="000000"/>
          <w:kern w:val="0"/>
          <w:sz w:val="24"/>
          <w:szCs w:val="24"/>
        </w:rPr>
        <w:t>可享受申购费率折扣优惠，具体的费率优惠规则，以腾安基金的</w:t>
      </w:r>
      <w:r w:rsidR="00D676E1" w:rsidRPr="0082204A">
        <w:rPr>
          <w:rFonts w:ascii="宋体" w:hAnsi="宋体" w:cs="宋体" w:hint="eastAsia"/>
          <w:color w:val="000000"/>
          <w:kern w:val="0"/>
          <w:sz w:val="24"/>
          <w:szCs w:val="24"/>
        </w:rPr>
        <w:t>安排和规定</w:t>
      </w:r>
      <w:r w:rsidR="00D676E1" w:rsidRPr="0082204A">
        <w:rPr>
          <w:rFonts w:ascii="宋体" w:hAnsi="宋体" w:cs="宋体"/>
          <w:color w:val="000000"/>
          <w:kern w:val="0"/>
          <w:sz w:val="24"/>
          <w:szCs w:val="24"/>
        </w:rPr>
        <w:t>为准。</w:t>
      </w:r>
    </w:p>
    <w:p w:rsidR="00D676E1" w:rsidRPr="0082204A" w:rsidRDefault="00245EEE" w:rsidP="008220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4、</w:t>
      </w:r>
      <w:r w:rsidRPr="00245EEE">
        <w:rPr>
          <w:rFonts w:ascii="宋体" w:hAnsi="宋体" w:cs="宋体" w:hint="eastAsia"/>
          <w:color w:val="000000"/>
          <w:kern w:val="0"/>
          <w:sz w:val="24"/>
          <w:szCs w:val="24"/>
        </w:rPr>
        <w:t>投资者通过腾安基金赎回上述适用基金，除按照相关法律法规、基金招募说明书约定收取计入基金资产的部分</w:t>
      </w:r>
      <w:r w:rsidR="00D676E1">
        <w:rPr>
          <w:rFonts w:ascii="宋体" w:hAnsi="宋体" w:cs="宋体" w:hint="eastAsia"/>
          <w:color w:val="000000"/>
          <w:kern w:val="0"/>
          <w:sz w:val="24"/>
          <w:szCs w:val="24"/>
        </w:rPr>
        <w:t>外</w:t>
      </w:r>
      <w:r w:rsidRPr="00245EEE"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 w:rsidR="00D676E1" w:rsidRPr="0082204A">
        <w:rPr>
          <w:rFonts w:ascii="宋体" w:hAnsi="宋体" w:cs="宋体"/>
          <w:color w:val="000000"/>
          <w:kern w:val="0"/>
          <w:sz w:val="24"/>
          <w:szCs w:val="24"/>
        </w:rPr>
        <w:t>可享受赎回费率优惠，具体的费率优惠规则，以腾安基金的</w:t>
      </w:r>
      <w:r w:rsidR="00D676E1" w:rsidRPr="0082204A">
        <w:rPr>
          <w:rFonts w:ascii="宋体" w:hAnsi="宋体" w:cs="宋体" w:hint="eastAsia"/>
          <w:color w:val="000000"/>
          <w:kern w:val="0"/>
          <w:sz w:val="24"/>
          <w:szCs w:val="24"/>
        </w:rPr>
        <w:t>安排和规定</w:t>
      </w:r>
      <w:r w:rsidR="00D676E1" w:rsidRPr="0082204A">
        <w:rPr>
          <w:rFonts w:ascii="宋体" w:hAnsi="宋体" w:cs="宋体"/>
          <w:color w:val="000000"/>
          <w:kern w:val="0"/>
          <w:sz w:val="24"/>
          <w:szCs w:val="24"/>
        </w:rPr>
        <w:t>为准。</w:t>
      </w:r>
    </w:p>
    <w:p w:rsidR="00493400" w:rsidRPr="00E105FC" w:rsidRDefault="00245EEE" w:rsidP="008220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5、</w:t>
      </w:r>
      <w:r w:rsidRPr="00245EEE">
        <w:rPr>
          <w:rFonts w:ascii="宋体" w:hAnsi="宋体" w:cs="宋体" w:hint="eastAsia"/>
          <w:color w:val="000000"/>
          <w:kern w:val="0"/>
          <w:sz w:val="24"/>
          <w:szCs w:val="24"/>
        </w:rPr>
        <w:t>优惠活动详情</w:t>
      </w:r>
      <w:r w:rsidR="001245E2" w:rsidRPr="001245E2">
        <w:rPr>
          <w:rFonts w:ascii="宋体" w:hAnsi="宋体" w:cs="宋体" w:hint="eastAsia"/>
          <w:color w:val="000000"/>
          <w:kern w:val="0"/>
          <w:sz w:val="24"/>
          <w:szCs w:val="24"/>
        </w:rPr>
        <w:t>请以</w:t>
      </w:r>
      <w:r w:rsidR="001245E2">
        <w:rPr>
          <w:rFonts w:ascii="宋体" w:hAnsi="宋体" w:cs="宋体" w:hint="eastAsia"/>
          <w:color w:val="000000"/>
          <w:kern w:val="0"/>
          <w:sz w:val="24"/>
          <w:szCs w:val="24"/>
        </w:rPr>
        <w:t>腾安基金</w:t>
      </w:r>
      <w:r w:rsidR="001245E2" w:rsidRPr="001245E2">
        <w:rPr>
          <w:rFonts w:ascii="宋体" w:hAnsi="宋体" w:cs="宋体" w:hint="eastAsia"/>
          <w:color w:val="000000"/>
          <w:kern w:val="0"/>
          <w:sz w:val="24"/>
          <w:szCs w:val="24"/>
        </w:rPr>
        <w:t>为准，本公司不再另行公告</w:t>
      </w:r>
      <w:r w:rsidRPr="00245EEE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E105FC" w:rsidRPr="00E105FC" w:rsidRDefault="00E105FC" w:rsidP="008220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493400" w:rsidRPr="0082204A" w:rsidRDefault="00217571" w:rsidP="008220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82204A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三、重要提示</w:t>
      </w:r>
    </w:p>
    <w:p w:rsidR="00BF475C" w:rsidRPr="0082204A" w:rsidRDefault="00BF475C" w:rsidP="008220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82204A">
        <w:rPr>
          <w:rFonts w:ascii="宋体" w:hAnsi="宋体" w:cs="宋体" w:hint="eastAsia"/>
          <w:color w:val="000000"/>
          <w:kern w:val="0"/>
          <w:sz w:val="24"/>
          <w:szCs w:val="24"/>
        </w:rPr>
        <w:t>1、投资者通过上述代销机构办理相关</w:t>
      </w:r>
      <w:r w:rsidRPr="0082204A">
        <w:rPr>
          <w:rFonts w:ascii="宋体" w:hAnsi="宋体" w:cs="宋体"/>
          <w:color w:val="000000"/>
          <w:kern w:val="0"/>
          <w:sz w:val="24"/>
          <w:szCs w:val="24"/>
        </w:rPr>
        <w:t>业务</w:t>
      </w:r>
      <w:r w:rsidRPr="0082204A">
        <w:rPr>
          <w:rFonts w:ascii="宋体" w:hAnsi="宋体" w:cs="宋体" w:hint="eastAsia"/>
          <w:color w:val="000000"/>
          <w:kern w:val="0"/>
          <w:sz w:val="24"/>
          <w:szCs w:val="24"/>
        </w:rPr>
        <w:t>，具体</w:t>
      </w:r>
      <w:r w:rsidRPr="0082204A">
        <w:rPr>
          <w:rFonts w:ascii="宋体" w:hAnsi="宋体" w:cs="宋体"/>
          <w:color w:val="000000"/>
          <w:kern w:val="0"/>
          <w:sz w:val="24"/>
          <w:szCs w:val="24"/>
        </w:rPr>
        <w:t>业务办理规则</w:t>
      </w:r>
      <w:r w:rsidRPr="0082204A">
        <w:rPr>
          <w:rFonts w:ascii="宋体" w:hAnsi="宋体" w:cs="宋体" w:hint="eastAsia"/>
          <w:color w:val="000000"/>
          <w:kern w:val="0"/>
          <w:sz w:val="24"/>
          <w:szCs w:val="24"/>
        </w:rPr>
        <w:t>以相应代销机构规定</w:t>
      </w:r>
      <w:r w:rsidRPr="0082204A">
        <w:rPr>
          <w:rFonts w:ascii="宋体" w:hAnsi="宋体" w:cs="宋体"/>
          <w:color w:val="000000"/>
          <w:kern w:val="0"/>
          <w:sz w:val="24"/>
          <w:szCs w:val="24"/>
        </w:rPr>
        <w:t>为准</w:t>
      </w:r>
      <w:r w:rsidRPr="0082204A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217571" w:rsidRPr="0082204A" w:rsidRDefault="00BF475C" w:rsidP="008220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82204A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82204A">
        <w:rPr>
          <w:rFonts w:ascii="宋体" w:hAnsi="宋体" w:cs="宋体" w:hint="eastAsia"/>
          <w:color w:val="000000"/>
          <w:kern w:val="0"/>
          <w:sz w:val="24"/>
          <w:szCs w:val="24"/>
        </w:rPr>
        <w:t>、投资者欲了解上述基金产品的详细情况，请仔细阅读刊登于本公司网站（</w:t>
      </w:r>
      <w:r w:rsidRPr="0082204A">
        <w:rPr>
          <w:rFonts w:ascii="宋体" w:hAnsi="宋体" w:cs="宋体"/>
          <w:color w:val="000000"/>
          <w:kern w:val="0"/>
          <w:sz w:val="24"/>
          <w:szCs w:val="24"/>
        </w:rPr>
        <w:t>www.essencefund.com</w:t>
      </w:r>
      <w:r w:rsidRPr="0082204A">
        <w:rPr>
          <w:rFonts w:ascii="宋体" w:hAnsi="宋体" w:cs="宋体" w:hint="eastAsia"/>
          <w:color w:val="000000"/>
          <w:kern w:val="0"/>
          <w:sz w:val="24"/>
          <w:szCs w:val="24"/>
        </w:rPr>
        <w:t>）的相关基金《基金合同》、《招募说明书》等法律文件及相关业务公告。</w:t>
      </w:r>
      <w:r w:rsidR="00217571" w:rsidRPr="0082204A">
        <w:rPr>
          <w:rFonts w:ascii="宋体" w:hAnsi="宋体" w:cs="宋体" w:hint="eastAsia"/>
          <w:color w:val="000000"/>
          <w:kern w:val="0"/>
          <w:sz w:val="24"/>
          <w:szCs w:val="24"/>
        </w:rPr>
        <w:t>上述适用的基金优惠前的费率标准参见《基金合同》、《招募说明书》及相关公告。</w:t>
      </w:r>
    </w:p>
    <w:p w:rsidR="00BF475C" w:rsidRPr="00E105FC" w:rsidRDefault="00BF475C">
      <w:pPr>
        <w:pStyle w:val="2"/>
        <w:snapToGrid w:val="0"/>
        <w:spacing w:line="360" w:lineRule="auto"/>
        <w:ind w:firstLineChars="200" w:firstLine="480"/>
        <w:rPr>
          <w:rFonts w:hint="eastAsia"/>
          <w:szCs w:val="24"/>
        </w:rPr>
      </w:pPr>
      <w:r w:rsidRPr="00E105FC">
        <w:rPr>
          <w:rFonts w:hint="eastAsia"/>
          <w:szCs w:val="24"/>
        </w:rPr>
        <w:t xml:space="preserve">   </w:t>
      </w:r>
    </w:p>
    <w:p w:rsidR="00BF475C" w:rsidRPr="00E105FC" w:rsidRDefault="00BF47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E105FC">
        <w:rPr>
          <w:rFonts w:ascii="宋体" w:hAnsi="宋体" w:cs="宋体" w:hint="eastAsia"/>
          <w:color w:val="1E1E1E"/>
          <w:kern w:val="0"/>
          <w:sz w:val="24"/>
          <w:szCs w:val="24"/>
        </w:rPr>
        <w:lastRenderedPageBreak/>
        <w:t xml:space="preserve">   </w:t>
      </w:r>
      <w:r w:rsidR="00E105FC" w:rsidRPr="00E105FC">
        <w:rPr>
          <w:rFonts w:ascii="宋体" w:hAnsi="宋体" w:cs="宋体" w:hint="eastAsia"/>
          <w:color w:val="1E1E1E"/>
          <w:kern w:val="0"/>
          <w:sz w:val="24"/>
          <w:szCs w:val="24"/>
        </w:rPr>
        <w:t>四</w:t>
      </w:r>
      <w:r w:rsidRPr="00E105FC">
        <w:rPr>
          <w:rFonts w:ascii="宋体" w:hAnsi="宋体" w:cs="宋体" w:hint="eastAsia"/>
          <w:color w:val="1E1E1E"/>
          <w:kern w:val="0"/>
          <w:sz w:val="24"/>
          <w:szCs w:val="24"/>
        </w:rPr>
        <w:t>、</w:t>
      </w: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投资者可通过以下渠道咨询详情：</w:t>
      </w:r>
    </w:p>
    <w:p w:rsidR="00BF475C" w:rsidRPr="00E105FC" w:rsidRDefault="00BF47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1、安信基金管理有限责任公司</w:t>
      </w:r>
    </w:p>
    <w:p w:rsidR="00BF475C" w:rsidRPr="00E105FC" w:rsidRDefault="00BF47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客户服务电话：4008-088-088</w:t>
      </w:r>
    </w:p>
    <w:p w:rsidR="00BF475C" w:rsidRPr="00E105FC" w:rsidRDefault="00BF47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网站：</w:t>
      </w:r>
      <w:hyperlink r:id="rId7" w:history="1">
        <w:r w:rsidRPr="00E105FC">
          <w:rPr>
            <w:rStyle w:val="a4"/>
            <w:rFonts w:ascii="宋体" w:hAnsi="宋体" w:cs="宋体" w:hint="eastAsia"/>
            <w:color w:val="auto"/>
            <w:kern w:val="0"/>
            <w:sz w:val="24"/>
            <w:szCs w:val="24"/>
            <w:u w:val="none"/>
          </w:rPr>
          <w:t>www.essencefund.com</w:t>
        </w:r>
      </w:hyperlink>
    </w:p>
    <w:p w:rsidR="00BF475C" w:rsidRPr="00E105FC" w:rsidRDefault="00BF47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办公地址：广东省深圳市福田区莲花街道益田路6009号新世界商务中心36楼</w:t>
      </w:r>
    </w:p>
    <w:p w:rsidR="00BF475C" w:rsidRPr="00E105FC" w:rsidRDefault="00BF47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0A505B" w:rsidRPr="00E105FC" w:rsidRDefault="000A505B" w:rsidP="000A505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E105FC">
        <w:rPr>
          <w:sz w:val="24"/>
          <w:szCs w:val="24"/>
        </w:rPr>
        <w:t>2</w:t>
      </w:r>
      <w:r w:rsidRPr="00E105FC">
        <w:rPr>
          <w:rFonts w:hint="eastAsia"/>
          <w:sz w:val="24"/>
          <w:szCs w:val="24"/>
        </w:rPr>
        <w:t>、腾安基金销售（深圳）有限公司</w:t>
      </w:r>
    </w:p>
    <w:p w:rsidR="000A505B" w:rsidRPr="00E105FC" w:rsidRDefault="000A505B" w:rsidP="000A505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E105FC">
        <w:rPr>
          <w:rFonts w:hint="eastAsia"/>
          <w:sz w:val="24"/>
          <w:szCs w:val="24"/>
        </w:rPr>
        <w:t>客户服务电话：</w:t>
      </w:r>
      <w:r w:rsidRPr="00E105FC">
        <w:rPr>
          <w:rFonts w:hint="eastAsia"/>
          <w:sz w:val="24"/>
          <w:szCs w:val="24"/>
        </w:rPr>
        <w:t>95017(</w:t>
      </w:r>
      <w:r w:rsidRPr="00E105FC">
        <w:rPr>
          <w:rFonts w:hint="eastAsia"/>
          <w:sz w:val="24"/>
          <w:szCs w:val="24"/>
        </w:rPr>
        <w:t>拨通后转</w:t>
      </w:r>
      <w:r w:rsidRPr="00E105FC">
        <w:rPr>
          <w:rFonts w:hint="eastAsia"/>
          <w:sz w:val="24"/>
          <w:szCs w:val="24"/>
        </w:rPr>
        <w:t>1</w:t>
      </w:r>
      <w:r w:rsidRPr="00E105FC">
        <w:rPr>
          <w:rFonts w:hint="eastAsia"/>
          <w:sz w:val="24"/>
          <w:szCs w:val="24"/>
        </w:rPr>
        <w:t>转</w:t>
      </w:r>
      <w:r w:rsidRPr="00E105FC">
        <w:rPr>
          <w:rFonts w:hint="eastAsia"/>
          <w:sz w:val="24"/>
          <w:szCs w:val="24"/>
        </w:rPr>
        <w:t xml:space="preserve">8) </w:t>
      </w:r>
      <w:r w:rsidRPr="00E105FC">
        <w:rPr>
          <w:sz w:val="24"/>
          <w:szCs w:val="24"/>
        </w:rPr>
        <w:t xml:space="preserve"> </w:t>
      </w:r>
    </w:p>
    <w:p w:rsidR="000A505B" w:rsidRPr="00E105FC" w:rsidRDefault="000A505B" w:rsidP="000A505B">
      <w:pPr>
        <w:spacing w:line="360" w:lineRule="auto"/>
        <w:ind w:firstLineChars="200" w:firstLine="480"/>
        <w:rPr>
          <w:sz w:val="24"/>
          <w:szCs w:val="24"/>
        </w:rPr>
      </w:pPr>
      <w:r w:rsidRPr="00E105FC">
        <w:rPr>
          <w:rFonts w:hint="eastAsia"/>
          <w:sz w:val="24"/>
          <w:szCs w:val="24"/>
        </w:rPr>
        <w:t>网站：</w:t>
      </w:r>
      <w:r w:rsidR="00FE71A8" w:rsidRPr="00FE71A8">
        <w:rPr>
          <w:sz w:val="24"/>
          <w:szCs w:val="24"/>
        </w:rPr>
        <w:t>www.txfund.com</w:t>
      </w:r>
    </w:p>
    <w:p w:rsidR="000A505B" w:rsidRPr="00E105FC" w:rsidRDefault="000A505B" w:rsidP="000A505B">
      <w:pPr>
        <w:spacing w:line="360" w:lineRule="auto"/>
        <w:ind w:firstLineChars="200" w:firstLine="480"/>
        <w:rPr>
          <w:sz w:val="24"/>
          <w:szCs w:val="24"/>
        </w:rPr>
      </w:pP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办公地址</w:t>
      </w:r>
      <w:r w:rsidRPr="00E105FC">
        <w:rPr>
          <w:rFonts w:hint="eastAsia"/>
          <w:sz w:val="24"/>
          <w:szCs w:val="24"/>
        </w:rPr>
        <w:t>：深圳市南山区海天二路</w:t>
      </w:r>
      <w:r w:rsidRPr="00E105FC">
        <w:rPr>
          <w:rFonts w:hint="eastAsia"/>
          <w:sz w:val="24"/>
          <w:szCs w:val="24"/>
        </w:rPr>
        <w:t>33</w:t>
      </w:r>
      <w:r w:rsidRPr="00E105FC">
        <w:rPr>
          <w:rFonts w:hint="eastAsia"/>
          <w:sz w:val="24"/>
          <w:szCs w:val="24"/>
        </w:rPr>
        <w:t>号腾讯滨海大厦</w:t>
      </w:r>
      <w:r w:rsidRPr="00E105FC">
        <w:rPr>
          <w:rFonts w:hint="eastAsia"/>
          <w:sz w:val="24"/>
          <w:szCs w:val="24"/>
        </w:rPr>
        <w:t>15</w:t>
      </w:r>
      <w:r w:rsidRPr="00E105FC">
        <w:rPr>
          <w:rFonts w:hint="eastAsia"/>
          <w:sz w:val="24"/>
          <w:szCs w:val="24"/>
        </w:rPr>
        <w:t>楼</w:t>
      </w:r>
      <w:r w:rsidRPr="00E105FC">
        <w:rPr>
          <w:sz w:val="24"/>
          <w:szCs w:val="24"/>
        </w:rPr>
        <w:t xml:space="preserve"> </w:t>
      </w:r>
    </w:p>
    <w:p w:rsidR="0016371C" w:rsidRPr="00E105FC" w:rsidRDefault="0016371C">
      <w:pPr>
        <w:spacing w:line="360" w:lineRule="auto"/>
        <w:ind w:firstLineChars="150" w:firstLine="360"/>
        <w:rPr>
          <w:rFonts w:hint="eastAsia"/>
          <w:sz w:val="24"/>
          <w:szCs w:val="24"/>
        </w:rPr>
      </w:pPr>
    </w:p>
    <w:p w:rsidR="00BF475C" w:rsidRPr="00E105FC" w:rsidRDefault="00BF47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风险提示：本公司承诺以诚实信用、勤勉尽责的原则管理和运用基金资产，但不保证基金一定盈利，也不保证最低收益。</w:t>
      </w:r>
      <w:r w:rsidR="001245E2" w:rsidRPr="001245E2">
        <w:rPr>
          <w:rFonts w:ascii="宋体" w:hAnsi="宋体" w:cs="宋体" w:hint="eastAsia"/>
          <w:color w:val="000000"/>
          <w:kern w:val="0"/>
          <w:sz w:val="24"/>
          <w:szCs w:val="24"/>
        </w:rPr>
        <w:t>定期定额投资是引导投资人进行长期投资、平均投资成本的一种投资方式。但是定期定额投资并不能规避基金投资所固有的风险，不能保证投资人获得收益，也不是替代储蓄的等效理财方式。</w:t>
      </w: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基金投资有风险，敬请投资人认真阅读基金的相关法律文件，并选择适合自身风险承受能力的投资品种进行投资。</w:t>
      </w:r>
      <w:r w:rsidRPr="00E105FC"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</w:p>
    <w:p w:rsidR="00BF475C" w:rsidRPr="00E105FC" w:rsidRDefault="00BF47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E105FC"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</w:p>
    <w:p w:rsidR="00BF475C" w:rsidRPr="00E105FC" w:rsidRDefault="00BF47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E105FC">
        <w:rPr>
          <w:rFonts w:ascii="宋体" w:hAnsi="宋体" w:cs="宋体"/>
          <w:color w:val="000000"/>
          <w:kern w:val="0"/>
          <w:sz w:val="24"/>
          <w:szCs w:val="24"/>
        </w:rPr>
        <w:t>特此公告。</w:t>
      </w:r>
    </w:p>
    <w:p w:rsidR="00BF475C" w:rsidRPr="00E105FC" w:rsidRDefault="00BF47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68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BF475C" w:rsidRPr="00E105FC" w:rsidRDefault="00BF47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68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BF475C" w:rsidRPr="00E105FC" w:rsidRDefault="00BF47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68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BF475C" w:rsidRPr="00E105FC" w:rsidRDefault="00BF47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68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BF475C" w:rsidRPr="00E105FC" w:rsidRDefault="00BF47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E105FC"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</w:t>
      </w: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</w:t>
      </w:r>
      <w:r w:rsidRPr="00E105FC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安信</w:t>
      </w:r>
      <w:r w:rsidRPr="00E105FC">
        <w:rPr>
          <w:rFonts w:ascii="宋体" w:hAnsi="宋体" w:cs="宋体"/>
          <w:color w:val="000000"/>
          <w:kern w:val="0"/>
          <w:sz w:val="24"/>
          <w:szCs w:val="24"/>
        </w:rPr>
        <w:t>基金管理有限</w:t>
      </w: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>责任</w:t>
      </w:r>
      <w:r w:rsidRPr="00E105FC">
        <w:rPr>
          <w:rFonts w:ascii="宋体" w:hAnsi="宋体" w:cs="宋体"/>
          <w:color w:val="000000"/>
          <w:kern w:val="0"/>
          <w:sz w:val="24"/>
          <w:szCs w:val="24"/>
        </w:rPr>
        <w:t>公司</w:t>
      </w:r>
    </w:p>
    <w:p w:rsidR="00BF475C" w:rsidRPr="00E105FC" w:rsidRDefault="00BF47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E105FC"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   </w:t>
      </w:r>
      <w:r w:rsidRPr="00E105FC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</w:t>
      </w:r>
      <w:r w:rsidR="00E105FC" w:rsidRPr="00E105FC">
        <w:rPr>
          <w:rFonts w:ascii="宋体" w:hAnsi="宋体" w:cs="宋体"/>
          <w:color w:val="000000"/>
          <w:kern w:val="0"/>
          <w:sz w:val="24"/>
          <w:szCs w:val="24"/>
        </w:rPr>
        <w:t>20</w:t>
      </w:r>
      <w:r w:rsidR="00395798">
        <w:rPr>
          <w:rFonts w:ascii="宋体" w:hAnsi="宋体" w:cs="宋体" w:hint="eastAsia"/>
          <w:color w:val="000000"/>
          <w:kern w:val="0"/>
          <w:sz w:val="24"/>
          <w:szCs w:val="24"/>
        </w:rPr>
        <w:t>20</w:t>
      </w:r>
      <w:r w:rsidR="008737B1" w:rsidRPr="00E105FC">
        <w:rPr>
          <w:rFonts w:ascii="宋体" w:hAnsi="宋体" w:cs="宋体"/>
          <w:color w:val="000000"/>
          <w:kern w:val="0"/>
          <w:sz w:val="24"/>
          <w:szCs w:val="24"/>
        </w:rPr>
        <w:t>年</w:t>
      </w:r>
      <w:r w:rsidR="0016371C" w:rsidRPr="00E105FC">
        <w:rPr>
          <w:rFonts w:ascii="宋体" w:hAnsi="宋体" w:cs="宋体"/>
          <w:color w:val="000000"/>
          <w:kern w:val="0"/>
          <w:sz w:val="24"/>
          <w:szCs w:val="24"/>
        </w:rPr>
        <w:t>11</w:t>
      </w:r>
      <w:r w:rsidRPr="00E105FC">
        <w:rPr>
          <w:rFonts w:ascii="宋体" w:hAnsi="宋体" w:cs="宋体"/>
          <w:color w:val="000000"/>
          <w:kern w:val="0"/>
          <w:sz w:val="24"/>
          <w:szCs w:val="24"/>
        </w:rPr>
        <w:t>月</w:t>
      </w:r>
      <w:r w:rsidR="00E105FC" w:rsidRPr="00E105FC">
        <w:rPr>
          <w:rFonts w:ascii="宋体" w:hAnsi="宋体" w:cs="宋体"/>
          <w:color w:val="000000"/>
          <w:kern w:val="0"/>
          <w:sz w:val="24"/>
          <w:szCs w:val="24"/>
        </w:rPr>
        <w:t>20</w:t>
      </w:r>
      <w:r w:rsidRPr="00E105FC">
        <w:rPr>
          <w:rFonts w:ascii="宋体" w:hAnsi="宋体" w:cs="宋体"/>
          <w:color w:val="000000"/>
          <w:kern w:val="0"/>
          <w:sz w:val="24"/>
          <w:szCs w:val="24"/>
        </w:rPr>
        <w:t>日</w:t>
      </w:r>
    </w:p>
    <w:p w:rsidR="00BF475C" w:rsidRDefault="00BF475C">
      <w:pPr>
        <w:rPr>
          <w:rFonts w:hint="eastAsia"/>
        </w:rPr>
      </w:pPr>
    </w:p>
    <w:sectPr w:rsidR="00BF47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1D2" w:rsidRDefault="00FB71D2" w:rsidP="0016371C">
      <w:r>
        <w:separator/>
      </w:r>
    </w:p>
  </w:endnote>
  <w:endnote w:type="continuationSeparator" w:id="0">
    <w:p w:rsidR="00FB71D2" w:rsidRDefault="00FB71D2" w:rsidP="00163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1D2" w:rsidRDefault="00FB71D2" w:rsidP="0016371C">
      <w:r>
        <w:separator/>
      </w:r>
    </w:p>
  </w:footnote>
  <w:footnote w:type="continuationSeparator" w:id="0">
    <w:p w:rsidR="00FB71D2" w:rsidRDefault="00FB71D2" w:rsidP="00163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13D4"/>
    <w:multiLevelType w:val="multilevel"/>
    <w:tmpl w:val="233613D4"/>
    <w:lvl w:ilvl="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B63"/>
    <w:rsid w:val="000033F2"/>
    <w:rsid w:val="00012B1A"/>
    <w:rsid w:val="00021711"/>
    <w:rsid w:val="00031513"/>
    <w:rsid w:val="0003389D"/>
    <w:rsid w:val="00034A93"/>
    <w:rsid w:val="000518D1"/>
    <w:rsid w:val="000560E9"/>
    <w:rsid w:val="00060F37"/>
    <w:rsid w:val="00061066"/>
    <w:rsid w:val="00065A43"/>
    <w:rsid w:val="000678F8"/>
    <w:rsid w:val="000747CE"/>
    <w:rsid w:val="000761CE"/>
    <w:rsid w:val="000805E7"/>
    <w:rsid w:val="000A1EA9"/>
    <w:rsid w:val="000A4EBF"/>
    <w:rsid w:val="000A505B"/>
    <w:rsid w:val="000B21D2"/>
    <w:rsid w:val="000C6D39"/>
    <w:rsid w:val="000D0023"/>
    <w:rsid w:val="000D4293"/>
    <w:rsid w:val="000D5316"/>
    <w:rsid w:val="000E01F0"/>
    <w:rsid w:val="000E6ABD"/>
    <w:rsid w:val="0012411A"/>
    <w:rsid w:val="001245E2"/>
    <w:rsid w:val="0013165C"/>
    <w:rsid w:val="001320BC"/>
    <w:rsid w:val="00142381"/>
    <w:rsid w:val="001548A3"/>
    <w:rsid w:val="00157112"/>
    <w:rsid w:val="00161064"/>
    <w:rsid w:val="0016371C"/>
    <w:rsid w:val="001644CE"/>
    <w:rsid w:val="00170634"/>
    <w:rsid w:val="00172612"/>
    <w:rsid w:val="00176036"/>
    <w:rsid w:val="0018207A"/>
    <w:rsid w:val="00183C61"/>
    <w:rsid w:val="001855DE"/>
    <w:rsid w:val="0018785C"/>
    <w:rsid w:val="00187CD2"/>
    <w:rsid w:val="001948CE"/>
    <w:rsid w:val="00194B88"/>
    <w:rsid w:val="001A3C5F"/>
    <w:rsid w:val="001A4EC2"/>
    <w:rsid w:val="001B5F0C"/>
    <w:rsid w:val="001B7174"/>
    <w:rsid w:val="001C0A38"/>
    <w:rsid w:val="001C0A6C"/>
    <w:rsid w:val="001E07E4"/>
    <w:rsid w:val="001F1F50"/>
    <w:rsid w:val="002002E7"/>
    <w:rsid w:val="00201348"/>
    <w:rsid w:val="00217571"/>
    <w:rsid w:val="00220850"/>
    <w:rsid w:val="00220ADA"/>
    <w:rsid w:val="0022238F"/>
    <w:rsid w:val="002230B2"/>
    <w:rsid w:val="0022476A"/>
    <w:rsid w:val="00227A24"/>
    <w:rsid w:val="00235E0D"/>
    <w:rsid w:val="00242B7E"/>
    <w:rsid w:val="0024506F"/>
    <w:rsid w:val="00245EEE"/>
    <w:rsid w:val="00250104"/>
    <w:rsid w:val="00253C19"/>
    <w:rsid w:val="002601DF"/>
    <w:rsid w:val="00266BD0"/>
    <w:rsid w:val="00270888"/>
    <w:rsid w:val="00272E70"/>
    <w:rsid w:val="0028088F"/>
    <w:rsid w:val="0028531D"/>
    <w:rsid w:val="00285EF7"/>
    <w:rsid w:val="002929F0"/>
    <w:rsid w:val="002953F1"/>
    <w:rsid w:val="002A580C"/>
    <w:rsid w:val="002B4018"/>
    <w:rsid w:val="002C2992"/>
    <w:rsid w:val="002C3F9F"/>
    <w:rsid w:val="002C6322"/>
    <w:rsid w:val="002D0D59"/>
    <w:rsid w:val="002E021C"/>
    <w:rsid w:val="002E2A52"/>
    <w:rsid w:val="002E5B10"/>
    <w:rsid w:val="002F0873"/>
    <w:rsid w:val="002F229D"/>
    <w:rsid w:val="002F31F8"/>
    <w:rsid w:val="002F631B"/>
    <w:rsid w:val="00303CAE"/>
    <w:rsid w:val="003112D0"/>
    <w:rsid w:val="00326402"/>
    <w:rsid w:val="00330290"/>
    <w:rsid w:val="0033229A"/>
    <w:rsid w:val="00336CF9"/>
    <w:rsid w:val="00337ADF"/>
    <w:rsid w:val="00340636"/>
    <w:rsid w:val="003571BC"/>
    <w:rsid w:val="003612F4"/>
    <w:rsid w:val="003823F8"/>
    <w:rsid w:val="00382781"/>
    <w:rsid w:val="00385AE7"/>
    <w:rsid w:val="00394141"/>
    <w:rsid w:val="00395798"/>
    <w:rsid w:val="00396208"/>
    <w:rsid w:val="003A561D"/>
    <w:rsid w:val="003A785D"/>
    <w:rsid w:val="003B2567"/>
    <w:rsid w:val="003B5D92"/>
    <w:rsid w:val="003C7EC6"/>
    <w:rsid w:val="003D04FA"/>
    <w:rsid w:val="003D1A2F"/>
    <w:rsid w:val="003D75F9"/>
    <w:rsid w:val="003E544D"/>
    <w:rsid w:val="003E5E74"/>
    <w:rsid w:val="003E726F"/>
    <w:rsid w:val="003F252C"/>
    <w:rsid w:val="00402038"/>
    <w:rsid w:val="00402C58"/>
    <w:rsid w:val="00403FB4"/>
    <w:rsid w:val="00423825"/>
    <w:rsid w:val="0042641B"/>
    <w:rsid w:val="00435D80"/>
    <w:rsid w:val="00436D7C"/>
    <w:rsid w:val="0043756D"/>
    <w:rsid w:val="00445239"/>
    <w:rsid w:val="004524D1"/>
    <w:rsid w:val="0046663D"/>
    <w:rsid w:val="00474749"/>
    <w:rsid w:val="00475494"/>
    <w:rsid w:val="004810D2"/>
    <w:rsid w:val="004824A0"/>
    <w:rsid w:val="00493400"/>
    <w:rsid w:val="0049495E"/>
    <w:rsid w:val="004A17AB"/>
    <w:rsid w:val="004A372C"/>
    <w:rsid w:val="004A6175"/>
    <w:rsid w:val="004A71D1"/>
    <w:rsid w:val="004B65D0"/>
    <w:rsid w:val="004C1611"/>
    <w:rsid w:val="004C5C4F"/>
    <w:rsid w:val="004C7367"/>
    <w:rsid w:val="004D5B72"/>
    <w:rsid w:val="004E131E"/>
    <w:rsid w:val="004E51E9"/>
    <w:rsid w:val="004E5AB7"/>
    <w:rsid w:val="004F0CAD"/>
    <w:rsid w:val="004F2FA4"/>
    <w:rsid w:val="004F3854"/>
    <w:rsid w:val="004F6C6C"/>
    <w:rsid w:val="00501F7A"/>
    <w:rsid w:val="00502E78"/>
    <w:rsid w:val="00507163"/>
    <w:rsid w:val="00515361"/>
    <w:rsid w:val="00517CA6"/>
    <w:rsid w:val="00522214"/>
    <w:rsid w:val="0055222F"/>
    <w:rsid w:val="00554C8F"/>
    <w:rsid w:val="00563990"/>
    <w:rsid w:val="00564404"/>
    <w:rsid w:val="0057200C"/>
    <w:rsid w:val="005821E2"/>
    <w:rsid w:val="00583E99"/>
    <w:rsid w:val="00584000"/>
    <w:rsid w:val="00584630"/>
    <w:rsid w:val="00585A54"/>
    <w:rsid w:val="005948A9"/>
    <w:rsid w:val="005964F2"/>
    <w:rsid w:val="005A4F64"/>
    <w:rsid w:val="005B329F"/>
    <w:rsid w:val="005B6ABA"/>
    <w:rsid w:val="005D4E83"/>
    <w:rsid w:val="005E58A5"/>
    <w:rsid w:val="005E7AD7"/>
    <w:rsid w:val="005F2D41"/>
    <w:rsid w:val="005F6E28"/>
    <w:rsid w:val="006004B2"/>
    <w:rsid w:val="006011E4"/>
    <w:rsid w:val="00617519"/>
    <w:rsid w:val="00620844"/>
    <w:rsid w:val="00623EDB"/>
    <w:rsid w:val="006263F3"/>
    <w:rsid w:val="00636B39"/>
    <w:rsid w:val="00640214"/>
    <w:rsid w:val="00640918"/>
    <w:rsid w:val="00643D45"/>
    <w:rsid w:val="00651EE2"/>
    <w:rsid w:val="00653C48"/>
    <w:rsid w:val="00653CCE"/>
    <w:rsid w:val="0065680A"/>
    <w:rsid w:val="00660F4B"/>
    <w:rsid w:val="00661696"/>
    <w:rsid w:val="006658E4"/>
    <w:rsid w:val="00666A94"/>
    <w:rsid w:val="0066797A"/>
    <w:rsid w:val="00673C51"/>
    <w:rsid w:val="00677189"/>
    <w:rsid w:val="006847DC"/>
    <w:rsid w:val="00690571"/>
    <w:rsid w:val="00690825"/>
    <w:rsid w:val="006911FC"/>
    <w:rsid w:val="0069481A"/>
    <w:rsid w:val="006A0F5F"/>
    <w:rsid w:val="006A3BD1"/>
    <w:rsid w:val="006A5693"/>
    <w:rsid w:val="006A5728"/>
    <w:rsid w:val="006A6C9F"/>
    <w:rsid w:val="006B2964"/>
    <w:rsid w:val="006B6B4A"/>
    <w:rsid w:val="006B756C"/>
    <w:rsid w:val="006C2894"/>
    <w:rsid w:val="006C76CD"/>
    <w:rsid w:val="006D4B01"/>
    <w:rsid w:val="006D6248"/>
    <w:rsid w:val="006F0686"/>
    <w:rsid w:val="006F0DF3"/>
    <w:rsid w:val="006F61B6"/>
    <w:rsid w:val="006F7B63"/>
    <w:rsid w:val="0070341F"/>
    <w:rsid w:val="0071555A"/>
    <w:rsid w:val="007177E7"/>
    <w:rsid w:val="007229C9"/>
    <w:rsid w:val="00723D92"/>
    <w:rsid w:val="00730610"/>
    <w:rsid w:val="007344B3"/>
    <w:rsid w:val="00740654"/>
    <w:rsid w:val="00752A9A"/>
    <w:rsid w:val="007608EC"/>
    <w:rsid w:val="00761ACD"/>
    <w:rsid w:val="00767BB5"/>
    <w:rsid w:val="00771933"/>
    <w:rsid w:val="00775D16"/>
    <w:rsid w:val="00780800"/>
    <w:rsid w:val="00781CD6"/>
    <w:rsid w:val="007826DC"/>
    <w:rsid w:val="007957A4"/>
    <w:rsid w:val="00796AF6"/>
    <w:rsid w:val="007A4C66"/>
    <w:rsid w:val="007A5E0E"/>
    <w:rsid w:val="007B575A"/>
    <w:rsid w:val="007C05F3"/>
    <w:rsid w:val="007C1A02"/>
    <w:rsid w:val="007C1E61"/>
    <w:rsid w:val="007C6060"/>
    <w:rsid w:val="007D6599"/>
    <w:rsid w:val="007E5560"/>
    <w:rsid w:val="007F1B13"/>
    <w:rsid w:val="008042AB"/>
    <w:rsid w:val="00811708"/>
    <w:rsid w:val="00814C98"/>
    <w:rsid w:val="0081542F"/>
    <w:rsid w:val="00820BB0"/>
    <w:rsid w:val="00821AA3"/>
    <w:rsid w:val="0082204A"/>
    <w:rsid w:val="00822EBD"/>
    <w:rsid w:val="00830608"/>
    <w:rsid w:val="008326F3"/>
    <w:rsid w:val="00842B9C"/>
    <w:rsid w:val="00870542"/>
    <w:rsid w:val="008737B1"/>
    <w:rsid w:val="008739E8"/>
    <w:rsid w:val="00876394"/>
    <w:rsid w:val="00881B08"/>
    <w:rsid w:val="00881F5E"/>
    <w:rsid w:val="00882608"/>
    <w:rsid w:val="00885601"/>
    <w:rsid w:val="008862F8"/>
    <w:rsid w:val="00887F06"/>
    <w:rsid w:val="008957A5"/>
    <w:rsid w:val="008A00B0"/>
    <w:rsid w:val="008A0F2A"/>
    <w:rsid w:val="008A42E1"/>
    <w:rsid w:val="008A7F8B"/>
    <w:rsid w:val="008B38DE"/>
    <w:rsid w:val="008C0DBB"/>
    <w:rsid w:val="008E0103"/>
    <w:rsid w:val="008E0F28"/>
    <w:rsid w:val="008E2867"/>
    <w:rsid w:val="008F43DC"/>
    <w:rsid w:val="00901A98"/>
    <w:rsid w:val="009051F0"/>
    <w:rsid w:val="00915708"/>
    <w:rsid w:val="00917831"/>
    <w:rsid w:val="00921F48"/>
    <w:rsid w:val="00936CE0"/>
    <w:rsid w:val="00945207"/>
    <w:rsid w:val="00955756"/>
    <w:rsid w:val="00974494"/>
    <w:rsid w:val="009870B7"/>
    <w:rsid w:val="009976BD"/>
    <w:rsid w:val="009A46C3"/>
    <w:rsid w:val="009B1EBB"/>
    <w:rsid w:val="009C3C6F"/>
    <w:rsid w:val="009D5711"/>
    <w:rsid w:val="009D6378"/>
    <w:rsid w:val="009D7797"/>
    <w:rsid w:val="009E4B67"/>
    <w:rsid w:val="00A02F7F"/>
    <w:rsid w:val="00A03C2E"/>
    <w:rsid w:val="00A066C9"/>
    <w:rsid w:val="00A1294B"/>
    <w:rsid w:val="00A214FE"/>
    <w:rsid w:val="00A24808"/>
    <w:rsid w:val="00A27167"/>
    <w:rsid w:val="00A31F85"/>
    <w:rsid w:val="00A327FE"/>
    <w:rsid w:val="00A41743"/>
    <w:rsid w:val="00A44558"/>
    <w:rsid w:val="00A64ED7"/>
    <w:rsid w:val="00A74994"/>
    <w:rsid w:val="00AC1100"/>
    <w:rsid w:val="00AC1D02"/>
    <w:rsid w:val="00AC5819"/>
    <w:rsid w:val="00AD1747"/>
    <w:rsid w:val="00AD3E5D"/>
    <w:rsid w:val="00AD5010"/>
    <w:rsid w:val="00AE1AE3"/>
    <w:rsid w:val="00AF0014"/>
    <w:rsid w:val="00B16CC3"/>
    <w:rsid w:val="00B34EAE"/>
    <w:rsid w:val="00B3708E"/>
    <w:rsid w:val="00B4062E"/>
    <w:rsid w:val="00B50964"/>
    <w:rsid w:val="00B51786"/>
    <w:rsid w:val="00B63212"/>
    <w:rsid w:val="00B63E39"/>
    <w:rsid w:val="00B65199"/>
    <w:rsid w:val="00B6549D"/>
    <w:rsid w:val="00B71C94"/>
    <w:rsid w:val="00B734F2"/>
    <w:rsid w:val="00B76863"/>
    <w:rsid w:val="00B963DC"/>
    <w:rsid w:val="00BA3F32"/>
    <w:rsid w:val="00BB597D"/>
    <w:rsid w:val="00BB6216"/>
    <w:rsid w:val="00BC323E"/>
    <w:rsid w:val="00BC4669"/>
    <w:rsid w:val="00BC5BDD"/>
    <w:rsid w:val="00BD0A59"/>
    <w:rsid w:val="00BD31F0"/>
    <w:rsid w:val="00BD4D0B"/>
    <w:rsid w:val="00BE2DEB"/>
    <w:rsid w:val="00BF2CCA"/>
    <w:rsid w:val="00BF475C"/>
    <w:rsid w:val="00BF6830"/>
    <w:rsid w:val="00C10899"/>
    <w:rsid w:val="00C11130"/>
    <w:rsid w:val="00C36C69"/>
    <w:rsid w:val="00C379B7"/>
    <w:rsid w:val="00C40CC2"/>
    <w:rsid w:val="00C413F0"/>
    <w:rsid w:val="00C461C7"/>
    <w:rsid w:val="00C47301"/>
    <w:rsid w:val="00C5280C"/>
    <w:rsid w:val="00C53AF8"/>
    <w:rsid w:val="00C67A7A"/>
    <w:rsid w:val="00C735D8"/>
    <w:rsid w:val="00C762FE"/>
    <w:rsid w:val="00C85DA5"/>
    <w:rsid w:val="00C94983"/>
    <w:rsid w:val="00CA0575"/>
    <w:rsid w:val="00CA0618"/>
    <w:rsid w:val="00CB277C"/>
    <w:rsid w:val="00CB6DB2"/>
    <w:rsid w:val="00CD01EC"/>
    <w:rsid w:val="00CD3EBA"/>
    <w:rsid w:val="00CD4C64"/>
    <w:rsid w:val="00CD62F9"/>
    <w:rsid w:val="00CE0FE4"/>
    <w:rsid w:val="00CE1527"/>
    <w:rsid w:val="00CE3663"/>
    <w:rsid w:val="00CE52CA"/>
    <w:rsid w:val="00CF250F"/>
    <w:rsid w:val="00CF2DB0"/>
    <w:rsid w:val="00CF5E50"/>
    <w:rsid w:val="00CF7A3D"/>
    <w:rsid w:val="00D045B4"/>
    <w:rsid w:val="00D10892"/>
    <w:rsid w:val="00D10954"/>
    <w:rsid w:val="00D179A9"/>
    <w:rsid w:val="00D375FB"/>
    <w:rsid w:val="00D40AD0"/>
    <w:rsid w:val="00D44C1A"/>
    <w:rsid w:val="00D5295E"/>
    <w:rsid w:val="00D53ACF"/>
    <w:rsid w:val="00D574B8"/>
    <w:rsid w:val="00D676E1"/>
    <w:rsid w:val="00D71C7E"/>
    <w:rsid w:val="00D73DDD"/>
    <w:rsid w:val="00D74163"/>
    <w:rsid w:val="00D76778"/>
    <w:rsid w:val="00D8564C"/>
    <w:rsid w:val="00D9509A"/>
    <w:rsid w:val="00DA2C60"/>
    <w:rsid w:val="00DA4D40"/>
    <w:rsid w:val="00DA5C2F"/>
    <w:rsid w:val="00DA64E2"/>
    <w:rsid w:val="00DB4892"/>
    <w:rsid w:val="00DB624D"/>
    <w:rsid w:val="00DC1FA6"/>
    <w:rsid w:val="00DC35B5"/>
    <w:rsid w:val="00DC625D"/>
    <w:rsid w:val="00DD56B1"/>
    <w:rsid w:val="00DD5B98"/>
    <w:rsid w:val="00DE167D"/>
    <w:rsid w:val="00DE259E"/>
    <w:rsid w:val="00DF5A0D"/>
    <w:rsid w:val="00DF62D5"/>
    <w:rsid w:val="00E0366E"/>
    <w:rsid w:val="00E03D0B"/>
    <w:rsid w:val="00E05C69"/>
    <w:rsid w:val="00E07DED"/>
    <w:rsid w:val="00E105FC"/>
    <w:rsid w:val="00E153AD"/>
    <w:rsid w:val="00E237B4"/>
    <w:rsid w:val="00E23EA7"/>
    <w:rsid w:val="00E30885"/>
    <w:rsid w:val="00E32E4A"/>
    <w:rsid w:val="00E35F80"/>
    <w:rsid w:val="00E42157"/>
    <w:rsid w:val="00E464BF"/>
    <w:rsid w:val="00E51217"/>
    <w:rsid w:val="00E51855"/>
    <w:rsid w:val="00E54DB4"/>
    <w:rsid w:val="00E91609"/>
    <w:rsid w:val="00E95BEA"/>
    <w:rsid w:val="00E96A57"/>
    <w:rsid w:val="00EA35D8"/>
    <w:rsid w:val="00EA5991"/>
    <w:rsid w:val="00EB47BB"/>
    <w:rsid w:val="00EC3011"/>
    <w:rsid w:val="00EC5415"/>
    <w:rsid w:val="00ED5B85"/>
    <w:rsid w:val="00EE0AAF"/>
    <w:rsid w:val="00EE7925"/>
    <w:rsid w:val="00EF3395"/>
    <w:rsid w:val="00F45262"/>
    <w:rsid w:val="00F466E9"/>
    <w:rsid w:val="00F51E7C"/>
    <w:rsid w:val="00F54CC7"/>
    <w:rsid w:val="00F63E8D"/>
    <w:rsid w:val="00F64F54"/>
    <w:rsid w:val="00F717B4"/>
    <w:rsid w:val="00F7339C"/>
    <w:rsid w:val="00F734AC"/>
    <w:rsid w:val="00F770E2"/>
    <w:rsid w:val="00F82467"/>
    <w:rsid w:val="00F920F3"/>
    <w:rsid w:val="00FA4C0E"/>
    <w:rsid w:val="00FA64C3"/>
    <w:rsid w:val="00FA6FB0"/>
    <w:rsid w:val="00FB16C1"/>
    <w:rsid w:val="00FB71D2"/>
    <w:rsid w:val="00FC1192"/>
    <w:rsid w:val="00FC4D5C"/>
    <w:rsid w:val="00FE2A39"/>
    <w:rsid w:val="00FE71A8"/>
    <w:rsid w:val="00FF033B"/>
    <w:rsid w:val="00FF0574"/>
    <w:rsid w:val="00FF25B4"/>
    <w:rsid w:val="0BC425EB"/>
    <w:rsid w:val="17F175DB"/>
    <w:rsid w:val="24CF7379"/>
    <w:rsid w:val="25077C15"/>
    <w:rsid w:val="32295790"/>
    <w:rsid w:val="3B0F485F"/>
    <w:rsid w:val="3D6F7195"/>
    <w:rsid w:val="46335456"/>
    <w:rsid w:val="489022E5"/>
    <w:rsid w:val="489A56FB"/>
    <w:rsid w:val="69F47E9F"/>
    <w:rsid w:val="6BC9683C"/>
    <w:rsid w:val="73641402"/>
    <w:rsid w:val="7637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List Accent 1" w:semiHidden="0" w:uiPriority="34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主题 Char"/>
    <w:link w:val="a3"/>
    <w:uiPriority w:val="99"/>
    <w:semiHidden/>
    <w:rPr>
      <w:b/>
      <w:bCs/>
      <w:kern w:val="2"/>
      <w:sz w:val="21"/>
      <w:szCs w:val="22"/>
    </w:rPr>
  </w:style>
  <w:style w:type="character" w:styleId="a4">
    <w:name w:val="Hyperlink"/>
    <w:aliases w:val="超级链接"/>
    <w:uiPriority w:val="99"/>
    <w:unhideWhenUsed/>
    <w:rPr>
      <w:color w:val="0000FF"/>
      <w:u w:val="single"/>
    </w:rPr>
  </w:style>
  <w:style w:type="character" w:customStyle="1" w:styleId="txtcontent11">
    <w:name w:val="txtcontent11"/>
    <w:rPr>
      <w:rFonts w:ascii="ˎ̥" w:hAnsi="ˎ̥" w:hint="default"/>
      <w:b w:val="0"/>
      <w:bCs w:val="0"/>
      <w:color w:val="000000"/>
      <w:sz w:val="17"/>
      <w:szCs w:val="17"/>
    </w:rPr>
  </w:style>
  <w:style w:type="character" w:styleId="a5">
    <w:name w:val="annotation reference"/>
    <w:uiPriority w:val="99"/>
    <w:unhideWhenUsed/>
    <w:rPr>
      <w:sz w:val="21"/>
      <w:szCs w:val="21"/>
    </w:rPr>
  </w:style>
  <w:style w:type="character" w:customStyle="1" w:styleId="1Char">
    <w:name w:val="标题 1 Char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6"/>
    <w:uiPriority w:val="99"/>
    <w:rPr>
      <w:sz w:val="18"/>
      <w:szCs w:val="18"/>
    </w:rPr>
  </w:style>
  <w:style w:type="character" w:customStyle="1" w:styleId="Char1">
    <w:name w:val="批注文字 Char"/>
    <w:link w:val="a7"/>
    <w:uiPriority w:val="99"/>
    <w:semiHidden/>
    <w:rPr>
      <w:kern w:val="2"/>
      <w:sz w:val="21"/>
      <w:szCs w:val="22"/>
    </w:rPr>
  </w:style>
  <w:style w:type="character" w:customStyle="1" w:styleId="Char2">
    <w:name w:val="批注框文本 Char"/>
    <w:link w:val="a8"/>
    <w:uiPriority w:val="99"/>
    <w:semiHidden/>
    <w:rPr>
      <w:kern w:val="2"/>
      <w:sz w:val="18"/>
      <w:szCs w:val="18"/>
    </w:rPr>
  </w:style>
  <w:style w:type="character" w:customStyle="1" w:styleId="2Char">
    <w:name w:val="正文文本 2 Char"/>
    <w:link w:val="2"/>
    <w:rPr>
      <w:rFonts w:ascii="Times New Roman" w:hAnsi="Times New Roman"/>
      <w:kern w:val="2"/>
      <w:sz w:val="24"/>
    </w:rPr>
  </w:style>
  <w:style w:type="character" w:customStyle="1" w:styleId="Char3">
    <w:name w:val="页脚 Char"/>
    <w:link w:val="a9"/>
    <w:uiPriority w:val="99"/>
    <w:rPr>
      <w:sz w:val="18"/>
      <w:szCs w:val="18"/>
    </w:rPr>
  </w:style>
  <w:style w:type="character" w:customStyle="1" w:styleId="HTMLChar">
    <w:name w:val="HTML 预设格式 Char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7">
    <w:name w:val="annotation text"/>
    <w:basedOn w:val="a"/>
    <w:link w:val="Char1"/>
    <w:uiPriority w:val="99"/>
    <w:unhideWhenUsed/>
    <w:pPr>
      <w:jc w:val="left"/>
    </w:pPr>
  </w:style>
  <w:style w:type="paragraph" w:styleId="2">
    <w:name w:val="Body Text 2"/>
    <w:basedOn w:val="a"/>
    <w:link w:val="2Char"/>
    <w:rPr>
      <w:rFonts w:ascii="Times New Roman" w:hAnsi="Times New Roman"/>
      <w:sz w:val="24"/>
      <w:szCs w:val="20"/>
    </w:rPr>
  </w:style>
  <w:style w:type="paragraph" w:styleId="a3">
    <w:name w:val="annotation subject"/>
    <w:basedOn w:val="a7"/>
    <w:next w:val="a7"/>
    <w:link w:val="Char"/>
    <w:uiPriority w:val="99"/>
    <w:unhideWhenUsed/>
    <w:rPr>
      <w:b/>
      <w:bCs/>
    </w:rPr>
  </w:style>
  <w:style w:type="paragraph" w:styleId="a8">
    <w:name w:val="Balloon Text"/>
    <w:basedOn w:val="a"/>
    <w:link w:val="Char2"/>
    <w:uiPriority w:val="99"/>
    <w:unhideWhenUsed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-11">
    <w:name w:val="彩色列表 - 着色 1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encefu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1711</Characters>
  <Application>Microsoft Office Word</Application>
  <DocSecurity>4</DocSecurity>
  <PresentationFormat/>
  <Lines>14</Lines>
  <Paragraphs>4</Paragraphs>
  <Slides>0</Slides>
  <Notes>0</Notes>
  <HiddenSlides>0</HiddenSlides>
  <MMClips>0</MMClips>
  <ScaleCrop>false</ScaleCrop>
  <Company>Microsoft</Company>
  <LinksUpToDate>false</LinksUpToDate>
  <CharactersWithSpaces>2007</CharactersWithSpaces>
  <SharedDoc>false</SharedDoc>
  <HLinks>
    <vt:vector size="6" baseType="variant"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http://www.essencefund.com/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刘亦璇</dc:creator>
  <cp:keywords/>
  <cp:lastModifiedBy>ZHONGM</cp:lastModifiedBy>
  <cp:revision>2</cp:revision>
  <cp:lastPrinted>2012-11-14T02:03:00Z</cp:lastPrinted>
  <dcterms:created xsi:type="dcterms:W3CDTF">2020-11-19T16:01:00Z</dcterms:created>
  <dcterms:modified xsi:type="dcterms:W3CDTF">2020-11-19T16:01:00Z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