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80" w:rsidRPr="002A5080" w:rsidRDefault="002A5080" w:rsidP="002A5080">
      <w:pPr>
        <w:spacing w:line="360" w:lineRule="auto"/>
        <w:jc w:val="center"/>
        <w:rPr>
          <w:rFonts w:ascii="宋体" w:eastAsia="宋体" w:hAnsi="宋体" w:cs="宋体"/>
          <w:color w:val="000000" w:themeColor="text1"/>
          <w:kern w:val="0"/>
          <w:sz w:val="39"/>
          <w:szCs w:val="39"/>
        </w:rPr>
      </w:pPr>
    </w:p>
    <w:p w:rsidR="00837226" w:rsidRPr="00D10E05" w:rsidRDefault="002A5080" w:rsidP="002A5080">
      <w:pPr>
        <w:spacing w:line="360" w:lineRule="auto"/>
        <w:jc w:val="center"/>
        <w:rPr>
          <w:rFonts w:ascii="宋体" w:eastAsia="宋体" w:hAnsi="宋体" w:cs="宋体"/>
          <w:b/>
          <w:color w:val="000000" w:themeColor="text1"/>
          <w:kern w:val="0"/>
          <w:sz w:val="39"/>
          <w:szCs w:val="39"/>
        </w:rPr>
      </w:pPr>
      <w:r w:rsidRPr="00D10E05">
        <w:rPr>
          <w:rFonts w:ascii="宋体" w:eastAsia="宋体" w:hAnsi="宋体" w:cs="宋体" w:hint="eastAsia"/>
          <w:b/>
          <w:color w:val="000000" w:themeColor="text1"/>
          <w:kern w:val="0"/>
          <w:sz w:val="39"/>
          <w:szCs w:val="39"/>
        </w:rPr>
        <w:t>关于中银盛利纯债一年定期开放债券型证券投资基金（LOF）可能触发基金合同终止情形的</w:t>
      </w:r>
      <w:r w:rsidR="00FB3192" w:rsidRPr="00D10E05">
        <w:rPr>
          <w:rFonts w:ascii="宋体" w:eastAsia="宋体" w:hAnsi="宋体" w:cs="宋体" w:hint="eastAsia"/>
          <w:b/>
          <w:color w:val="000000" w:themeColor="text1"/>
          <w:kern w:val="0"/>
          <w:sz w:val="39"/>
          <w:szCs w:val="39"/>
        </w:rPr>
        <w:t>第</w:t>
      </w:r>
      <w:r w:rsidR="00B660C3" w:rsidRPr="00D10E05">
        <w:rPr>
          <w:rFonts w:ascii="宋体" w:eastAsia="宋体" w:hAnsi="宋体" w:cs="宋体" w:hint="eastAsia"/>
          <w:b/>
          <w:color w:val="000000" w:themeColor="text1"/>
          <w:kern w:val="0"/>
          <w:sz w:val="39"/>
          <w:szCs w:val="39"/>
        </w:rPr>
        <w:t>六</w:t>
      </w:r>
      <w:r w:rsidR="00FB3192" w:rsidRPr="00D10E05">
        <w:rPr>
          <w:rFonts w:ascii="宋体" w:eastAsia="宋体" w:hAnsi="宋体" w:cs="宋体" w:hint="eastAsia"/>
          <w:b/>
          <w:color w:val="000000" w:themeColor="text1"/>
          <w:kern w:val="0"/>
          <w:sz w:val="39"/>
          <w:szCs w:val="39"/>
        </w:rPr>
        <w:t>次</w:t>
      </w:r>
      <w:r w:rsidRPr="00D10E05">
        <w:rPr>
          <w:rFonts w:ascii="宋体" w:eastAsia="宋体" w:hAnsi="宋体" w:cs="宋体" w:hint="eastAsia"/>
          <w:b/>
          <w:color w:val="000000" w:themeColor="text1"/>
          <w:kern w:val="0"/>
          <w:sz w:val="39"/>
          <w:szCs w:val="39"/>
        </w:rPr>
        <w:t>提示性公告</w:t>
      </w:r>
      <w:r w:rsidR="00FE318C">
        <w:rPr>
          <w:rFonts w:ascii="宋体" w:eastAsia="宋体" w:hAnsi="宋体" w:cs="宋体" w:hint="eastAsia"/>
          <w:b/>
          <w:color w:val="000000" w:themeColor="text1"/>
          <w:kern w:val="0"/>
          <w:sz w:val="39"/>
          <w:szCs w:val="39"/>
        </w:rPr>
        <w:t>及停牌</w:t>
      </w:r>
      <w:r w:rsidR="00FE318C">
        <w:rPr>
          <w:rFonts w:ascii="宋体" w:eastAsia="宋体" w:hAnsi="宋体" w:cs="宋体"/>
          <w:b/>
          <w:color w:val="000000" w:themeColor="text1"/>
          <w:kern w:val="0"/>
          <w:sz w:val="39"/>
          <w:szCs w:val="39"/>
        </w:rPr>
        <w:t>的提示性公告</w:t>
      </w:r>
    </w:p>
    <w:p w:rsidR="002A5080" w:rsidRPr="002A5080" w:rsidRDefault="002A5080" w:rsidP="002A5080">
      <w:pPr>
        <w:spacing w:line="360" w:lineRule="auto"/>
        <w:jc w:val="center"/>
        <w:rPr>
          <w:rFonts w:ascii="宋体" w:eastAsia="宋体" w:hAnsi="宋体" w:cs="宋体"/>
          <w:color w:val="000000" w:themeColor="text1"/>
          <w:kern w:val="0"/>
          <w:sz w:val="39"/>
          <w:szCs w:val="39"/>
        </w:rPr>
      </w:pP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根据《中华人民共和国证券投资基金法》、《公开募集证券投资基金运作管理办法》、《中银盛利纯债一年定期开放债券型证券投资基金（LOF）基金合同》（以下简称“基金合同”或“《基金合同》”）的有关规定，鉴于中银盛利纯债一年定期开放债券型证券投资基金（LOF）（以下简称“本基金”）可能出现触发基金合同终止的情形，中银基金</w:t>
      </w:r>
      <w:bookmarkStart w:id="0" w:name="_GoBack"/>
      <w:bookmarkEnd w:id="0"/>
      <w:r w:rsidRPr="002A5080">
        <w:rPr>
          <w:rFonts w:ascii="宋体" w:eastAsia="宋体" w:hAnsi="宋体" w:cs="宋体" w:hint="eastAsia"/>
          <w:color w:val="000000" w:themeColor="text1"/>
          <w:kern w:val="0"/>
          <w:sz w:val="24"/>
          <w:szCs w:val="24"/>
        </w:rPr>
        <w:t>管理有限公司（以下简称“本基金管理人”）特将本基金相关情况</w:t>
      </w:r>
      <w:r w:rsidR="00661851">
        <w:rPr>
          <w:rFonts w:ascii="宋体" w:eastAsia="宋体" w:hAnsi="宋体" w:cs="宋体" w:hint="eastAsia"/>
          <w:color w:val="000000" w:themeColor="text1"/>
          <w:kern w:val="0"/>
          <w:sz w:val="24"/>
          <w:szCs w:val="24"/>
        </w:rPr>
        <w:t>、</w:t>
      </w:r>
      <w:r w:rsidRPr="002A5080">
        <w:rPr>
          <w:rFonts w:ascii="宋体" w:eastAsia="宋体" w:hAnsi="宋体" w:cs="宋体" w:hint="eastAsia"/>
          <w:color w:val="000000" w:themeColor="text1"/>
          <w:kern w:val="0"/>
          <w:sz w:val="24"/>
          <w:szCs w:val="24"/>
        </w:rPr>
        <w:t>风险</w:t>
      </w:r>
      <w:r w:rsidR="00FB3192">
        <w:rPr>
          <w:rFonts w:ascii="宋体" w:eastAsia="宋体" w:hAnsi="宋体" w:cs="宋体" w:hint="eastAsia"/>
          <w:color w:val="000000" w:themeColor="text1"/>
          <w:kern w:val="0"/>
          <w:sz w:val="24"/>
          <w:szCs w:val="24"/>
        </w:rPr>
        <w:t>进行</w:t>
      </w:r>
      <w:r w:rsidR="007D41CA">
        <w:rPr>
          <w:rFonts w:ascii="宋体" w:eastAsia="宋体" w:hAnsi="宋体" w:cs="宋体" w:hint="eastAsia"/>
          <w:color w:val="000000" w:themeColor="text1"/>
          <w:kern w:val="0"/>
          <w:sz w:val="24"/>
          <w:szCs w:val="24"/>
        </w:rPr>
        <w:t>第</w:t>
      </w:r>
      <w:r w:rsidR="00B660C3">
        <w:rPr>
          <w:rFonts w:ascii="宋体" w:eastAsia="宋体" w:hAnsi="宋体" w:cs="宋体" w:hint="eastAsia"/>
          <w:color w:val="000000" w:themeColor="text1"/>
          <w:kern w:val="0"/>
          <w:sz w:val="24"/>
          <w:szCs w:val="24"/>
        </w:rPr>
        <w:t>六</w:t>
      </w:r>
      <w:r w:rsidR="00FB3192">
        <w:rPr>
          <w:rFonts w:ascii="宋体" w:eastAsia="宋体" w:hAnsi="宋体" w:cs="宋体" w:hint="eastAsia"/>
          <w:color w:val="000000" w:themeColor="text1"/>
          <w:kern w:val="0"/>
          <w:sz w:val="24"/>
          <w:szCs w:val="24"/>
        </w:rPr>
        <w:t>次</w:t>
      </w:r>
      <w:r w:rsidRPr="002A5080">
        <w:rPr>
          <w:rFonts w:ascii="宋体" w:eastAsia="宋体" w:hAnsi="宋体" w:cs="宋体" w:hint="eastAsia"/>
          <w:color w:val="000000" w:themeColor="text1"/>
          <w:kern w:val="0"/>
          <w:sz w:val="24"/>
          <w:szCs w:val="24"/>
        </w:rPr>
        <w:t>提示</w:t>
      </w:r>
      <w:r w:rsidR="000C24DC">
        <w:rPr>
          <w:rFonts w:ascii="宋体" w:eastAsia="宋体" w:hAnsi="宋体" w:cs="宋体" w:hint="eastAsia"/>
          <w:color w:val="000000" w:themeColor="text1"/>
          <w:kern w:val="0"/>
          <w:sz w:val="24"/>
          <w:szCs w:val="24"/>
        </w:rPr>
        <w:t>及对</w:t>
      </w:r>
      <w:r w:rsidR="000C24DC">
        <w:rPr>
          <w:rFonts w:ascii="宋体" w:eastAsia="宋体" w:hAnsi="宋体" w:cs="宋体"/>
          <w:color w:val="000000" w:themeColor="text1"/>
          <w:kern w:val="0"/>
          <w:sz w:val="24"/>
          <w:szCs w:val="24"/>
        </w:rPr>
        <w:t>本基金停牌事宜进行提示</w:t>
      </w:r>
      <w:r w:rsidRPr="002A5080">
        <w:rPr>
          <w:rFonts w:ascii="宋体" w:eastAsia="宋体" w:hAnsi="宋体" w:cs="宋体" w:hint="eastAsia"/>
          <w:color w:val="000000" w:themeColor="text1"/>
          <w:kern w:val="0"/>
          <w:sz w:val="24"/>
          <w:szCs w:val="24"/>
        </w:rPr>
        <w:t>如下：</w:t>
      </w:r>
    </w:p>
    <w:p w:rsidR="002A5080" w:rsidRPr="002A5080" w:rsidRDefault="002A5080" w:rsidP="00BB77A6">
      <w:pPr>
        <w:spacing w:line="360" w:lineRule="auto"/>
        <w:ind w:firstLine="420"/>
        <w:rPr>
          <w:rFonts w:ascii="宋体" w:eastAsia="宋体" w:hAnsi="宋体" w:cs="宋体"/>
          <w:b/>
          <w:bCs/>
          <w:color w:val="000000" w:themeColor="text1"/>
          <w:kern w:val="0"/>
          <w:sz w:val="24"/>
          <w:szCs w:val="24"/>
        </w:rPr>
      </w:pPr>
      <w:r w:rsidRPr="002A5080">
        <w:rPr>
          <w:rFonts w:ascii="宋体" w:eastAsia="宋体" w:hAnsi="宋体" w:cs="宋体" w:hint="eastAsia"/>
          <w:b/>
          <w:bCs/>
          <w:color w:val="000000" w:themeColor="text1"/>
          <w:kern w:val="0"/>
          <w:sz w:val="24"/>
          <w:szCs w:val="24"/>
        </w:rPr>
        <w:t>一、本基金基本信息</w:t>
      </w:r>
    </w:p>
    <w:p w:rsidR="002A5080" w:rsidRP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基金名称：中银盛利纯债一年定期开放债券型证券投资基金（LOF）</w:t>
      </w:r>
    </w:p>
    <w:p w:rsidR="002A5080" w:rsidRP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基金简称及代码：中银盛利</w:t>
      </w:r>
      <w:r w:rsidR="00B14BF6">
        <w:rPr>
          <w:rFonts w:ascii="宋体" w:eastAsia="宋体" w:hAnsi="宋体" w:cs="宋体" w:hint="eastAsia"/>
          <w:color w:val="000000" w:themeColor="text1"/>
          <w:kern w:val="0"/>
          <w:sz w:val="24"/>
          <w:szCs w:val="24"/>
        </w:rPr>
        <w:t>定期开放</w:t>
      </w:r>
      <w:r w:rsidR="002A04E0">
        <w:rPr>
          <w:rFonts w:ascii="宋体" w:eastAsia="宋体" w:hAnsi="宋体" w:cs="宋体"/>
          <w:color w:val="000000" w:themeColor="text1"/>
          <w:kern w:val="0"/>
          <w:sz w:val="24"/>
          <w:szCs w:val="24"/>
        </w:rPr>
        <w:t>债券</w:t>
      </w:r>
      <w:r w:rsidR="003F123D">
        <w:rPr>
          <w:rFonts w:ascii="宋体" w:eastAsia="宋体" w:hAnsi="宋体" w:cs="宋体" w:hint="eastAsia"/>
          <w:color w:val="000000" w:themeColor="text1"/>
          <w:kern w:val="0"/>
          <w:sz w:val="24"/>
          <w:szCs w:val="24"/>
        </w:rPr>
        <w:t>(</w:t>
      </w:r>
      <w:r w:rsidR="00B14BF6">
        <w:rPr>
          <w:rFonts w:ascii="宋体" w:eastAsia="宋体" w:hAnsi="宋体" w:cs="宋体" w:hint="eastAsia"/>
          <w:color w:val="000000" w:themeColor="text1"/>
          <w:kern w:val="0"/>
          <w:sz w:val="24"/>
          <w:szCs w:val="24"/>
        </w:rPr>
        <w:t>LOF</w:t>
      </w:r>
      <w:r w:rsidR="003F123D">
        <w:rPr>
          <w:rFonts w:ascii="宋体" w:eastAsia="宋体" w:hAnsi="宋体" w:cs="宋体"/>
          <w:color w:val="000000" w:themeColor="text1"/>
          <w:kern w:val="0"/>
          <w:sz w:val="24"/>
          <w:szCs w:val="24"/>
        </w:rPr>
        <w:t>)</w:t>
      </w:r>
      <w:r w:rsidRPr="002A5080">
        <w:rPr>
          <w:rFonts w:ascii="宋体" w:eastAsia="宋体" w:hAnsi="宋体" w:cs="宋体" w:hint="eastAsia"/>
          <w:color w:val="000000" w:themeColor="text1"/>
          <w:kern w:val="0"/>
          <w:sz w:val="24"/>
          <w:szCs w:val="24"/>
        </w:rPr>
        <w:t>（场内简称：中银盛利）163824</w:t>
      </w:r>
    </w:p>
    <w:p w:rsidR="002A5080" w:rsidRP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基金运作方式：契约型、上市开放式</w:t>
      </w:r>
    </w:p>
    <w:p w:rsidR="002A5080" w:rsidRP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基金合同生效日：2013年8月8日</w:t>
      </w:r>
    </w:p>
    <w:p w:rsidR="002A5080" w:rsidRP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基金管理人名称：中银基金管理有限公司</w:t>
      </w:r>
    </w:p>
    <w:p w:rsidR="002A5080" w:rsidRP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基金托管人名称：中国工商银行股份有限公司</w:t>
      </w:r>
    </w:p>
    <w:p w:rsidR="002A5080" w:rsidRPr="00440815" w:rsidRDefault="002A5080" w:rsidP="00BB77A6">
      <w:pPr>
        <w:spacing w:line="360" w:lineRule="auto"/>
        <w:ind w:firstLine="420"/>
        <w:rPr>
          <w:rFonts w:ascii="宋体" w:eastAsia="宋体" w:hAnsi="宋体" w:cs="宋体"/>
          <w:b/>
          <w:bCs/>
          <w:color w:val="000000" w:themeColor="text1"/>
          <w:kern w:val="0"/>
          <w:sz w:val="24"/>
          <w:szCs w:val="24"/>
        </w:rPr>
      </w:pPr>
      <w:r w:rsidRPr="00440815">
        <w:rPr>
          <w:rFonts w:ascii="宋体" w:eastAsia="宋体" w:hAnsi="宋体" w:cs="宋体" w:hint="eastAsia"/>
          <w:b/>
          <w:bCs/>
          <w:color w:val="000000" w:themeColor="text1"/>
          <w:kern w:val="0"/>
          <w:sz w:val="24"/>
          <w:szCs w:val="24"/>
        </w:rPr>
        <w:t>二、基金合同终止情形</w:t>
      </w:r>
    </w:p>
    <w:p w:rsidR="00255376"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《基金合同》“第五部分 基金备案”中“三、基金存续期内的基金份额持有人数量和资产规模”</w:t>
      </w:r>
      <w:r w:rsidR="008E4F0D">
        <w:rPr>
          <w:rFonts w:ascii="宋体" w:eastAsia="宋体" w:hAnsi="宋体" w:cs="宋体" w:hint="eastAsia"/>
          <w:color w:val="000000" w:themeColor="text1"/>
          <w:kern w:val="0"/>
          <w:sz w:val="24"/>
          <w:szCs w:val="24"/>
        </w:rPr>
        <w:t>部分</w:t>
      </w:r>
      <w:r w:rsidRPr="002A5080">
        <w:rPr>
          <w:rFonts w:ascii="宋体" w:eastAsia="宋体" w:hAnsi="宋体" w:cs="宋体" w:hint="eastAsia"/>
          <w:color w:val="000000" w:themeColor="text1"/>
          <w:kern w:val="0"/>
          <w:sz w:val="24"/>
          <w:szCs w:val="24"/>
        </w:rPr>
        <w:t>约定：</w:t>
      </w:r>
    </w:p>
    <w:p w:rsidR="002A5080" w:rsidRPr="002A5080" w:rsidRDefault="00255376" w:rsidP="00BB77A6">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sidR="002A5080" w:rsidRPr="002A5080">
        <w:rPr>
          <w:rFonts w:ascii="宋体" w:eastAsia="宋体" w:hAnsi="宋体" w:cs="宋体" w:hint="eastAsia"/>
          <w:color w:val="000000" w:themeColor="text1"/>
          <w:kern w:val="0"/>
          <w:sz w:val="24"/>
          <w:szCs w:val="24"/>
        </w:rPr>
        <w:t>本基金自基金合同生效之日起，有下列情形之一的，基金管理人与基金托管人协商一致后，有权终止本基金合同：</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1、基金合同生效后，每个开放期期满时，基金份额持有人数量不满200人的；</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2、基金合同生效后，每个开放期期满时，基金资产净值低于5000万元的；</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3、基金合同生效后，每个开放期期满时，基金前十大份额持有人持有基金份额总数超过基金总份额90%的。</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lastRenderedPageBreak/>
        <w:t>由上述情形导致基金合同终止，不需召开基金份额持有人大会。</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color w:val="000000" w:themeColor="text1"/>
          <w:kern w:val="0"/>
          <w:sz w:val="24"/>
          <w:szCs w:val="24"/>
        </w:rPr>
        <w:t>法律法规另有规定时，从其规定。</w:t>
      </w:r>
      <w:r w:rsidR="00255376">
        <w:rPr>
          <w:rFonts w:ascii="宋体" w:eastAsia="宋体" w:hAnsi="宋体" w:cs="宋体" w:hint="eastAsia"/>
          <w:color w:val="000000" w:themeColor="text1"/>
          <w:kern w:val="0"/>
          <w:sz w:val="24"/>
          <w:szCs w:val="24"/>
        </w:rPr>
        <w:t>”</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截止</w:t>
      </w:r>
      <w:r w:rsidR="00F80AEE" w:rsidRPr="002A5080">
        <w:rPr>
          <w:rFonts w:ascii="宋体" w:eastAsia="宋体" w:hAnsi="宋体" w:cs="宋体" w:hint="eastAsia"/>
          <w:color w:val="000000" w:themeColor="text1"/>
          <w:kern w:val="0"/>
          <w:sz w:val="24"/>
          <w:szCs w:val="24"/>
        </w:rPr>
        <w:t>2020年11月</w:t>
      </w:r>
      <w:r w:rsidR="00317095">
        <w:rPr>
          <w:rFonts w:ascii="宋体" w:eastAsia="宋体" w:hAnsi="宋体" w:cs="宋体" w:hint="eastAsia"/>
          <w:color w:val="000000" w:themeColor="text1"/>
          <w:kern w:val="0"/>
          <w:sz w:val="24"/>
          <w:szCs w:val="24"/>
        </w:rPr>
        <w:t>13</w:t>
      </w:r>
      <w:r w:rsidRPr="002A5080">
        <w:rPr>
          <w:rFonts w:ascii="宋体" w:eastAsia="宋体" w:hAnsi="宋体" w:cs="宋体" w:hint="eastAsia"/>
          <w:color w:val="000000" w:themeColor="text1"/>
          <w:kern w:val="0"/>
          <w:sz w:val="24"/>
          <w:szCs w:val="24"/>
        </w:rPr>
        <w:t>日，本基金前十大份额持有人持有基金份额总数超过基金总份额90%，可能触发基金合同终止的情形。</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三、</w:t>
      </w:r>
      <w:r w:rsidRPr="002A5080">
        <w:rPr>
          <w:rFonts w:ascii="宋体" w:eastAsia="宋体" w:hAnsi="宋体" w:cs="宋体" w:hint="eastAsia"/>
          <w:b/>
          <w:bCs/>
          <w:color w:val="000000" w:themeColor="text1"/>
          <w:kern w:val="0"/>
          <w:sz w:val="24"/>
          <w:szCs w:val="24"/>
        </w:rPr>
        <w:t>其他需要提示的事项</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1.根据本基金管理人</w:t>
      </w:r>
      <w:r w:rsidR="002A04E0">
        <w:rPr>
          <w:rFonts w:ascii="宋体" w:eastAsia="宋体" w:hAnsi="宋体" w:cs="宋体" w:hint="eastAsia"/>
          <w:color w:val="000000" w:themeColor="text1"/>
          <w:kern w:val="0"/>
          <w:sz w:val="24"/>
          <w:szCs w:val="24"/>
        </w:rPr>
        <w:t>分别</w:t>
      </w:r>
      <w:r w:rsidRPr="002A5080">
        <w:rPr>
          <w:rFonts w:ascii="宋体" w:eastAsia="宋体" w:hAnsi="宋体" w:cs="宋体" w:hint="eastAsia"/>
          <w:color w:val="000000" w:themeColor="text1"/>
          <w:kern w:val="0"/>
          <w:sz w:val="24"/>
          <w:szCs w:val="24"/>
        </w:rPr>
        <w:t>于</w:t>
      </w:r>
      <w:r w:rsidR="00B26DD3">
        <w:rPr>
          <w:rFonts w:ascii="宋体" w:eastAsia="宋体" w:hAnsi="宋体" w:cs="宋体" w:hint="eastAsia"/>
          <w:color w:val="000000" w:themeColor="text1"/>
          <w:kern w:val="0"/>
          <w:sz w:val="24"/>
          <w:szCs w:val="24"/>
        </w:rPr>
        <w:t>2</w:t>
      </w:r>
      <w:r w:rsidR="00B26DD3">
        <w:rPr>
          <w:rFonts w:ascii="宋体" w:eastAsia="宋体" w:hAnsi="宋体" w:cs="宋体"/>
          <w:color w:val="000000" w:themeColor="text1"/>
          <w:kern w:val="0"/>
          <w:sz w:val="24"/>
          <w:szCs w:val="24"/>
        </w:rPr>
        <w:t>020年</w:t>
      </w:r>
      <w:r w:rsidR="00B26DD3">
        <w:rPr>
          <w:rFonts w:ascii="宋体" w:eastAsia="宋体" w:hAnsi="宋体" w:cs="宋体" w:hint="eastAsia"/>
          <w:color w:val="000000" w:themeColor="text1"/>
          <w:kern w:val="0"/>
          <w:sz w:val="24"/>
          <w:szCs w:val="24"/>
        </w:rPr>
        <w:t>1</w:t>
      </w:r>
      <w:r w:rsidR="00B26DD3">
        <w:rPr>
          <w:rFonts w:ascii="宋体" w:eastAsia="宋体" w:hAnsi="宋体" w:cs="宋体"/>
          <w:color w:val="000000" w:themeColor="text1"/>
          <w:kern w:val="0"/>
          <w:sz w:val="24"/>
          <w:szCs w:val="24"/>
        </w:rPr>
        <w:t>0月</w:t>
      </w:r>
      <w:r w:rsidR="00B26DD3">
        <w:rPr>
          <w:rFonts w:ascii="宋体" w:eastAsia="宋体" w:hAnsi="宋体" w:cs="宋体" w:hint="eastAsia"/>
          <w:color w:val="000000" w:themeColor="text1"/>
          <w:kern w:val="0"/>
          <w:sz w:val="24"/>
          <w:szCs w:val="24"/>
        </w:rPr>
        <w:t>1</w:t>
      </w:r>
      <w:r w:rsidR="00B26DD3">
        <w:rPr>
          <w:rFonts w:ascii="宋体" w:eastAsia="宋体" w:hAnsi="宋体" w:cs="宋体"/>
          <w:color w:val="000000" w:themeColor="text1"/>
          <w:kern w:val="0"/>
          <w:sz w:val="24"/>
          <w:szCs w:val="24"/>
        </w:rPr>
        <w:t>4日发布的</w:t>
      </w:r>
      <w:r w:rsidR="00B26DD3">
        <w:rPr>
          <w:rFonts w:ascii="宋体" w:eastAsia="宋体" w:hAnsi="宋体" w:cs="宋体" w:hint="eastAsia"/>
          <w:color w:val="000000" w:themeColor="text1"/>
          <w:kern w:val="0"/>
          <w:sz w:val="24"/>
          <w:szCs w:val="24"/>
        </w:rPr>
        <w:t>《中银盛利纯债一年定期开放债券型证券投资基金(</w:t>
      </w:r>
      <w:r w:rsidR="00B26DD3">
        <w:rPr>
          <w:rFonts w:ascii="宋体" w:eastAsia="宋体" w:hAnsi="宋体" w:cs="宋体"/>
          <w:color w:val="000000" w:themeColor="text1"/>
          <w:kern w:val="0"/>
          <w:sz w:val="24"/>
          <w:szCs w:val="24"/>
        </w:rPr>
        <w:t>LOF)开放日常申购</w:t>
      </w:r>
      <w:r w:rsidR="00B26DD3">
        <w:rPr>
          <w:rFonts w:ascii="宋体" w:eastAsia="宋体" w:hAnsi="宋体" w:cs="宋体" w:hint="eastAsia"/>
          <w:color w:val="000000" w:themeColor="text1"/>
          <w:kern w:val="0"/>
          <w:sz w:val="24"/>
          <w:szCs w:val="24"/>
        </w:rPr>
        <w:t>、</w:t>
      </w:r>
      <w:r w:rsidR="00B26DD3">
        <w:rPr>
          <w:rFonts w:ascii="宋体" w:eastAsia="宋体" w:hAnsi="宋体" w:cs="宋体"/>
          <w:color w:val="000000" w:themeColor="text1"/>
          <w:kern w:val="0"/>
          <w:sz w:val="24"/>
          <w:szCs w:val="24"/>
        </w:rPr>
        <w:t>赎回及转换业务的公告</w:t>
      </w:r>
      <w:r w:rsidR="00B26DD3">
        <w:rPr>
          <w:rFonts w:ascii="宋体" w:eastAsia="宋体" w:hAnsi="宋体" w:cs="宋体" w:hint="eastAsia"/>
          <w:color w:val="000000" w:themeColor="text1"/>
          <w:kern w:val="0"/>
          <w:sz w:val="24"/>
          <w:szCs w:val="24"/>
        </w:rPr>
        <w:t>》</w:t>
      </w:r>
      <w:r w:rsidR="002A04E0">
        <w:rPr>
          <w:rFonts w:ascii="宋体" w:eastAsia="宋体" w:hAnsi="宋体" w:cs="宋体" w:hint="eastAsia"/>
          <w:color w:val="000000" w:themeColor="text1"/>
          <w:kern w:val="0"/>
          <w:sz w:val="24"/>
          <w:szCs w:val="24"/>
        </w:rPr>
        <w:t>、</w:t>
      </w:r>
      <w:r w:rsidR="00B26DD3">
        <w:rPr>
          <w:rFonts w:ascii="宋体" w:eastAsia="宋体" w:hAnsi="宋体" w:cs="宋体" w:hint="eastAsia"/>
          <w:color w:val="000000" w:themeColor="text1"/>
          <w:kern w:val="0"/>
          <w:sz w:val="24"/>
          <w:szCs w:val="24"/>
        </w:rPr>
        <w:t>于</w:t>
      </w:r>
      <w:r w:rsidRPr="002A5080">
        <w:rPr>
          <w:rFonts w:ascii="宋体" w:eastAsia="宋体" w:hAnsi="宋体" w:cs="宋体" w:hint="eastAsia"/>
          <w:color w:val="000000" w:themeColor="text1"/>
          <w:kern w:val="0"/>
          <w:sz w:val="24"/>
          <w:szCs w:val="24"/>
        </w:rPr>
        <w:t>2020年10月28日发布的《</w:t>
      </w:r>
      <w:r w:rsidR="00B26DD3">
        <w:rPr>
          <w:rFonts w:ascii="宋体" w:eastAsia="宋体" w:hAnsi="宋体" w:cs="宋体" w:hint="eastAsia"/>
          <w:color w:val="000000" w:themeColor="text1"/>
          <w:kern w:val="0"/>
          <w:sz w:val="24"/>
          <w:szCs w:val="24"/>
        </w:rPr>
        <w:t>关于</w:t>
      </w:r>
      <w:r w:rsidRPr="002A5080">
        <w:rPr>
          <w:rFonts w:ascii="宋体" w:eastAsia="宋体" w:hAnsi="宋体" w:cs="宋体" w:hint="eastAsia"/>
          <w:color w:val="000000" w:themeColor="text1"/>
          <w:kern w:val="0"/>
          <w:sz w:val="24"/>
          <w:szCs w:val="24"/>
        </w:rPr>
        <w:t>中银盛利纯债一年定期开放债券型证券投资基金(LOF)暂停申购及转换转入业务的公告》,本基金</w:t>
      </w:r>
      <w:r w:rsidR="00B26DD3">
        <w:rPr>
          <w:rFonts w:ascii="宋体" w:eastAsia="宋体" w:hAnsi="宋体" w:cs="宋体" w:hint="eastAsia"/>
          <w:color w:val="000000" w:themeColor="text1"/>
          <w:kern w:val="0"/>
          <w:sz w:val="24"/>
          <w:szCs w:val="24"/>
        </w:rPr>
        <w:t>目前处于开放期，开放期最后一日为2</w:t>
      </w:r>
      <w:r w:rsidR="00B26DD3">
        <w:rPr>
          <w:rFonts w:ascii="宋体" w:eastAsia="宋体" w:hAnsi="宋体" w:cs="宋体"/>
          <w:color w:val="000000" w:themeColor="text1"/>
          <w:kern w:val="0"/>
          <w:sz w:val="24"/>
          <w:szCs w:val="24"/>
        </w:rPr>
        <w:t>020年</w:t>
      </w:r>
      <w:r w:rsidR="00B26DD3">
        <w:rPr>
          <w:rFonts w:ascii="宋体" w:eastAsia="宋体" w:hAnsi="宋体" w:cs="宋体" w:hint="eastAsia"/>
          <w:color w:val="000000" w:themeColor="text1"/>
          <w:kern w:val="0"/>
          <w:sz w:val="24"/>
          <w:szCs w:val="24"/>
        </w:rPr>
        <w:t>1</w:t>
      </w:r>
      <w:r w:rsidR="00B26DD3">
        <w:rPr>
          <w:rFonts w:ascii="宋体" w:eastAsia="宋体" w:hAnsi="宋体" w:cs="宋体"/>
          <w:color w:val="000000" w:themeColor="text1"/>
          <w:kern w:val="0"/>
          <w:sz w:val="24"/>
          <w:szCs w:val="24"/>
        </w:rPr>
        <w:t>1月</w:t>
      </w:r>
      <w:r w:rsidR="00B26DD3">
        <w:rPr>
          <w:rFonts w:ascii="宋体" w:eastAsia="宋体" w:hAnsi="宋体" w:cs="宋体" w:hint="eastAsia"/>
          <w:color w:val="000000" w:themeColor="text1"/>
          <w:kern w:val="0"/>
          <w:sz w:val="24"/>
          <w:szCs w:val="24"/>
        </w:rPr>
        <w:t>1</w:t>
      </w:r>
      <w:r w:rsidR="00B26DD3">
        <w:rPr>
          <w:rFonts w:ascii="宋体" w:eastAsia="宋体" w:hAnsi="宋体" w:cs="宋体"/>
          <w:color w:val="000000" w:themeColor="text1"/>
          <w:kern w:val="0"/>
          <w:sz w:val="24"/>
          <w:szCs w:val="24"/>
        </w:rPr>
        <w:t>3日</w:t>
      </w:r>
      <w:r w:rsidR="00B26DD3">
        <w:rPr>
          <w:rFonts w:ascii="宋体" w:eastAsia="宋体" w:hAnsi="宋体" w:cs="宋体" w:hint="eastAsia"/>
          <w:color w:val="000000" w:themeColor="text1"/>
          <w:kern w:val="0"/>
          <w:sz w:val="24"/>
          <w:szCs w:val="24"/>
        </w:rPr>
        <w:t>，</w:t>
      </w:r>
      <w:r w:rsidR="00B26DD3">
        <w:rPr>
          <w:rFonts w:ascii="宋体" w:eastAsia="宋体" w:hAnsi="宋体" w:cs="宋体"/>
          <w:color w:val="000000" w:themeColor="text1"/>
          <w:kern w:val="0"/>
          <w:sz w:val="24"/>
          <w:szCs w:val="24"/>
        </w:rPr>
        <w:t>开放期内本基金</w:t>
      </w:r>
      <w:r w:rsidRPr="002A5080">
        <w:rPr>
          <w:rFonts w:ascii="宋体" w:eastAsia="宋体" w:hAnsi="宋体" w:cs="宋体" w:hint="eastAsia"/>
          <w:color w:val="000000" w:themeColor="text1"/>
          <w:kern w:val="0"/>
          <w:sz w:val="24"/>
          <w:szCs w:val="24"/>
        </w:rPr>
        <w:t>赎回业务正常</w:t>
      </w:r>
      <w:r w:rsidR="004023DC">
        <w:rPr>
          <w:rFonts w:ascii="宋体" w:eastAsia="宋体" w:hAnsi="宋体" w:cs="宋体"/>
          <w:color w:val="000000" w:themeColor="text1"/>
          <w:kern w:val="0"/>
          <w:sz w:val="24"/>
          <w:szCs w:val="24"/>
        </w:rPr>
        <w:t>办理</w:t>
      </w:r>
      <w:r w:rsidRPr="002A5080">
        <w:rPr>
          <w:rFonts w:ascii="宋体" w:eastAsia="宋体" w:hAnsi="宋体" w:cs="宋体" w:hint="eastAsia"/>
          <w:color w:val="000000" w:themeColor="text1"/>
          <w:kern w:val="0"/>
          <w:sz w:val="24"/>
          <w:szCs w:val="24"/>
        </w:rPr>
        <w:t>。</w:t>
      </w:r>
    </w:p>
    <w:p w:rsidR="002A5080" w:rsidRPr="002A5080" w:rsidRDefault="002A5080" w:rsidP="00BB77A6">
      <w:pPr>
        <w:spacing w:line="360" w:lineRule="auto"/>
        <w:ind w:firstLineChars="200" w:firstLine="48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2.若截至2020年11月13日日终，本基金前十大份额持有人持有基金份额总数超过基金总份额90%的，基金合同将终止。若出现上述情形，则自2020年11月1</w:t>
      </w:r>
      <w:r w:rsidR="00CA09C8">
        <w:rPr>
          <w:rFonts w:ascii="宋体" w:eastAsia="宋体" w:hAnsi="宋体" w:cs="宋体"/>
          <w:color w:val="000000" w:themeColor="text1"/>
          <w:kern w:val="0"/>
          <w:sz w:val="24"/>
          <w:szCs w:val="24"/>
        </w:rPr>
        <w:t>7</w:t>
      </w:r>
      <w:r w:rsidRPr="002A5080">
        <w:rPr>
          <w:rFonts w:ascii="宋体" w:eastAsia="宋体" w:hAnsi="宋体" w:cs="宋体" w:hint="eastAsia"/>
          <w:color w:val="000000" w:themeColor="text1"/>
          <w:kern w:val="0"/>
          <w:sz w:val="24"/>
          <w:szCs w:val="24"/>
        </w:rPr>
        <w:t>日起，本基金将进入基金资产清算程序；</w:t>
      </w:r>
      <w:r w:rsidRPr="00FE318C">
        <w:rPr>
          <w:rFonts w:ascii="宋体" w:eastAsia="宋体" w:hAnsi="宋体" w:cs="宋体" w:hint="eastAsia"/>
          <w:b/>
          <w:color w:val="000000" w:themeColor="text1"/>
          <w:kern w:val="0"/>
          <w:sz w:val="24"/>
          <w:szCs w:val="24"/>
        </w:rPr>
        <w:t>中银盛利</w:t>
      </w:r>
      <w:r w:rsidR="003F123D" w:rsidRPr="00FE318C">
        <w:rPr>
          <w:rFonts w:ascii="宋体" w:eastAsia="宋体" w:hAnsi="宋体" w:cs="宋体" w:hint="eastAsia"/>
          <w:b/>
          <w:color w:val="000000" w:themeColor="text1"/>
          <w:kern w:val="0"/>
          <w:sz w:val="24"/>
          <w:szCs w:val="24"/>
        </w:rPr>
        <w:t>定期开放</w:t>
      </w:r>
      <w:r w:rsidR="003F123D" w:rsidRPr="00FE318C">
        <w:rPr>
          <w:rFonts w:ascii="宋体" w:eastAsia="宋体" w:hAnsi="宋体" w:cs="宋体"/>
          <w:b/>
          <w:color w:val="000000" w:themeColor="text1"/>
          <w:kern w:val="0"/>
          <w:sz w:val="24"/>
          <w:szCs w:val="24"/>
        </w:rPr>
        <w:t>债券</w:t>
      </w:r>
      <w:r w:rsidR="003F123D" w:rsidRPr="00FE318C">
        <w:rPr>
          <w:rFonts w:ascii="宋体" w:eastAsia="宋体" w:hAnsi="宋体" w:cs="宋体" w:hint="eastAsia"/>
          <w:b/>
          <w:color w:val="000000" w:themeColor="text1"/>
          <w:kern w:val="0"/>
          <w:sz w:val="24"/>
          <w:szCs w:val="24"/>
        </w:rPr>
        <w:t>(LO</w:t>
      </w:r>
      <w:r w:rsidR="003F123D" w:rsidRPr="00FE318C">
        <w:rPr>
          <w:rFonts w:ascii="宋体" w:eastAsia="宋体" w:hAnsi="宋体" w:cs="宋体"/>
          <w:b/>
          <w:color w:val="000000" w:themeColor="text1"/>
          <w:kern w:val="0"/>
          <w:sz w:val="24"/>
          <w:szCs w:val="24"/>
        </w:rPr>
        <w:t>F)</w:t>
      </w:r>
      <w:r w:rsidRPr="00FE318C">
        <w:rPr>
          <w:rFonts w:ascii="宋体" w:eastAsia="宋体" w:hAnsi="宋体" w:cs="宋体" w:hint="eastAsia"/>
          <w:b/>
          <w:color w:val="000000" w:themeColor="text1"/>
          <w:kern w:val="0"/>
          <w:sz w:val="24"/>
          <w:szCs w:val="24"/>
        </w:rPr>
        <w:t>（场内简称：中银盛利）将于2020年11月1</w:t>
      </w:r>
      <w:r w:rsidR="005267D6" w:rsidRPr="00FE318C">
        <w:rPr>
          <w:rFonts w:ascii="宋体" w:eastAsia="宋体" w:hAnsi="宋体" w:cs="宋体"/>
          <w:b/>
          <w:color w:val="000000" w:themeColor="text1"/>
          <w:kern w:val="0"/>
          <w:sz w:val="24"/>
          <w:szCs w:val="24"/>
        </w:rPr>
        <w:t>7</w:t>
      </w:r>
      <w:r w:rsidRPr="00FE318C">
        <w:rPr>
          <w:rFonts w:ascii="宋体" w:eastAsia="宋体" w:hAnsi="宋体" w:cs="宋体" w:hint="eastAsia"/>
          <w:b/>
          <w:color w:val="000000" w:themeColor="text1"/>
          <w:kern w:val="0"/>
          <w:sz w:val="24"/>
          <w:szCs w:val="24"/>
        </w:rPr>
        <w:t>日开始停牌直至终止上市</w:t>
      </w:r>
      <w:r w:rsidRPr="002A5080">
        <w:rPr>
          <w:rFonts w:ascii="宋体" w:eastAsia="宋体" w:hAnsi="宋体" w:cs="宋体" w:hint="eastAsia"/>
          <w:color w:val="000000" w:themeColor="text1"/>
          <w:kern w:val="0"/>
          <w:sz w:val="24"/>
          <w:szCs w:val="24"/>
        </w:rPr>
        <w:t>，基金管理人将按照深圳证券交易所规定办理基金终止上市等事宜，具体详见终止上市相关公告。</w:t>
      </w:r>
    </w:p>
    <w:p w:rsidR="002A5080" w:rsidRPr="002A5080" w:rsidRDefault="002A5080" w:rsidP="00BB77A6">
      <w:pPr>
        <w:spacing w:line="360" w:lineRule="auto"/>
        <w:ind w:firstLineChars="200" w:firstLine="480"/>
        <w:rPr>
          <w:rFonts w:ascii="宋体" w:eastAsia="宋体" w:hAnsi="宋体"/>
          <w:bCs/>
          <w:color w:val="000000" w:themeColor="text1"/>
          <w:sz w:val="24"/>
        </w:rPr>
      </w:pPr>
      <w:r w:rsidRPr="002A5080">
        <w:rPr>
          <w:rFonts w:ascii="宋体" w:eastAsia="宋体" w:hAnsi="宋体" w:cs="宋体" w:hint="eastAsia"/>
          <w:color w:val="000000" w:themeColor="text1"/>
          <w:kern w:val="0"/>
          <w:sz w:val="24"/>
          <w:szCs w:val="24"/>
        </w:rPr>
        <w:t>3.自出现</w:t>
      </w:r>
      <w:r w:rsidR="00BB77A6">
        <w:rPr>
          <w:rFonts w:ascii="宋体" w:eastAsia="宋体" w:hAnsi="宋体" w:cs="宋体" w:hint="eastAsia"/>
          <w:color w:val="000000" w:themeColor="text1"/>
          <w:kern w:val="0"/>
          <w:sz w:val="24"/>
          <w:szCs w:val="24"/>
        </w:rPr>
        <w:t>《</w:t>
      </w:r>
      <w:r w:rsidRPr="002A5080">
        <w:rPr>
          <w:rFonts w:ascii="宋体" w:eastAsia="宋体" w:hAnsi="宋体" w:cs="宋体" w:hint="eastAsia"/>
          <w:color w:val="000000" w:themeColor="text1"/>
          <w:kern w:val="0"/>
          <w:sz w:val="24"/>
          <w:szCs w:val="24"/>
        </w:rPr>
        <w:t>基金合同</w:t>
      </w:r>
      <w:r w:rsidR="00BB77A6">
        <w:rPr>
          <w:rFonts w:ascii="宋体" w:eastAsia="宋体" w:hAnsi="宋体" w:cs="宋体" w:hint="eastAsia"/>
          <w:color w:val="000000" w:themeColor="text1"/>
          <w:kern w:val="0"/>
          <w:sz w:val="24"/>
          <w:szCs w:val="24"/>
        </w:rPr>
        <w:t>》</w:t>
      </w:r>
      <w:r w:rsidRPr="002A5080">
        <w:rPr>
          <w:rFonts w:ascii="宋体" w:eastAsia="宋体" w:hAnsi="宋体" w:cs="宋体" w:hint="eastAsia"/>
          <w:color w:val="000000" w:themeColor="text1"/>
          <w:kern w:val="0"/>
          <w:sz w:val="24"/>
          <w:szCs w:val="24"/>
        </w:rPr>
        <w:t>终止事由之日起</w:t>
      </w:r>
      <w:r w:rsidR="00BB77A6">
        <w:rPr>
          <w:rFonts w:ascii="宋体" w:eastAsia="宋体" w:hAnsi="宋体" w:cs="宋体" w:hint="eastAsia"/>
          <w:color w:val="000000" w:themeColor="text1"/>
          <w:kern w:val="0"/>
          <w:sz w:val="24"/>
          <w:szCs w:val="24"/>
        </w:rPr>
        <w:t>30</w:t>
      </w:r>
      <w:r w:rsidRPr="002A5080">
        <w:rPr>
          <w:rFonts w:ascii="宋体" w:eastAsia="宋体" w:hAnsi="宋体" w:cs="宋体" w:hint="eastAsia"/>
          <w:color w:val="000000" w:themeColor="text1"/>
          <w:kern w:val="0"/>
          <w:sz w:val="24"/>
          <w:szCs w:val="24"/>
        </w:rPr>
        <w:t>个工作日内成立清算小组，基金管理人组织基金财产清算小组并在中国证监会的监督下进行基金清算。依据基金财产清算的分配方案，将基金财产清算后的全部剩余资产扣除基金财产清算费用、交纳所欠税款并清偿基金债务后，按基金份额持有人持有的基金份额比例进行分配。</w:t>
      </w:r>
    </w:p>
    <w:p w:rsidR="002A5080" w:rsidRDefault="002A5080" w:rsidP="00BB77A6">
      <w:pPr>
        <w:spacing w:line="360" w:lineRule="auto"/>
        <w:ind w:firstLine="420"/>
        <w:rPr>
          <w:rFonts w:ascii="宋体" w:eastAsia="宋体" w:hAnsi="宋体" w:cs="宋体"/>
          <w:b/>
          <w:bCs/>
          <w:color w:val="000000" w:themeColor="text1"/>
          <w:kern w:val="0"/>
          <w:sz w:val="24"/>
          <w:szCs w:val="24"/>
        </w:rPr>
      </w:pPr>
      <w:r w:rsidRPr="00440815">
        <w:rPr>
          <w:rFonts w:ascii="宋体" w:eastAsia="宋体" w:hAnsi="宋体" w:cs="宋体" w:hint="eastAsia"/>
          <w:b/>
          <w:bCs/>
          <w:color w:val="000000" w:themeColor="text1"/>
          <w:kern w:val="0"/>
          <w:sz w:val="24"/>
          <w:szCs w:val="24"/>
        </w:rPr>
        <w:t>四、风险提示</w:t>
      </w:r>
    </w:p>
    <w:p w:rsidR="00BB77A6" w:rsidRPr="00BB77A6" w:rsidRDefault="00BB77A6" w:rsidP="00BB77A6">
      <w:pPr>
        <w:spacing w:line="36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sidRPr="00BB77A6">
        <w:rPr>
          <w:rFonts w:ascii="宋体" w:eastAsia="宋体" w:hAnsi="宋体" w:cs="宋体" w:hint="eastAsia"/>
          <w:color w:val="000000" w:themeColor="text1"/>
          <w:kern w:val="0"/>
          <w:sz w:val="24"/>
          <w:szCs w:val="24"/>
        </w:rPr>
        <w:t>投资者欲了解上述基金产品的详细情况，请仔细阅读基金合同或招募说明书及其更新等法律文件。</w:t>
      </w:r>
    </w:p>
    <w:p w:rsidR="002A5080" w:rsidRPr="002A5080" w:rsidRDefault="00BB77A6" w:rsidP="00BB77A6">
      <w:pPr>
        <w:spacing w:line="36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sidR="002A5080" w:rsidRPr="002A5080">
        <w:rPr>
          <w:rFonts w:ascii="宋体" w:eastAsia="宋体" w:hAnsi="宋体" w:cs="宋体" w:hint="eastAsia"/>
          <w:color w:val="000000" w:themeColor="text1"/>
          <w:kern w:val="0"/>
          <w:sz w:val="24"/>
          <w:szCs w:val="24"/>
        </w:rPr>
        <w:t>基金管理人承诺以诚实信用、勤勉尽责的原则管理和运用基金资产，并在履行必要手续后向投资者及时公告包括终止上市日、基金最后运作日、基金财产清算等后续安排，敬请投资者关注。</w:t>
      </w:r>
    </w:p>
    <w:p w:rsidR="002A5080" w:rsidRPr="002A5080" w:rsidRDefault="00BB77A6" w:rsidP="00BB77A6">
      <w:pPr>
        <w:spacing w:line="36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sidR="002A5080" w:rsidRPr="002A5080">
        <w:rPr>
          <w:rFonts w:ascii="宋体" w:eastAsia="宋体" w:hAnsi="宋体" w:cs="宋体" w:hint="eastAsia"/>
          <w:color w:val="000000" w:themeColor="text1"/>
          <w:kern w:val="0"/>
          <w:sz w:val="24"/>
          <w:szCs w:val="24"/>
        </w:rPr>
        <w:t>本基金正式进入清算程序后，投资者将无法办理本基金的申购、赎回和交易等业务，基金财产将在基金财产清算组履行完毕清算程序后进行分配。</w:t>
      </w:r>
      <w:r w:rsidR="00AD0B04">
        <w:rPr>
          <w:rFonts w:ascii="宋体" w:eastAsia="宋体" w:hAnsi="宋体" w:cs="宋体" w:hint="eastAsia"/>
          <w:color w:val="000000" w:themeColor="text1"/>
          <w:kern w:val="0"/>
          <w:sz w:val="24"/>
          <w:szCs w:val="24"/>
        </w:rPr>
        <w:t>本次</w:t>
      </w:r>
      <w:r w:rsidR="00AD0B04">
        <w:rPr>
          <w:rFonts w:ascii="宋体" w:eastAsia="宋体" w:hAnsi="宋体" w:cs="宋体" w:hint="eastAsia"/>
          <w:color w:val="000000" w:themeColor="text1"/>
          <w:kern w:val="0"/>
          <w:sz w:val="24"/>
          <w:szCs w:val="24"/>
        </w:rPr>
        <w:lastRenderedPageBreak/>
        <w:t>开放期内</w:t>
      </w:r>
      <w:r w:rsidR="002A5080" w:rsidRPr="002A5080">
        <w:rPr>
          <w:rFonts w:ascii="宋体" w:eastAsia="宋体" w:hAnsi="宋体" w:cs="宋体" w:hint="eastAsia"/>
          <w:color w:val="000000" w:themeColor="text1"/>
          <w:kern w:val="0"/>
          <w:sz w:val="24"/>
          <w:szCs w:val="24"/>
        </w:rPr>
        <w:t>，</w:t>
      </w:r>
      <w:r w:rsidR="00623E3A">
        <w:rPr>
          <w:rFonts w:ascii="宋体" w:eastAsia="宋体" w:hAnsi="宋体" w:cs="宋体" w:hint="eastAsia"/>
          <w:color w:val="000000" w:themeColor="text1"/>
          <w:kern w:val="0"/>
          <w:sz w:val="24"/>
          <w:szCs w:val="24"/>
        </w:rPr>
        <w:t>本基金</w:t>
      </w:r>
      <w:r w:rsidR="002A5080" w:rsidRPr="002A5080">
        <w:rPr>
          <w:rFonts w:ascii="宋体" w:eastAsia="宋体" w:hAnsi="宋体" w:cs="宋体" w:hint="eastAsia"/>
          <w:color w:val="000000" w:themeColor="text1"/>
          <w:kern w:val="0"/>
          <w:sz w:val="24"/>
          <w:szCs w:val="24"/>
        </w:rPr>
        <w:t>仍然正常开放赎回业务，敬请投资者注意投资风险，并提醒参与二级市场交易的投资者关注终止上市风险，妥善做好投资安排。</w:t>
      </w:r>
    </w:p>
    <w:p w:rsidR="00BB77A6" w:rsidRPr="00BB77A6" w:rsidRDefault="00BB77A6" w:rsidP="00BB77A6">
      <w:pPr>
        <w:spacing w:line="360" w:lineRule="auto"/>
        <w:ind w:firstLine="4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sidRPr="00BB77A6">
        <w:rPr>
          <w:rFonts w:ascii="宋体" w:eastAsia="宋体" w:hAnsi="宋体" w:cs="宋体" w:hint="eastAsia"/>
          <w:color w:val="000000" w:themeColor="text1"/>
          <w:kern w:val="0"/>
          <w:sz w:val="24"/>
          <w:szCs w:val="24"/>
        </w:rPr>
        <w:t>投资者可登陆本公司网站（</w:t>
      </w:r>
      <w:r w:rsidRPr="00BB77A6">
        <w:rPr>
          <w:rFonts w:ascii="宋体" w:eastAsia="宋体" w:hAnsi="宋体" w:cs="宋体"/>
          <w:color w:val="000000" w:themeColor="text1"/>
          <w:kern w:val="0"/>
          <w:sz w:val="24"/>
          <w:szCs w:val="24"/>
        </w:rPr>
        <w:t>www.bocim.com</w:t>
      </w:r>
      <w:r w:rsidRPr="00BB77A6">
        <w:rPr>
          <w:rFonts w:ascii="宋体" w:eastAsia="宋体" w:hAnsi="宋体" w:cs="宋体" w:hint="eastAsia"/>
          <w:color w:val="000000" w:themeColor="text1"/>
          <w:kern w:val="0"/>
          <w:sz w:val="24"/>
          <w:szCs w:val="24"/>
        </w:rPr>
        <w:t>）或拨打客户服务电话（</w:t>
      </w:r>
      <w:r w:rsidRPr="00BB77A6">
        <w:rPr>
          <w:rFonts w:ascii="宋体" w:eastAsia="宋体" w:hAnsi="宋体" w:cs="宋体"/>
          <w:color w:val="000000" w:themeColor="text1"/>
          <w:kern w:val="0"/>
          <w:sz w:val="24"/>
          <w:szCs w:val="24"/>
        </w:rPr>
        <w:t>021-3883 4788/400-888-5566</w:t>
      </w:r>
      <w:r w:rsidRPr="00BB77A6">
        <w:rPr>
          <w:rFonts w:ascii="宋体" w:eastAsia="宋体" w:hAnsi="宋体" w:cs="宋体" w:hint="eastAsia"/>
          <w:color w:val="000000" w:themeColor="text1"/>
          <w:kern w:val="0"/>
          <w:sz w:val="24"/>
          <w:szCs w:val="24"/>
        </w:rPr>
        <w:t>）咨询有关事宜。</w:t>
      </w:r>
    </w:p>
    <w:p w:rsidR="002A5080" w:rsidRDefault="002A5080" w:rsidP="00BB77A6">
      <w:pPr>
        <w:spacing w:line="360" w:lineRule="auto"/>
        <w:ind w:firstLine="420"/>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特此公告。</w:t>
      </w:r>
    </w:p>
    <w:p w:rsidR="00440815" w:rsidRPr="002A5080" w:rsidRDefault="00440815" w:rsidP="00BB77A6">
      <w:pPr>
        <w:spacing w:line="360" w:lineRule="auto"/>
        <w:ind w:firstLine="420"/>
        <w:rPr>
          <w:rFonts w:ascii="宋体" w:eastAsia="宋体" w:hAnsi="宋体" w:cs="宋体"/>
          <w:color w:val="000000" w:themeColor="text1"/>
          <w:kern w:val="0"/>
          <w:sz w:val="24"/>
          <w:szCs w:val="24"/>
        </w:rPr>
      </w:pPr>
    </w:p>
    <w:p w:rsidR="002A5080" w:rsidRPr="002A5080" w:rsidRDefault="002A5080" w:rsidP="00BB77A6">
      <w:pPr>
        <w:spacing w:line="360" w:lineRule="auto"/>
        <w:ind w:firstLine="420"/>
        <w:jc w:val="right"/>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中银基金管理有限公司</w:t>
      </w:r>
    </w:p>
    <w:p w:rsidR="002A5080" w:rsidRPr="002A5080" w:rsidRDefault="007D41CA" w:rsidP="00BB77A6">
      <w:pPr>
        <w:spacing w:line="360" w:lineRule="auto"/>
        <w:ind w:firstLine="420"/>
        <w:jc w:val="right"/>
        <w:rPr>
          <w:rFonts w:ascii="宋体" w:eastAsia="宋体" w:hAnsi="宋体" w:cs="宋体"/>
          <w:color w:val="000000" w:themeColor="text1"/>
          <w:kern w:val="0"/>
          <w:sz w:val="24"/>
          <w:szCs w:val="24"/>
        </w:rPr>
      </w:pPr>
      <w:r w:rsidRPr="002A5080">
        <w:rPr>
          <w:rFonts w:ascii="宋体" w:eastAsia="宋体" w:hAnsi="宋体" w:cs="宋体" w:hint="eastAsia"/>
          <w:color w:val="000000" w:themeColor="text1"/>
          <w:kern w:val="0"/>
          <w:sz w:val="24"/>
          <w:szCs w:val="24"/>
        </w:rPr>
        <w:t>2020年11月</w:t>
      </w:r>
      <w:r>
        <w:rPr>
          <w:rFonts w:ascii="宋体" w:eastAsia="宋体" w:hAnsi="宋体" w:cs="宋体" w:hint="eastAsia"/>
          <w:color w:val="000000" w:themeColor="text1"/>
          <w:kern w:val="0"/>
          <w:sz w:val="24"/>
          <w:szCs w:val="24"/>
        </w:rPr>
        <w:t>1</w:t>
      </w:r>
      <w:r w:rsidR="00B660C3">
        <w:rPr>
          <w:rFonts w:ascii="宋体" w:eastAsia="宋体" w:hAnsi="宋体" w:cs="宋体" w:hint="eastAsia"/>
          <w:color w:val="000000" w:themeColor="text1"/>
          <w:kern w:val="0"/>
          <w:sz w:val="24"/>
          <w:szCs w:val="24"/>
        </w:rPr>
        <w:t>6</w:t>
      </w:r>
      <w:r w:rsidR="002A5080" w:rsidRPr="002A5080">
        <w:rPr>
          <w:rFonts w:ascii="宋体" w:eastAsia="宋体" w:hAnsi="宋体" w:cs="宋体" w:hint="eastAsia"/>
          <w:color w:val="000000" w:themeColor="text1"/>
          <w:kern w:val="0"/>
          <w:sz w:val="24"/>
          <w:szCs w:val="24"/>
        </w:rPr>
        <w:t>日</w:t>
      </w:r>
    </w:p>
    <w:p w:rsidR="002A5080" w:rsidRPr="002A5080" w:rsidRDefault="002A5080" w:rsidP="002A5080">
      <w:pPr>
        <w:spacing w:line="360" w:lineRule="auto"/>
        <w:rPr>
          <w:rFonts w:ascii="宋体" w:eastAsia="宋体" w:hAnsi="宋体"/>
          <w:color w:val="000000" w:themeColor="text1"/>
        </w:rPr>
      </w:pPr>
    </w:p>
    <w:sectPr w:rsidR="002A5080" w:rsidRPr="002A5080" w:rsidSect="00C354B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682" w:rsidRDefault="00AC6682" w:rsidP="00BB77A6">
      <w:r>
        <w:separator/>
      </w:r>
    </w:p>
  </w:endnote>
  <w:endnote w:type="continuationSeparator" w:id="0">
    <w:p w:rsidR="00AC6682" w:rsidRDefault="00AC6682" w:rsidP="00BB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82353"/>
      <w:docPartObj>
        <w:docPartGallery w:val="Page Numbers (Bottom of Page)"/>
        <w:docPartUnique/>
      </w:docPartObj>
    </w:sdtPr>
    <w:sdtContent>
      <w:p w:rsidR="00BB77A6" w:rsidRDefault="00C354B6">
        <w:pPr>
          <w:pStyle w:val="a5"/>
          <w:jc w:val="center"/>
        </w:pPr>
        <w:r>
          <w:fldChar w:fldCharType="begin"/>
        </w:r>
        <w:r w:rsidR="00BB77A6">
          <w:instrText>PAGE   \* MERGEFORMAT</w:instrText>
        </w:r>
        <w:r>
          <w:fldChar w:fldCharType="separate"/>
        </w:r>
        <w:r w:rsidR="00463772" w:rsidRPr="00463772">
          <w:rPr>
            <w:noProof/>
            <w:lang w:val="zh-CN"/>
          </w:rPr>
          <w:t>1</w:t>
        </w:r>
        <w:r>
          <w:fldChar w:fldCharType="end"/>
        </w:r>
      </w:p>
    </w:sdtContent>
  </w:sdt>
  <w:p w:rsidR="00BB77A6" w:rsidRDefault="00BB77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682" w:rsidRDefault="00AC6682" w:rsidP="00BB77A6">
      <w:r>
        <w:separator/>
      </w:r>
    </w:p>
  </w:footnote>
  <w:footnote w:type="continuationSeparator" w:id="0">
    <w:p w:rsidR="00AC6682" w:rsidRDefault="00AC6682" w:rsidP="00BB7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485D"/>
    <w:multiLevelType w:val="hybridMultilevel"/>
    <w:tmpl w:val="06843B38"/>
    <w:lvl w:ilvl="0" w:tplc="2A7E8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5080"/>
    <w:rsid w:val="000A36AC"/>
    <w:rsid w:val="000C24DC"/>
    <w:rsid w:val="000E61E4"/>
    <w:rsid w:val="00114C6F"/>
    <w:rsid w:val="001661D2"/>
    <w:rsid w:val="0022046F"/>
    <w:rsid w:val="00222878"/>
    <w:rsid w:val="00255376"/>
    <w:rsid w:val="00271497"/>
    <w:rsid w:val="00294382"/>
    <w:rsid w:val="002A04E0"/>
    <w:rsid w:val="002A5080"/>
    <w:rsid w:val="002E45B8"/>
    <w:rsid w:val="00314ECD"/>
    <w:rsid w:val="00317095"/>
    <w:rsid w:val="00392CDF"/>
    <w:rsid w:val="003B1242"/>
    <w:rsid w:val="003B3CBB"/>
    <w:rsid w:val="003F123D"/>
    <w:rsid w:val="004023DC"/>
    <w:rsid w:val="00440815"/>
    <w:rsid w:val="00463772"/>
    <w:rsid w:val="00480433"/>
    <w:rsid w:val="004F268D"/>
    <w:rsid w:val="005248F4"/>
    <w:rsid w:val="005267D6"/>
    <w:rsid w:val="00557C19"/>
    <w:rsid w:val="005656E8"/>
    <w:rsid w:val="0060551E"/>
    <w:rsid w:val="00616952"/>
    <w:rsid w:val="00623E3A"/>
    <w:rsid w:val="00661851"/>
    <w:rsid w:val="006865D8"/>
    <w:rsid w:val="006B34BE"/>
    <w:rsid w:val="006E49EF"/>
    <w:rsid w:val="0076537C"/>
    <w:rsid w:val="00766046"/>
    <w:rsid w:val="007D41CA"/>
    <w:rsid w:val="00817AA0"/>
    <w:rsid w:val="008261F5"/>
    <w:rsid w:val="008352EF"/>
    <w:rsid w:val="00837226"/>
    <w:rsid w:val="00852069"/>
    <w:rsid w:val="008E4F0D"/>
    <w:rsid w:val="009028B5"/>
    <w:rsid w:val="0098409A"/>
    <w:rsid w:val="00996CC1"/>
    <w:rsid w:val="00997DFE"/>
    <w:rsid w:val="00A00CD8"/>
    <w:rsid w:val="00A05C68"/>
    <w:rsid w:val="00A22B52"/>
    <w:rsid w:val="00A746D9"/>
    <w:rsid w:val="00AC6682"/>
    <w:rsid w:val="00AD0B04"/>
    <w:rsid w:val="00B14BF6"/>
    <w:rsid w:val="00B26DD3"/>
    <w:rsid w:val="00B660C3"/>
    <w:rsid w:val="00B7728E"/>
    <w:rsid w:val="00B94E25"/>
    <w:rsid w:val="00BB77A6"/>
    <w:rsid w:val="00BE385B"/>
    <w:rsid w:val="00C34915"/>
    <w:rsid w:val="00C354B6"/>
    <w:rsid w:val="00CA09C8"/>
    <w:rsid w:val="00CD2F09"/>
    <w:rsid w:val="00CF30BD"/>
    <w:rsid w:val="00D10E05"/>
    <w:rsid w:val="00D356D3"/>
    <w:rsid w:val="00D555EA"/>
    <w:rsid w:val="00D650AC"/>
    <w:rsid w:val="00D81677"/>
    <w:rsid w:val="00E05C70"/>
    <w:rsid w:val="00E277F1"/>
    <w:rsid w:val="00E5360E"/>
    <w:rsid w:val="00E65B45"/>
    <w:rsid w:val="00E835D4"/>
    <w:rsid w:val="00EC6013"/>
    <w:rsid w:val="00ED5A4B"/>
    <w:rsid w:val="00EE6614"/>
    <w:rsid w:val="00F206BC"/>
    <w:rsid w:val="00F274B8"/>
    <w:rsid w:val="00F300DC"/>
    <w:rsid w:val="00F62429"/>
    <w:rsid w:val="00F66476"/>
    <w:rsid w:val="00F80AEE"/>
    <w:rsid w:val="00FA7BB3"/>
    <w:rsid w:val="00FB3192"/>
    <w:rsid w:val="00FC6880"/>
    <w:rsid w:val="00FD4CEE"/>
    <w:rsid w:val="00FE318C"/>
    <w:rsid w:val="00FF5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080"/>
    <w:pPr>
      <w:ind w:firstLineChars="200" w:firstLine="420"/>
    </w:pPr>
  </w:style>
  <w:style w:type="paragraph" w:styleId="a4">
    <w:name w:val="header"/>
    <w:basedOn w:val="a"/>
    <w:link w:val="Char"/>
    <w:uiPriority w:val="99"/>
    <w:unhideWhenUsed/>
    <w:rsid w:val="00BB77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77A6"/>
    <w:rPr>
      <w:sz w:val="18"/>
      <w:szCs w:val="18"/>
    </w:rPr>
  </w:style>
  <w:style w:type="paragraph" w:styleId="a5">
    <w:name w:val="footer"/>
    <w:basedOn w:val="a"/>
    <w:link w:val="Char0"/>
    <w:uiPriority w:val="99"/>
    <w:unhideWhenUsed/>
    <w:rsid w:val="00BB77A6"/>
    <w:pPr>
      <w:tabs>
        <w:tab w:val="center" w:pos="4153"/>
        <w:tab w:val="right" w:pos="8306"/>
      </w:tabs>
      <w:snapToGrid w:val="0"/>
      <w:jc w:val="left"/>
    </w:pPr>
    <w:rPr>
      <w:sz w:val="18"/>
      <w:szCs w:val="18"/>
    </w:rPr>
  </w:style>
  <w:style w:type="character" w:customStyle="1" w:styleId="Char0">
    <w:name w:val="页脚 Char"/>
    <w:basedOn w:val="a0"/>
    <w:link w:val="a5"/>
    <w:uiPriority w:val="99"/>
    <w:rsid w:val="00BB77A6"/>
    <w:rPr>
      <w:sz w:val="18"/>
      <w:szCs w:val="18"/>
    </w:rPr>
  </w:style>
  <w:style w:type="paragraph" w:styleId="a6">
    <w:name w:val="Balloon Text"/>
    <w:basedOn w:val="a"/>
    <w:link w:val="Char1"/>
    <w:uiPriority w:val="99"/>
    <w:semiHidden/>
    <w:unhideWhenUsed/>
    <w:rsid w:val="008E4F0D"/>
    <w:rPr>
      <w:sz w:val="18"/>
      <w:szCs w:val="18"/>
    </w:rPr>
  </w:style>
  <w:style w:type="character" w:customStyle="1" w:styleId="Char1">
    <w:name w:val="批注框文本 Char"/>
    <w:basedOn w:val="a0"/>
    <w:link w:val="a6"/>
    <w:uiPriority w:val="99"/>
    <w:semiHidden/>
    <w:rsid w:val="008E4F0D"/>
    <w:rPr>
      <w:sz w:val="18"/>
      <w:szCs w:val="18"/>
    </w:rPr>
  </w:style>
  <w:style w:type="character" w:styleId="a7">
    <w:name w:val="annotation reference"/>
    <w:basedOn w:val="a0"/>
    <w:uiPriority w:val="99"/>
    <w:semiHidden/>
    <w:unhideWhenUsed/>
    <w:rsid w:val="00E277F1"/>
    <w:rPr>
      <w:sz w:val="21"/>
      <w:szCs w:val="21"/>
    </w:rPr>
  </w:style>
  <w:style w:type="paragraph" w:styleId="a8">
    <w:name w:val="annotation text"/>
    <w:basedOn w:val="a"/>
    <w:link w:val="Char2"/>
    <w:uiPriority w:val="99"/>
    <w:semiHidden/>
    <w:unhideWhenUsed/>
    <w:rsid w:val="00E277F1"/>
    <w:pPr>
      <w:jc w:val="left"/>
    </w:pPr>
  </w:style>
  <w:style w:type="character" w:customStyle="1" w:styleId="Char2">
    <w:name w:val="批注文字 Char"/>
    <w:basedOn w:val="a0"/>
    <w:link w:val="a8"/>
    <w:uiPriority w:val="99"/>
    <w:semiHidden/>
    <w:rsid w:val="00E277F1"/>
  </w:style>
  <w:style w:type="paragraph" w:styleId="a9">
    <w:name w:val="annotation subject"/>
    <w:basedOn w:val="a8"/>
    <w:next w:val="a8"/>
    <w:link w:val="Char3"/>
    <w:uiPriority w:val="99"/>
    <w:semiHidden/>
    <w:unhideWhenUsed/>
    <w:rsid w:val="00E277F1"/>
    <w:rPr>
      <w:b/>
      <w:bCs/>
    </w:rPr>
  </w:style>
  <w:style w:type="character" w:customStyle="1" w:styleId="Char3">
    <w:name w:val="批注主题 Char"/>
    <w:basedOn w:val="Char2"/>
    <w:link w:val="a9"/>
    <w:uiPriority w:val="99"/>
    <w:semiHidden/>
    <w:rsid w:val="00E277F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1423</Characters>
  <Application>Microsoft Office Word</Application>
  <DocSecurity>4</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中银基金李美瑶</dc:creator>
  <cp:lastModifiedBy>ZHONGM</cp:lastModifiedBy>
  <cp:revision>2</cp:revision>
  <cp:lastPrinted>2020-11-13T08:32:00Z</cp:lastPrinted>
  <dcterms:created xsi:type="dcterms:W3CDTF">2020-11-15T16:02:00Z</dcterms:created>
  <dcterms:modified xsi:type="dcterms:W3CDTF">2020-11-15T16:02:00Z</dcterms:modified>
</cp:coreProperties>
</file>