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E" w:rsidRDefault="000E7D7E" w:rsidP="008B71DC">
      <w:pPr>
        <w:jc w:val="center"/>
        <w:rPr>
          <w:rStyle w:val="a4"/>
          <w:rFonts w:ascii="Times New Roman" w:eastAsia="宋体" w:hAnsi="Times New Roman" w:cs="Times New Roman"/>
          <w:color w:val="000000"/>
          <w:sz w:val="28"/>
          <w:szCs w:val="28"/>
        </w:rPr>
      </w:pPr>
      <w:bookmarkStart w:id="0" w:name="_GoBack"/>
      <w:bookmarkEnd w:id="0"/>
      <w:r w:rsidRPr="000E7D7E">
        <w:rPr>
          <w:rStyle w:val="a4"/>
          <w:rFonts w:ascii="Times New Roman" w:eastAsia="宋体" w:hAnsi="Times New Roman" w:cs="Times New Roman" w:hint="eastAsia"/>
          <w:color w:val="000000"/>
          <w:sz w:val="28"/>
          <w:szCs w:val="28"/>
        </w:rPr>
        <w:t>融通基金管理有限公司</w:t>
      </w:r>
    </w:p>
    <w:p w:rsidR="000E7D7E" w:rsidRDefault="000E7D7E" w:rsidP="008B71DC">
      <w:pPr>
        <w:jc w:val="center"/>
        <w:rPr>
          <w:rStyle w:val="a4"/>
          <w:rFonts w:ascii="Times New Roman" w:eastAsia="宋体" w:hAnsi="Times New Roman" w:cs="Times New Roman"/>
          <w:color w:val="000000"/>
          <w:sz w:val="28"/>
          <w:szCs w:val="28"/>
        </w:rPr>
      </w:pPr>
      <w:r w:rsidRPr="000E7D7E">
        <w:rPr>
          <w:rStyle w:val="a4"/>
          <w:rFonts w:ascii="Times New Roman" w:eastAsia="宋体" w:hAnsi="Times New Roman" w:cs="Times New Roman" w:hint="eastAsia"/>
          <w:color w:val="000000"/>
          <w:sz w:val="28"/>
          <w:szCs w:val="28"/>
        </w:rPr>
        <w:t>关于旗下部分基金投资范围增加存托凭证</w:t>
      </w:r>
    </w:p>
    <w:p w:rsidR="000E7D7E" w:rsidRPr="00757898" w:rsidRDefault="000E7D7E" w:rsidP="008B71DC">
      <w:pPr>
        <w:jc w:val="center"/>
        <w:rPr>
          <w:rStyle w:val="a4"/>
          <w:rFonts w:ascii="Times New Roman" w:eastAsia="宋体" w:hAnsi="Times New Roman" w:cs="Times New Roman"/>
          <w:color w:val="000000"/>
          <w:sz w:val="28"/>
          <w:szCs w:val="28"/>
        </w:rPr>
      </w:pPr>
      <w:r w:rsidRPr="000E7D7E">
        <w:rPr>
          <w:rStyle w:val="a4"/>
          <w:rFonts w:ascii="Times New Roman" w:eastAsia="宋体" w:hAnsi="Times New Roman" w:cs="Times New Roman" w:hint="eastAsia"/>
          <w:color w:val="000000"/>
          <w:sz w:val="28"/>
          <w:szCs w:val="28"/>
        </w:rPr>
        <w:t>并相应修改基金合同、托管协议的公告</w:t>
      </w:r>
    </w:p>
    <w:p w:rsidR="00CB3EC9" w:rsidRDefault="00CB3EC9" w:rsidP="008B71DC"/>
    <w:p w:rsidR="006F0280" w:rsidRDefault="006F0280" w:rsidP="008B71DC">
      <w:pPr>
        <w:spacing w:line="360" w:lineRule="auto"/>
        <w:ind w:firstLineChars="200" w:firstLine="480"/>
        <w:rPr>
          <w:rFonts w:ascii="Times New Roman" w:eastAsia="宋体" w:hAnsi="Times New Roman" w:cs="Times New Roman"/>
          <w:kern w:val="0"/>
          <w:sz w:val="24"/>
          <w:szCs w:val="20"/>
        </w:rPr>
      </w:pPr>
      <w:r w:rsidRPr="006F0280">
        <w:rPr>
          <w:rFonts w:ascii="Times New Roman" w:eastAsia="宋体" w:hAnsi="Times New Roman" w:cs="Times New Roman" w:hint="eastAsia"/>
          <w:kern w:val="0"/>
          <w:sz w:val="24"/>
          <w:szCs w:val="20"/>
        </w:rPr>
        <w:t>根据《中华人民共和国证券法》、《中华人民共和国证券投资基金法》、《公开募集证券投资基金信息披露管理办法》、《存托凭证发行与交易管理办法（试行）》等法律法规</w:t>
      </w:r>
      <w:r>
        <w:rPr>
          <w:rFonts w:ascii="Times New Roman" w:eastAsia="宋体" w:hAnsi="Times New Roman" w:cs="Times New Roman" w:hint="eastAsia"/>
          <w:kern w:val="0"/>
          <w:sz w:val="24"/>
          <w:szCs w:val="20"/>
        </w:rPr>
        <w:t>及</w:t>
      </w:r>
      <w:r>
        <w:rPr>
          <w:rFonts w:ascii="Times New Roman" w:eastAsia="宋体" w:hAnsi="Times New Roman" w:cs="Times New Roman"/>
          <w:kern w:val="0"/>
          <w:sz w:val="24"/>
          <w:szCs w:val="20"/>
        </w:rPr>
        <w:t>各基金</w:t>
      </w:r>
      <w:r>
        <w:rPr>
          <w:rFonts w:ascii="Times New Roman" w:eastAsia="宋体" w:hAnsi="Times New Roman" w:cs="Times New Roman" w:hint="eastAsia"/>
          <w:kern w:val="0"/>
          <w:sz w:val="24"/>
          <w:szCs w:val="20"/>
        </w:rPr>
        <w:t>基金</w:t>
      </w:r>
      <w:r>
        <w:rPr>
          <w:rFonts w:ascii="Times New Roman" w:eastAsia="宋体" w:hAnsi="Times New Roman" w:cs="Times New Roman"/>
          <w:kern w:val="0"/>
          <w:sz w:val="24"/>
          <w:szCs w:val="20"/>
        </w:rPr>
        <w:t>合同的</w:t>
      </w:r>
      <w:r w:rsidRPr="006F0280">
        <w:rPr>
          <w:rFonts w:ascii="Times New Roman" w:eastAsia="宋体" w:hAnsi="Times New Roman" w:cs="Times New Roman" w:hint="eastAsia"/>
          <w:kern w:val="0"/>
          <w:sz w:val="24"/>
          <w:szCs w:val="20"/>
        </w:rPr>
        <w:t>规定，</w:t>
      </w:r>
      <w:r w:rsidR="00161C22" w:rsidRPr="00757898">
        <w:rPr>
          <w:rFonts w:ascii="Times New Roman" w:eastAsia="宋体" w:hAnsi="Times New Roman" w:cs="Times New Roman"/>
          <w:kern w:val="0"/>
          <w:sz w:val="24"/>
          <w:szCs w:val="20"/>
        </w:rPr>
        <w:t>经与</w:t>
      </w:r>
      <w:r>
        <w:rPr>
          <w:rFonts w:ascii="Times New Roman" w:eastAsia="宋体" w:hAnsi="Times New Roman" w:cs="Times New Roman" w:hint="eastAsia"/>
          <w:kern w:val="0"/>
          <w:sz w:val="24"/>
          <w:szCs w:val="20"/>
        </w:rPr>
        <w:t>各</w:t>
      </w:r>
      <w:r w:rsidR="00161C22" w:rsidRPr="00757898">
        <w:rPr>
          <w:rFonts w:ascii="Times New Roman" w:eastAsia="宋体" w:hAnsi="Times New Roman" w:cs="Times New Roman"/>
          <w:kern w:val="0"/>
          <w:sz w:val="24"/>
          <w:szCs w:val="20"/>
        </w:rPr>
        <w:t>基金托管人协商一致，</w:t>
      </w:r>
      <w:r>
        <w:rPr>
          <w:rFonts w:ascii="Times New Roman" w:eastAsia="宋体" w:hAnsi="Times New Roman" w:cs="Times New Roman" w:hint="eastAsia"/>
          <w:kern w:val="0"/>
          <w:sz w:val="24"/>
          <w:szCs w:val="20"/>
        </w:rPr>
        <w:t>并</w:t>
      </w:r>
      <w:r>
        <w:rPr>
          <w:rFonts w:ascii="Times New Roman" w:eastAsia="宋体" w:hAnsi="Times New Roman" w:cs="Times New Roman"/>
          <w:kern w:val="0"/>
          <w:sz w:val="24"/>
          <w:szCs w:val="20"/>
        </w:rPr>
        <w:t>向中国证监会备案，融通基金</w:t>
      </w:r>
      <w:r>
        <w:rPr>
          <w:rFonts w:ascii="Times New Roman" w:eastAsia="宋体" w:hAnsi="Times New Roman" w:cs="Times New Roman" w:hint="eastAsia"/>
          <w:kern w:val="0"/>
          <w:sz w:val="24"/>
          <w:szCs w:val="20"/>
        </w:rPr>
        <w:t>管理</w:t>
      </w:r>
      <w:r>
        <w:rPr>
          <w:rFonts w:ascii="Times New Roman" w:eastAsia="宋体" w:hAnsi="Times New Roman" w:cs="Times New Roman"/>
          <w:kern w:val="0"/>
          <w:sz w:val="24"/>
          <w:szCs w:val="20"/>
        </w:rPr>
        <w:t>有限公司</w:t>
      </w:r>
      <w:r>
        <w:rPr>
          <w:rFonts w:ascii="Times New Roman" w:eastAsia="宋体" w:hAnsi="Times New Roman" w:cs="Times New Roman" w:hint="eastAsia"/>
          <w:kern w:val="0"/>
          <w:sz w:val="24"/>
          <w:szCs w:val="20"/>
        </w:rPr>
        <w:t>（以下</w:t>
      </w:r>
      <w:r>
        <w:rPr>
          <w:rFonts w:ascii="Times New Roman" w:eastAsia="宋体" w:hAnsi="Times New Roman" w:cs="Times New Roman"/>
          <w:kern w:val="0"/>
          <w:sz w:val="24"/>
          <w:szCs w:val="20"/>
        </w:rPr>
        <w:t>简称</w:t>
      </w:r>
      <w:r>
        <w:rPr>
          <w:rFonts w:ascii="Times New Roman" w:eastAsia="宋体" w:hAnsi="Times New Roman" w:cs="Times New Roman" w:hint="eastAsia"/>
          <w:kern w:val="0"/>
          <w:sz w:val="24"/>
          <w:szCs w:val="20"/>
        </w:rPr>
        <w:t>“本公司”）对</w:t>
      </w:r>
      <w:r>
        <w:rPr>
          <w:rFonts w:ascii="Times New Roman" w:eastAsia="宋体" w:hAnsi="Times New Roman" w:cs="Times New Roman"/>
          <w:kern w:val="0"/>
          <w:sz w:val="24"/>
          <w:szCs w:val="20"/>
        </w:rPr>
        <w:t>旗下</w:t>
      </w:r>
      <w:r w:rsidR="00D82867">
        <w:rPr>
          <w:rFonts w:ascii="Times New Roman" w:eastAsia="宋体" w:hAnsi="Times New Roman" w:cs="Times New Roman"/>
          <w:kern w:val="0"/>
          <w:sz w:val="24"/>
          <w:szCs w:val="20"/>
        </w:rPr>
        <w:t>35</w:t>
      </w:r>
      <w:r>
        <w:rPr>
          <w:rFonts w:ascii="Times New Roman" w:eastAsia="宋体" w:hAnsi="Times New Roman" w:cs="Times New Roman" w:hint="eastAsia"/>
          <w:kern w:val="0"/>
          <w:sz w:val="24"/>
          <w:szCs w:val="20"/>
        </w:rPr>
        <w:t>只</w:t>
      </w:r>
      <w:r>
        <w:rPr>
          <w:rFonts w:ascii="Times New Roman" w:eastAsia="宋体" w:hAnsi="Times New Roman" w:cs="Times New Roman"/>
          <w:kern w:val="0"/>
          <w:sz w:val="24"/>
          <w:szCs w:val="20"/>
        </w:rPr>
        <w:t>公募基金参与存托凭证投资</w:t>
      </w:r>
      <w:r>
        <w:rPr>
          <w:rFonts w:ascii="Times New Roman" w:eastAsia="宋体" w:hAnsi="Times New Roman" w:cs="Times New Roman" w:hint="eastAsia"/>
          <w:kern w:val="0"/>
          <w:sz w:val="24"/>
          <w:szCs w:val="20"/>
        </w:rPr>
        <w:t>修订</w:t>
      </w:r>
      <w:r>
        <w:rPr>
          <w:rFonts w:ascii="Times New Roman" w:eastAsia="宋体" w:hAnsi="Times New Roman" w:cs="Times New Roman"/>
          <w:kern w:val="0"/>
          <w:sz w:val="24"/>
          <w:szCs w:val="20"/>
        </w:rPr>
        <w:t>基金合同</w:t>
      </w:r>
      <w:r w:rsidR="0068520E">
        <w:rPr>
          <w:rFonts w:ascii="Times New Roman" w:eastAsia="宋体" w:hAnsi="Times New Roman" w:cs="Times New Roman" w:hint="eastAsia"/>
          <w:kern w:val="0"/>
          <w:sz w:val="24"/>
          <w:szCs w:val="20"/>
        </w:rPr>
        <w:t>、</w:t>
      </w:r>
      <w:r w:rsidR="0068520E">
        <w:rPr>
          <w:rFonts w:ascii="Times New Roman" w:eastAsia="宋体" w:hAnsi="Times New Roman" w:cs="Times New Roman"/>
          <w:kern w:val="0"/>
          <w:sz w:val="24"/>
          <w:szCs w:val="20"/>
        </w:rPr>
        <w:t>托管协议</w:t>
      </w:r>
      <w:r>
        <w:rPr>
          <w:rFonts w:ascii="Times New Roman" w:eastAsia="宋体" w:hAnsi="Times New Roman" w:cs="Times New Roman"/>
          <w:kern w:val="0"/>
          <w:sz w:val="24"/>
          <w:szCs w:val="20"/>
        </w:rPr>
        <w:t>等法律文件，</w:t>
      </w:r>
      <w:r w:rsidRPr="006F0280">
        <w:rPr>
          <w:rFonts w:ascii="Times New Roman" w:eastAsia="宋体" w:hAnsi="Times New Roman" w:cs="Times New Roman" w:hint="eastAsia"/>
          <w:kern w:val="0"/>
          <w:sz w:val="24"/>
          <w:szCs w:val="20"/>
        </w:rPr>
        <w:t>包括明确投资范围包含存托凭证、增加存托凭证的投资策略、投资比例限制、估值方法等，并在基金招募说明书（更新）、</w:t>
      </w:r>
      <w:r>
        <w:rPr>
          <w:rFonts w:ascii="Times New Roman" w:eastAsia="宋体" w:hAnsi="Times New Roman" w:cs="Times New Roman" w:hint="eastAsia"/>
          <w:kern w:val="0"/>
          <w:sz w:val="24"/>
          <w:szCs w:val="20"/>
        </w:rPr>
        <w:t>基金</w:t>
      </w:r>
      <w:r w:rsidRPr="006F0280">
        <w:rPr>
          <w:rFonts w:ascii="Times New Roman" w:eastAsia="宋体" w:hAnsi="Times New Roman" w:cs="Times New Roman" w:hint="eastAsia"/>
          <w:kern w:val="0"/>
          <w:sz w:val="24"/>
          <w:szCs w:val="20"/>
        </w:rPr>
        <w:t>产品资料概要中增加投资存托凭证的风险揭示。本次修订对基金份额持有人利益无实质性不利影响，修订将自</w:t>
      </w:r>
      <w:r w:rsidRPr="006F0280">
        <w:rPr>
          <w:rFonts w:ascii="Times New Roman" w:eastAsia="宋体" w:hAnsi="Times New Roman" w:cs="Times New Roman"/>
          <w:kern w:val="0"/>
          <w:sz w:val="24"/>
          <w:szCs w:val="20"/>
        </w:rPr>
        <w:t>2020</w:t>
      </w:r>
      <w:r w:rsidRPr="006F0280">
        <w:rPr>
          <w:rFonts w:ascii="Times New Roman" w:eastAsia="宋体" w:hAnsi="Times New Roman" w:cs="Times New Roman"/>
          <w:kern w:val="0"/>
          <w:sz w:val="24"/>
          <w:szCs w:val="20"/>
        </w:rPr>
        <w:t>年</w:t>
      </w:r>
      <w:r w:rsidRPr="006F0280">
        <w:rPr>
          <w:rFonts w:ascii="Times New Roman" w:eastAsia="宋体" w:hAnsi="Times New Roman" w:cs="Times New Roman"/>
          <w:kern w:val="0"/>
          <w:sz w:val="24"/>
          <w:szCs w:val="20"/>
        </w:rPr>
        <w:t>1</w:t>
      </w:r>
      <w:r>
        <w:rPr>
          <w:rFonts w:ascii="Times New Roman" w:eastAsia="宋体" w:hAnsi="Times New Roman" w:cs="Times New Roman"/>
          <w:kern w:val="0"/>
          <w:sz w:val="24"/>
          <w:szCs w:val="20"/>
        </w:rPr>
        <w:t>1</w:t>
      </w:r>
      <w:r w:rsidRPr="006F0280">
        <w:rPr>
          <w:rFonts w:ascii="Times New Roman" w:eastAsia="宋体" w:hAnsi="Times New Roman" w:cs="Times New Roman"/>
          <w:kern w:val="0"/>
          <w:sz w:val="24"/>
          <w:szCs w:val="20"/>
        </w:rPr>
        <w:t>月</w:t>
      </w:r>
      <w:r w:rsidRPr="006F0280">
        <w:rPr>
          <w:rFonts w:ascii="Times New Roman" w:eastAsia="宋体" w:hAnsi="Times New Roman" w:cs="Times New Roman"/>
          <w:kern w:val="0"/>
          <w:sz w:val="24"/>
          <w:szCs w:val="20"/>
        </w:rPr>
        <w:t>1</w:t>
      </w:r>
      <w:r w:rsidR="0068520E">
        <w:rPr>
          <w:rFonts w:ascii="Times New Roman" w:eastAsia="宋体" w:hAnsi="Times New Roman" w:cs="Times New Roman"/>
          <w:kern w:val="0"/>
          <w:sz w:val="24"/>
          <w:szCs w:val="20"/>
        </w:rPr>
        <w:t>3</w:t>
      </w:r>
      <w:r w:rsidRPr="006F0280">
        <w:rPr>
          <w:rFonts w:ascii="Times New Roman" w:eastAsia="宋体" w:hAnsi="Times New Roman" w:cs="Times New Roman"/>
          <w:kern w:val="0"/>
          <w:sz w:val="24"/>
          <w:szCs w:val="20"/>
        </w:rPr>
        <w:t>日起正式生效。</w:t>
      </w:r>
      <w:r w:rsidR="0068520E" w:rsidRPr="0068520E">
        <w:rPr>
          <w:rFonts w:ascii="Times New Roman" w:eastAsia="宋体" w:hAnsi="Times New Roman" w:cs="Times New Roman" w:hint="eastAsia"/>
          <w:kern w:val="0"/>
          <w:sz w:val="24"/>
          <w:szCs w:val="20"/>
        </w:rPr>
        <w:t>现将基金合同、托管协议修订情况公告如下：</w:t>
      </w:r>
    </w:p>
    <w:p w:rsidR="0068520E" w:rsidRDefault="0068520E" w:rsidP="008B71DC">
      <w:pPr>
        <w:spacing w:line="360" w:lineRule="auto"/>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一</w:t>
      </w:r>
      <w:r>
        <w:rPr>
          <w:rFonts w:ascii="Times New Roman" w:eastAsia="宋体" w:hAnsi="Times New Roman" w:cs="Times New Roman"/>
          <w:kern w:val="0"/>
          <w:sz w:val="24"/>
          <w:szCs w:val="20"/>
        </w:rPr>
        <w:t>、本次修订的基金</w:t>
      </w:r>
      <w:r>
        <w:rPr>
          <w:rFonts w:ascii="Times New Roman" w:eastAsia="宋体" w:hAnsi="Times New Roman" w:cs="Times New Roman" w:hint="eastAsia"/>
          <w:kern w:val="0"/>
          <w:sz w:val="24"/>
          <w:szCs w:val="20"/>
        </w:rPr>
        <w:t>范围</w:t>
      </w:r>
    </w:p>
    <w:p w:rsidR="006F028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本次修订涉及基金管理人旗下</w:t>
      </w:r>
      <w:r w:rsidR="00D82867">
        <w:rPr>
          <w:rFonts w:ascii="Times New Roman" w:eastAsia="宋体" w:hAnsi="Times New Roman" w:cs="Times New Roman"/>
          <w:kern w:val="0"/>
          <w:sz w:val="24"/>
          <w:szCs w:val="20"/>
        </w:rPr>
        <w:t>35</w:t>
      </w:r>
      <w:r w:rsidRPr="00FD3010">
        <w:rPr>
          <w:rFonts w:ascii="Times New Roman" w:eastAsia="宋体" w:hAnsi="Times New Roman" w:cs="Times New Roman"/>
          <w:kern w:val="0"/>
          <w:sz w:val="24"/>
          <w:szCs w:val="20"/>
        </w:rPr>
        <w:t>只公募基金，详细名单见本公告的附表。</w:t>
      </w:r>
    </w:p>
    <w:p w:rsid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二、基金合同</w:t>
      </w:r>
      <w:r w:rsidR="00D15A83">
        <w:rPr>
          <w:rFonts w:ascii="Times New Roman" w:eastAsia="宋体" w:hAnsi="Times New Roman" w:cs="Times New Roman" w:hint="eastAsia"/>
          <w:kern w:val="0"/>
          <w:sz w:val="24"/>
          <w:szCs w:val="20"/>
        </w:rPr>
        <w:t>的</w:t>
      </w:r>
      <w:r w:rsidRPr="00FD3010">
        <w:rPr>
          <w:rFonts w:ascii="Times New Roman" w:eastAsia="宋体" w:hAnsi="Times New Roman" w:cs="Times New Roman" w:hint="eastAsia"/>
          <w:kern w:val="0"/>
          <w:sz w:val="24"/>
          <w:szCs w:val="20"/>
        </w:rPr>
        <w:t>修订内容</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（一）</w:t>
      </w:r>
      <w:r w:rsidRPr="00FD3010">
        <w:rPr>
          <w:rFonts w:ascii="Times New Roman" w:eastAsia="宋体" w:hAnsi="Times New Roman" w:cs="Times New Roman" w:hint="eastAsia"/>
          <w:kern w:val="0"/>
          <w:sz w:val="24"/>
          <w:szCs w:val="20"/>
        </w:rPr>
        <w:t>对“基金的投资”部分的修订</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kern w:val="0"/>
          <w:sz w:val="24"/>
          <w:szCs w:val="20"/>
        </w:rPr>
        <w:t>1</w:t>
      </w:r>
      <w:r w:rsidRPr="00FD3010">
        <w:rPr>
          <w:rFonts w:ascii="Times New Roman" w:eastAsia="宋体" w:hAnsi="Times New Roman" w:cs="Times New Roman"/>
          <w:kern w:val="0"/>
          <w:sz w:val="24"/>
          <w:szCs w:val="20"/>
        </w:rPr>
        <w:t>、明确</w:t>
      </w:r>
      <w:r w:rsidRPr="00FD3010">
        <w:rPr>
          <w:rFonts w:ascii="Times New Roman" w:eastAsia="宋体" w:hAnsi="Times New Roman" w:cs="Times New Roman" w:hint="eastAsia"/>
          <w:kern w:val="0"/>
          <w:sz w:val="24"/>
          <w:szCs w:val="20"/>
        </w:rPr>
        <w:t>“</w:t>
      </w:r>
      <w:r w:rsidRPr="00FD3010">
        <w:rPr>
          <w:rFonts w:ascii="Times New Roman" w:eastAsia="宋体" w:hAnsi="Times New Roman" w:cs="Times New Roman"/>
          <w:kern w:val="0"/>
          <w:sz w:val="24"/>
          <w:szCs w:val="20"/>
        </w:rPr>
        <w:t>投资范围</w:t>
      </w:r>
      <w:r w:rsidRPr="00FD3010">
        <w:rPr>
          <w:rFonts w:ascii="Times New Roman" w:eastAsia="宋体" w:hAnsi="Times New Roman" w:cs="Times New Roman" w:hint="eastAsia"/>
          <w:kern w:val="0"/>
          <w:sz w:val="24"/>
          <w:szCs w:val="20"/>
        </w:rPr>
        <w:t>”</w:t>
      </w:r>
      <w:r w:rsidRPr="00FD3010">
        <w:rPr>
          <w:rFonts w:ascii="Times New Roman" w:eastAsia="宋体" w:hAnsi="Times New Roman" w:cs="Times New Roman"/>
          <w:kern w:val="0"/>
          <w:sz w:val="24"/>
          <w:szCs w:val="20"/>
        </w:rPr>
        <w:t>中</w:t>
      </w:r>
      <w:r>
        <w:rPr>
          <w:rFonts w:ascii="Times New Roman" w:eastAsia="宋体" w:hAnsi="Times New Roman" w:cs="Times New Roman" w:hint="eastAsia"/>
          <w:kern w:val="0"/>
          <w:sz w:val="24"/>
          <w:szCs w:val="20"/>
        </w:rPr>
        <w:t>“</w:t>
      </w:r>
      <w:r w:rsidRPr="00FD3010">
        <w:rPr>
          <w:rFonts w:ascii="Times New Roman" w:eastAsia="宋体" w:hAnsi="Times New Roman" w:cs="Times New Roman" w:hint="eastAsia"/>
          <w:kern w:val="0"/>
          <w:sz w:val="24"/>
          <w:szCs w:val="20"/>
        </w:rPr>
        <w:t>股票</w:t>
      </w:r>
      <w:r>
        <w:rPr>
          <w:rFonts w:ascii="Times New Roman" w:eastAsia="宋体" w:hAnsi="Times New Roman" w:cs="Times New Roman" w:hint="eastAsia"/>
          <w:kern w:val="0"/>
          <w:sz w:val="24"/>
          <w:szCs w:val="20"/>
        </w:rPr>
        <w:t>”</w:t>
      </w:r>
      <w:r w:rsidRPr="00FD3010">
        <w:rPr>
          <w:rFonts w:ascii="Times New Roman" w:eastAsia="宋体" w:hAnsi="Times New Roman" w:cs="Times New Roman"/>
          <w:kern w:val="0"/>
          <w:sz w:val="24"/>
          <w:szCs w:val="20"/>
        </w:rPr>
        <w:t>包含存托凭证。以融通新机遇灵活配置混合型证券投资基金为例，将</w:t>
      </w:r>
      <w:r w:rsidRPr="00FD3010">
        <w:rPr>
          <w:rFonts w:ascii="Times New Roman" w:eastAsia="宋体" w:hAnsi="Times New Roman" w:cs="Times New Roman" w:hint="eastAsia"/>
          <w:kern w:val="0"/>
          <w:sz w:val="24"/>
          <w:szCs w:val="20"/>
        </w:rPr>
        <w:t>“投资范围”</w:t>
      </w:r>
      <w:r w:rsidRPr="00FD3010">
        <w:rPr>
          <w:rFonts w:ascii="Times New Roman" w:eastAsia="宋体" w:hAnsi="Times New Roman" w:cs="Times New Roman"/>
          <w:kern w:val="0"/>
          <w:sz w:val="24"/>
          <w:szCs w:val="20"/>
        </w:rPr>
        <w:t>修订为：</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“本基金的投资范围为具有良好流动性的金融工具，包括国内依法发行上市的股票（包括中小板、创业板以及其他经中国证监会批准发行上市的股票</w:t>
      </w:r>
      <w:r w:rsidRPr="008B71DC">
        <w:rPr>
          <w:rFonts w:ascii="Times New Roman" w:eastAsia="宋体" w:hAnsi="Times New Roman" w:cs="Times New Roman" w:hint="eastAsia"/>
          <w:b/>
          <w:kern w:val="0"/>
          <w:sz w:val="24"/>
          <w:szCs w:val="20"/>
        </w:rPr>
        <w:t>、存托凭证</w:t>
      </w:r>
      <w:r w:rsidRPr="00FD3010">
        <w:rPr>
          <w:rFonts w:ascii="Times New Roman" w:eastAsia="宋体" w:hAnsi="Times New Roman" w:cs="Times New Roman" w:hint="eastAsia"/>
          <w:kern w:val="0"/>
          <w:sz w:val="24"/>
          <w:szCs w:val="20"/>
        </w:rPr>
        <w:t>）、固定收益类资产（国债、地方政府债、金融债、企业债、公司债、次级债、中小企业私募债、可转换债券、可交换债券、分离交易可转债、央行票据、中期票据、短期融资券（含超短期融资券）、资产支持证券、质押及买断式债券回购、银行存款及现金等）、衍生工具（权证、股指期货等）以及经中国证监会批准允许基金投资的其它金融工具（但需符合中国证监会的相关规定）。</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股票资产</w:t>
      </w:r>
      <w:r w:rsidRPr="008B71DC">
        <w:rPr>
          <w:rFonts w:ascii="Times New Roman" w:eastAsia="宋体" w:hAnsi="Times New Roman" w:cs="Times New Roman" w:hint="eastAsia"/>
          <w:b/>
          <w:kern w:val="0"/>
          <w:sz w:val="24"/>
          <w:szCs w:val="20"/>
        </w:rPr>
        <w:t>（含存托凭证）</w:t>
      </w:r>
      <w:r w:rsidRPr="00FD3010">
        <w:rPr>
          <w:rFonts w:ascii="Times New Roman" w:eastAsia="宋体" w:hAnsi="Times New Roman" w:cs="Times New Roman" w:hint="eastAsia"/>
          <w:kern w:val="0"/>
          <w:sz w:val="24"/>
          <w:szCs w:val="20"/>
        </w:rPr>
        <w:t>占基金资产的</w:t>
      </w:r>
      <w:r w:rsidRPr="00FD3010">
        <w:rPr>
          <w:rFonts w:ascii="Times New Roman" w:eastAsia="宋体" w:hAnsi="Times New Roman" w:cs="Times New Roman"/>
          <w:kern w:val="0"/>
          <w:sz w:val="24"/>
          <w:szCs w:val="20"/>
        </w:rPr>
        <w:t>0%-95%</w:t>
      </w:r>
      <w:r w:rsidRPr="00FD3010">
        <w:rPr>
          <w:rFonts w:ascii="Times New Roman" w:eastAsia="宋体" w:hAnsi="Times New Roman" w:cs="Times New Roman"/>
          <w:kern w:val="0"/>
          <w:sz w:val="24"/>
          <w:szCs w:val="20"/>
        </w:rPr>
        <w:t>，其余资产投资于债券、货</w:t>
      </w:r>
      <w:r w:rsidRPr="00FD3010">
        <w:rPr>
          <w:rFonts w:ascii="Times New Roman" w:eastAsia="宋体" w:hAnsi="Times New Roman" w:cs="Times New Roman"/>
          <w:kern w:val="0"/>
          <w:sz w:val="24"/>
          <w:szCs w:val="20"/>
        </w:rPr>
        <w:lastRenderedPageBreak/>
        <w:t>币市场工具、资产支持证券以及法律法规或中国证监会允许基金投资的其他金融工具；基金持有全部权证的市值不得超过基金资产净值的</w:t>
      </w:r>
      <w:r w:rsidRPr="00FD3010">
        <w:rPr>
          <w:rFonts w:ascii="Times New Roman" w:eastAsia="宋体" w:hAnsi="Times New Roman" w:cs="Times New Roman"/>
          <w:kern w:val="0"/>
          <w:sz w:val="24"/>
          <w:szCs w:val="20"/>
        </w:rPr>
        <w:t>3%</w:t>
      </w:r>
      <w:r w:rsidRPr="00FD3010">
        <w:rPr>
          <w:rFonts w:ascii="Times New Roman" w:eastAsia="宋体" w:hAnsi="Times New Roman" w:cs="Times New Roman"/>
          <w:kern w:val="0"/>
          <w:sz w:val="24"/>
          <w:szCs w:val="20"/>
        </w:rPr>
        <w:t>；每个交易日日终在扣除股指期货需缴纳的交易保证金后，现金（不包括结算备付金、存出保证金、应收申购款等）或到期日在一年以内的政府债券的比例合计不低于基金资产净值的</w:t>
      </w:r>
      <w:r w:rsidRPr="00FD3010">
        <w:rPr>
          <w:rFonts w:ascii="Times New Roman" w:eastAsia="宋体" w:hAnsi="Times New Roman" w:cs="Times New Roman"/>
          <w:kern w:val="0"/>
          <w:sz w:val="24"/>
          <w:szCs w:val="20"/>
        </w:rPr>
        <w:t>5%</w:t>
      </w:r>
      <w:r w:rsidRPr="00FD3010">
        <w:rPr>
          <w:rFonts w:ascii="Times New Roman" w:eastAsia="宋体" w:hAnsi="Times New Roman" w:cs="Times New Roman"/>
          <w:kern w:val="0"/>
          <w:sz w:val="24"/>
          <w:szCs w:val="20"/>
        </w:rPr>
        <w:t>。</w:t>
      </w:r>
      <w:r w:rsidR="00A412CF" w:rsidRPr="00A412CF">
        <w:rPr>
          <w:rFonts w:ascii="Times New Roman" w:eastAsia="宋体" w:hAnsi="Times New Roman" w:cs="Times New Roman" w:hint="eastAsia"/>
          <w:kern w:val="0"/>
          <w:sz w:val="24"/>
          <w:szCs w:val="20"/>
        </w:rPr>
        <w:t>”</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kern w:val="0"/>
          <w:sz w:val="24"/>
          <w:szCs w:val="20"/>
        </w:rPr>
        <w:t>2</w:t>
      </w:r>
      <w:r w:rsidRPr="00FD3010">
        <w:rPr>
          <w:rFonts w:ascii="Times New Roman" w:eastAsia="宋体" w:hAnsi="Times New Roman" w:cs="Times New Roman"/>
          <w:kern w:val="0"/>
          <w:sz w:val="24"/>
          <w:szCs w:val="20"/>
        </w:rPr>
        <w:t>、在股票投资策略部分增加存托凭证投资策略描述如下：</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“本基金投资存托凭证的策略依照上述境内上市交易的股票投资策略执行。”</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kern w:val="0"/>
          <w:sz w:val="24"/>
          <w:szCs w:val="20"/>
        </w:rPr>
        <w:t>3</w:t>
      </w:r>
      <w:r w:rsidRPr="00FD3010">
        <w:rPr>
          <w:rFonts w:ascii="Times New Roman" w:eastAsia="宋体" w:hAnsi="Times New Roman" w:cs="Times New Roman"/>
          <w:kern w:val="0"/>
          <w:sz w:val="24"/>
          <w:szCs w:val="20"/>
        </w:rPr>
        <w:t>、在</w:t>
      </w:r>
      <w:r w:rsidR="00DF1B9F" w:rsidRPr="00DF1B9F">
        <w:rPr>
          <w:rFonts w:ascii="Times New Roman" w:eastAsia="宋体" w:hAnsi="Times New Roman" w:cs="Times New Roman" w:hint="eastAsia"/>
          <w:kern w:val="0"/>
          <w:sz w:val="24"/>
          <w:szCs w:val="20"/>
        </w:rPr>
        <w:t>“</w:t>
      </w:r>
      <w:r w:rsidRPr="00FD3010">
        <w:rPr>
          <w:rFonts w:ascii="Times New Roman" w:eastAsia="宋体" w:hAnsi="Times New Roman" w:cs="Times New Roman"/>
          <w:kern w:val="0"/>
          <w:sz w:val="24"/>
          <w:szCs w:val="20"/>
        </w:rPr>
        <w:t>投资限制</w:t>
      </w:r>
      <w:r w:rsidR="00DF1B9F" w:rsidRPr="00DF1B9F">
        <w:rPr>
          <w:rFonts w:ascii="Times New Roman" w:eastAsia="宋体" w:hAnsi="Times New Roman" w:cs="Times New Roman" w:hint="eastAsia"/>
          <w:kern w:val="0"/>
          <w:sz w:val="24"/>
          <w:szCs w:val="20"/>
        </w:rPr>
        <w:t>”</w:t>
      </w:r>
      <w:r w:rsidRPr="00FD3010">
        <w:rPr>
          <w:rFonts w:ascii="Times New Roman" w:eastAsia="宋体" w:hAnsi="Times New Roman" w:cs="Times New Roman"/>
          <w:kern w:val="0"/>
          <w:sz w:val="24"/>
          <w:szCs w:val="20"/>
        </w:rPr>
        <w:t>中增加存托凭证投资限制描述如下：</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“本基金投资存托凭证的比例限制依照境内上市交易的股票执行，与境内上市交易的股票合并计算。”</w:t>
      </w:r>
    </w:p>
    <w:p w:rsidR="00FD3010" w:rsidRPr="00FD3010" w:rsidRDefault="00FD3010" w:rsidP="008B71DC">
      <w:pPr>
        <w:spacing w:line="360" w:lineRule="auto"/>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（二）</w:t>
      </w:r>
      <w:r w:rsidRPr="00FD3010">
        <w:rPr>
          <w:rFonts w:ascii="Times New Roman" w:eastAsia="宋体" w:hAnsi="Times New Roman" w:cs="Times New Roman" w:hint="eastAsia"/>
          <w:kern w:val="0"/>
          <w:sz w:val="24"/>
          <w:szCs w:val="20"/>
        </w:rPr>
        <w:t>在“基金资产估值”部分的“估值方法”中增加存托凭证估值方法描述如下：</w:t>
      </w:r>
    </w:p>
    <w:p w:rsidR="00FD3010" w:rsidRDefault="00FD3010" w:rsidP="008B71DC">
      <w:pPr>
        <w:spacing w:line="360" w:lineRule="auto"/>
        <w:ind w:firstLineChars="200" w:firstLine="480"/>
        <w:rPr>
          <w:rFonts w:ascii="Times New Roman" w:eastAsia="宋体" w:hAnsi="Times New Roman" w:cs="Times New Roman"/>
          <w:kern w:val="0"/>
          <w:sz w:val="24"/>
          <w:szCs w:val="20"/>
        </w:rPr>
      </w:pPr>
      <w:r w:rsidRPr="00FD3010">
        <w:rPr>
          <w:rFonts w:ascii="Times New Roman" w:eastAsia="宋体" w:hAnsi="Times New Roman" w:cs="Times New Roman" w:hint="eastAsia"/>
          <w:kern w:val="0"/>
          <w:sz w:val="24"/>
          <w:szCs w:val="20"/>
        </w:rPr>
        <w:t>“本基金投资存托凭证的估值核算依照境内上市交易的股票执行。”</w:t>
      </w:r>
    </w:p>
    <w:p w:rsidR="00161C22" w:rsidRPr="00757898" w:rsidRDefault="00D15A83" w:rsidP="008B71DC">
      <w:pPr>
        <w:spacing w:line="360" w:lineRule="auto"/>
        <w:ind w:firstLineChars="200" w:firstLine="480"/>
        <w:rPr>
          <w:rFonts w:ascii="Times New Roman" w:eastAsia="宋体" w:hAnsi="Times New Roman" w:cs="Times New Roman"/>
          <w:kern w:val="0"/>
          <w:sz w:val="24"/>
          <w:szCs w:val="20"/>
        </w:rPr>
      </w:pPr>
      <w:r>
        <w:rPr>
          <w:rFonts w:ascii="Times New Roman" w:eastAsia="宋体" w:hAnsi="Times New Roman" w:cs="Times New Roman" w:hint="eastAsia"/>
          <w:kern w:val="0"/>
          <w:sz w:val="24"/>
          <w:szCs w:val="20"/>
        </w:rPr>
        <w:t>三、</w:t>
      </w:r>
      <w:r w:rsidR="00161C22" w:rsidRPr="00757898">
        <w:rPr>
          <w:rFonts w:ascii="Times New Roman" w:eastAsia="宋体" w:hAnsi="Times New Roman" w:cs="Times New Roman"/>
          <w:kern w:val="0"/>
          <w:sz w:val="24"/>
          <w:szCs w:val="20"/>
        </w:rPr>
        <w:t>本基金管理人经与相关基金托管人协商一致，在本公司对相关基金</w:t>
      </w:r>
      <w:r w:rsidR="0051037C">
        <w:rPr>
          <w:rFonts w:ascii="Times New Roman" w:eastAsia="宋体" w:hAnsi="Times New Roman" w:cs="Times New Roman" w:hint="eastAsia"/>
          <w:kern w:val="0"/>
          <w:sz w:val="24"/>
          <w:szCs w:val="20"/>
        </w:rPr>
        <w:t>的</w:t>
      </w:r>
      <w:r w:rsidR="00161C22" w:rsidRPr="00757898">
        <w:rPr>
          <w:rFonts w:ascii="Times New Roman" w:eastAsia="宋体" w:hAnsi="Times New Roman" w:cs="Times New Roman"/>
          <w:kern w:val="0"/>
          <w:sz w:val="24"/>
          <w:szCs w:val="20"/>
        </w:rPr>
        <w:t>基金合同进行修订后，对相关基金的托管协议</w:t>
      </w:r>
      <w:r w:rsidR="0051037C">
        <w:rPr>
          <w:rFonts w:ascii="Times New Roman" w:eastAsia="宋体" w:hAnsi="Times New Roman" w:cs="Times New Roman" w:hint="eastAsia"/>
          <w:kern w:val="0"/>
          <w:sz w:val="24"/>
          <w:szCs w:val="20"/>
        </w:rPr>
        <w:t>、</w:t>
      </w:r>
      <w:r w:rsidRPr="00D15A83">
        <w:rPr>
          <w:rFonts w:ascii="Times New Roman" w:eastAsia="宋体" w:hAnsi="Times New Roman" w:cs="Times New Roman" w:hint="eastAsia"/>
          <w:kern w:val="0"/>
          <w:sz w:val="24"/>
          <w:szCs w:val="20"/>
        </w:rPr>
        <w:t>招募说明书（更新）、基金产品资料概要</w:t>
      </w:r>
      <w:r>
        <w:rPr>
          <w:rFonts w:ascii="Times New Roman" w:eastAsia="宋体" w:hAnsi="Times New Roman" w:cs="Times New Roman" w:hint="eastAsia"/>
          <w:kern w:val="0"/>
          <w:sz w:val="24"/>
          <w:szCs w:val="20"/>
        </w:rPr>
        <w:t>中</w:t>
      </w:r>
      <w:r w:rsidR="00161C22" w:rsidRPr="00757898">
        <w:rPr>
          <w:rFonts w:ascii="Times New Roman" w:eastAsia="宋体" w:hAnsi="Times New Roman" w:cs="Times New Roman"/>
          <w:kern w:val="0"/>
          <w:sz w:val="24"/>
          <w:szCs w:val="20"/>
        </w:rPr>
        <w:t>涉及的上述相关内容进行相应修订。</w:t>
      </w:r>
    </w:p>
    <w:p w:rsidR="00161C22" w:rsidRPr="00757898" w:rsidRDefault="00161C22" w:rsidP="008B71DC">
      <w:pPr>
        <w:spacing w:line="360" w:lineRule="auto"/>
        <w:ind w:firstLineChars="200" w:firstLine="480"/>
        <w:rPr>
          <w:rFonts w:ascii="Times New Roman" w:eastAsia="宋体" w:hAnsi="Times New Roman" w:cs="Times New Roman"/>
          <w:kern w:val="0"/>
          <w:sz w:val="24"/>
          <w:szCs w:val="20"/>
        </w:rPr>
      </w:pPr>
      <w:r w:rsidRPr="00757898">
        <w:rPr>
          <w:rFonts w:ascii="Times New Roman" w:eastAsia="宋体" w:hAnsi="Times New Roman" w:cs="Times New Roman"/>
          <w:kern w:val="0"/>
          <w:sz w:val="24"/>
          <w:szCs w:val="20"/>
        </w:rPr>
        <w:t>3</w:t>
      </w:r>
      <w:r w:rsidRPr="00757898">
        <w:rPr>
          <w:rFonts w:ascii="Times New Roman" w:eastAsia="宋体" w:hAnsi="Times New Roman" w:cs="Times New Roman"/>
          <w:kern w:val="0"/>
          <w:sz w:val="24"/>
          <w:szCs w:val="20"/>
        </w:rPr>
        <w:t>、本次</w:t>
      </w:r>
      <w:r w:rsidR="00AD5830">
        <w:rPr>
          <w:rFonts w:ascii="Times New Roman" w:eastAsia="宋体" w:hAnsi="Times New Roman" w:cs="Times New Roman" w:hint="eastAsia"/>
          <w:kern w:val="0"/>
          <w:sz w:val="24"/>
          <w:szCs w:val="20"/>
        </w:rPr>
        <w:t>修订</w:t>
      </w:r>
      <w:r w:rsidRPr="00757898">
        <w:rPr>
          <w:rFonts w:ascii="Times New Roman" w:eastAsia="宋体" w:hAnsi="Times New Roman" w:cs="Times New Roman"/>
          <w:kern w:val="0"/>
          <w:sz w:val="24"/>
          <w:szCs w:val="20"/>
        </w:rPr>
        <w:t>对基金份额持有人的利益无实质</w:t>
      </w:r>
      <w:r w:rsidR="00FA289B">
        <w:rPr>
          <w:rFonts w:ascii="Times New Roman" w:eastAsia="宋体" w:hAnsi="Times New Roman" w:cs="Times New Roman" w:hint="eastAsia"/>
          <w:kern w:val="0"/>
          <w:sz w:val="24"/>
          <w:szCs w:val="20"/>
        </w:rPr>
        <w:t>性</w:t>
      </w:r>
      <w:r w:rsidRPr="00757898">
        <w:rPr>
          <w:rFonts w:ascii="Times New Roman" w:eastAsia="宋体" w:hAnsi="Times New Roman" w:cs="Times New Roman"/>
          <w:kern w:val="0"/>
          <w:sz w:val="24"/>
          <w:szCs w:val="20"/>
        </w:rPr>
        <w:t>不利影响</w:t>
      </w:r>
      <w:r w:rsidR="00AD5830">
        <w:rPr>
          <w:rFonts w:ascii="Times New Roman" w:eastAsia="宋体" w:hAnsi="Times New Roman" w:cs="Times New Roman" w:hint="eastAsia"/>
          <w:kern w:val="0"/>
          <w:sz w:val="24"/>
          <w:szCs w:val="20"/>
        </w:rPr>
        <w:t>，并</w:t>
      </w:r>
      <w:r w:rsidRPr="00757898">
        <w:rPr>
          <w:rFonts w:ascii="Times New Roman" w:eastAsia="宋体" w:hAnsi="Times New Roman" w:cs="Times New Roman"/>
          <w:kern w:val="0"/>
          <w:sz w:val="24"/>
          <w:szCs w:val="20"/>
        </w:rPr>
        <w:t>已经履行了规定的程序，符合相关法律法规及基金合同的规定。</w:t>
      </w:r>
    </w:p>
    <w:p w:rsidR="00161C22" w:rsidRPr="00757898" w:rsidRDefault="00161C22" w:rsidP="008B71DC">
      <w:pPr>
        <w:spacing w:line="360" w:lineRule="auto"/>
        <w:ind w:firstLineChars="200" w:firstLine="480"/>
        <w:rPr>
          <w:rFonts w:ascii="Times New Roman" w:eastAsia="宋体" w:hAnsi="Times New Roman" w:cs="Times New Roman"/>
          <w:kern w:val="0"/>
          <w:sz w:val="24"/>
          <w:szCs w:val="20"/>
        </w:rPr>
      </w:pPr>
      <w:r w:rsidRPr="00757898">
        <w:rPr>
          <w:rFonts w:ascii="Times New Roman" w:eastAsia="宋体" w:hAnsi="Times New Roman" w:cs="Times New Roman"/>
          <w:kern w:val="0"/>
          <w:sz w:val="24"/>
          <w:szCs w:val="20"/>
        </w:rPr>
        <w:t>4</w:t>
      </w:r>
      <w:r w:rsidRPr="00757898">
        <w:rPr>
          <w:rFonts w:ascii="Times New Roman" w:eastAsia="宋体" w:hAnsi="Times New Roman" w:cs="Times New Roman"/>
          <w:kern w:val="0"/>
          <w:sz w:val="24"/>
          <w:szCs w:val="20"/>
        </w:rPr>
        <w:t>、本次相关基金修订后的基金合同</w:t>
      </w:r>
      <w:r w:rsidR="00D01D40">
        <w:rPr>
          <w:rFonts w:ascii="Times New Roman" w:eastAsia="宋体" w:hAnsi="Times New Roman" w:cs="Times New Roman" w:hint="eastAsia"/>
          <w:kern w:val="0"/>
          <w:sz w:val="24"/>
          <w:szCs w:val="20"/>
        </w:rPr>
        <w:t>、托管</w:t>
      </w:r>
      <w:r w:rsidR="00D01D40">
        <w:rPr>
          <w:rFonts w:ascii="Times New Roman" w:eastAsia="宋体" w:hAnsi="Times New Roman" w:cs="Times New Roman"/>
          <w:kern w:val="0"/>
          <w:sz w:val="24"/>
          <w:szCs w:val="20"/>
        </w:rPr>
        <w:t>协议</w:t>
      </w:r>
      <w:r w:rsidRPr="00757898">
        <w:rPr>
          <w:rFonts w:ascii="Times New Roman" w:eastAsia="宋体" w:hAnsi="Times New Roman" w:cs="Times New Roman"/>
          <w:kern w:val="0"/>
          <w:sz w:val="24"/>
          <w:szCs w:val="20"/>
        </w:rPr>
        <w:t>自</w:t>
      </w:r>
      <w:r w:rsidR="009564F1">
        <w:rPr>
          <w:rFonts w:ascii="Times New Roman" w:eastAsia="宋体" w:hAnsi="Times New Roman" w:cs="Times New Roman" w:hint="eastAsia"/>
          <w:kern w:val="0"/>
          <w:sz w:val="24"/>
          <w:szCs w:val="20"/>
        </w:rPr>
        <w:t>2</w:t>
      </w:r>
      <w:r w:rsidR="009564F1">
        <w:rPr>
          <w:rFonts w:ascii="Times New Roman" w:eastAsia="宋体" w:hAnsi="Times New Roman" w:cs="Times New Roman"/>
          <w:kern w:val="0"/>
          <w:sz w:val="24"/>
          <w:szCs w:val="20"/>
        </w:rPr>
        <w:t>020</w:t>
      </w:r>
      <w:r w:rsidR="009564F1">
        <w:rPr>
          <w:rFonts w:ascii="Times New Roman" w:eastAsia="宋体" w:hAnsi="Times New Roman" w:cs="Times New Roman" w:hint="eastAsia"/>
          <w:kern w:val="0"/>
          <w:sz w:val="24"/>
          <w:szCs w:val="20"/>
        </w:rPr>
        <w:t>年</w:t>
      </w:r>
      <w:r w:rsidR="009564F1">
        <w:rPr>
          <w:rFonts w:ascii="Times New Roman" w:eastAsia="宋体" w:hAnsi="Times New Roman" w:cs="Times New Roman" w:hint="eastAsia"/>
          <w:kern w:val="0"/>
          <w:sz w:val="24"/>
          <w:szCs w:val="20"/>
        </w:rPr>
        <w:t>11</w:t>
      </w:r>
      <w:r w:rsidR="009564F1">
        <w:rPr>
          <w:rFonts w:ascii="Times New Roman" w:eastAsia="宋体" w:hAnsi="Times New Roman" w:cs="Times New Roman" w:hint="eastAsia"/>
          <w:kern w:val="0"/>
          <w:sz w:val="24"/>
          <w:szCs w:val="20"/>
        </w:rPr>
        <w:t>月</w:t>
      </w:r>
      <w:r w:rsidR="009564F1">
        <w:rPr>
          <w:rFonts w:ascii="Times New Roman" w:eastAsia="宋体" w:hAnsi="Times New Roman" w:cs="Times New Roman" w:hint="eastAsia"/>
          <w:kern w:val="0"/>
          <w:sz w:val="24"/>
          <w:szCs w:val="20"/>
        </w:rPr>
        <w:t>13</w:t>
      </w:r>
      <w:r w:rsidR="009564F1">
        <w:rPr>
          <w:rFonts w:ascii="Times New Roman" w:eastAsia="宋体" w:hAnsi="Times New Roman" w:cs="Times New Roman" w:hint="eastAsia"/>
          <w:kern w:val="0"/>
          <w:sz w:val="24"/>
          <w:szCs w:val="20"/>
        </w:rPr>
        <w:t>日</w:t>
      </w:r>
      <w:r w:rsidRPr="00757898">
        <w:rPr>
          <w:rFonts w:ascii="Times New Roman" w:eastAsia="宋体" w:hAnsi="Times New Roman" w:cs="Times New Roman"/>
          <w:kern w:val="0"/>
          <w:sz w:val="24"/>
          <w:szCs w:val="20"/>
        </w:rPr>
        <w:t>起生效。本公司将于公告当日，将修订后的基金合同、托管协议</w:t>
      </w:r>
      <w:r w:rsidR="00D01D40">
        <w:rPr>
          <w:rFonts w:ascii="Times New Roman" w:eastAsia="宋体" w:hAnsi="Times New Roman" w:cs="Times New Roman" w:hint="eastAsia"/>
          <w:kern w:val="0"/>
          <w:sz w:val="24"/>
          <w:szCs w:val="20"/>
        </w:rPr>
        <w:t>、</w:t>
      </w:r>
      <w:r w:rsidR="00D01D40" w:rsidRPr="00D01D40">
        <w:rPr>
          <w:rFonts w:ascii="Times New Roman" w:eastAsia="宋体" w:hAnsi="Times New Roman" w:cs="Times New Roman" w:hint="eastAsia"/>
          <w:kern w:val="0"/>
          <w:sz w:val="24"/>
          <w:szCs w:val="20"/>
        </w:rPr>
        <w:t>招募说明书（更新）、基金产品资料概要</w:t>
      </w:r>
      <w:r w:rsidRPr="00757898">
        <w:rPr>
          <w:rFonts w:ascii="Times New Roman" w:eastAsia="宋体" w:hAnsi="Times New Roman" w:cs="Times New Roman"/>
          <w:kern w:val="0"/>
          <w:sz w:val="24"/>
          <w:szCs w:val="20"/>
        </w:rPr>
        <w:t>登载于本公司网站（</w:t>
      </w:r>
      <w:r w:rsidR="00081617" w:rsidRPr="00081617">
        <w:rPr>
          <w:rFonts w:ascii="Times New Roman" w:eastAsia="宋体" w:hAnsi="Times New Roman" w:cs="Times New Roman"/>
          <w:kern w:val="0"/>
          <w:sz w:val="24"/>
          <w:szCs w:val="20"/>
        </w:rPr>
        <w:t>http://www.rtfund.com</w:t>
      </w:r>
      <w:r w:rsidRPr="00757898">
        <w:rPr>
          <w:rFonts w:ascii="Times New Roman" w:eastAsia="宋体" w:hAnsi="Times New Roman" w:cs="Times New Roman"/>
          <w:kern w:val="0"/>
          <w:sz w:val="24"/>
          <w:szCs w:val="20"/>
        </w:rPr>
        <w:t>）和中国证监会</w:t>
      </w:r>
      <w:r w:rsidR="0051037C">
        <w:rPr>
          <w:rFonts w:ascii="Times New Roman" w:eastAsia="宋体" w:hAnsi="Times New Roman" w:cs="Times New Roman" w:hint="eastAsia"/>
          <w:kern w:val="0"/>
          <w:sz w:val="24"/>
          <w:szCs w:val="20"/>
        </w:rPr>
        <w:t>基金</w:t>
      </w:r>
      <w:r w:rsidRPr="00757898">
        <w:rPr>
          <w:rFonts w:ascii="Times New Roman" w:eastAsia="宋体" w:hAnsi="Times New Roman" w:cs="Times New Roman"/>
          <w:kern w:val="0"/>
          <w:sz w:val="24"/>
          <w:szCs w:val="20"/>
        </w:rPr>
        <w:t>电子披露网站</w:t>
      </w:r>
      <w:r w:rsidRPr="00757898">
        <w:rPr>
          <w:rFonts w:ascii="Times New Roman" w:eastAsia="宋体" w:hAnsi="Times New Roman" w:cs="Times New Roman" w:hint="eastAsia"/>
          <w:kern w:val="0"/>
          <w:sz w:val="24"/>
          <w:szCs w:val="20"/>
        </w:rPr>
        <w:t>（</w:t>
      </w:r>
      <w:r w:rsidR="0051037C" w:rsidRPr="00F662E8">
        <w:rPr>
          <w:rFonts w:ascii="Times New Roman" w:eastAsia="宋体" w:hAnsi="Times New Roman" w:cs="Times New Roman"/>
          <w:kern w:val="0"/>
          <w:sz w:val="24"/>
          <w:szCs w:val="20"/>
        </w:rPr>
        <w:t>http://eid.csrc.gov.cn/fund/</w:t>
      </w:r>
      <w:r w:rsidRPr="00757898">
        <w:rPr>
          <w:rFonts w:ascii="Times New Roman" w:eastAsia="宋体" w:hAnsi="Times New Roman" w:cs="Times New Roman"/>
          <w:kern w:val="0"/>
          <w:sz w:val="24"/>
          <w:szCs w:val="20"/>
        </w:rPr>
        <w:t>）。投资者可登录本公司网站查询详细信息或拨打本公司</w:t>
      </w:r>
      <w:r w:rsidR="00081617" w:rsidRPr="00081617">
        <w:rPr>
          <w:rFonts w:ascii="Times New Roman" w:eastAsia="宋体" w:hAnsi="Times New Roman" w:cs="Times New Roman" w:hint="eastAsia"/>
          <w:kern w:val="0"/>
          <w:sz w:val="24"/>
          <w:szCs w:val="20"/>
        </w:rPr>
        <w:t>客户服务热线：</w:t>
      </w:r>
      <w:r w:rsidR="00081617" w:rsidRPr="00081617">
        <w:rPr>
          <w:rFonts w:ascii="Times New Roman" w:eastAsia="宋体" w:hAnsi="Times New Roman" w:cs="Times New Roman"/>
          <w:kern w:val="0"/>
          <w:sz w:val="24"/>
          <w:szCs w:val="20"/>
        </w:rPr>
        <w:t>400-883-8088</w:t>
      </w:r>
      <w:r w:rsidR="00081617" w:rsidRPr="00081617">
        <w:rPr>
          <w:rFonts w:ascii="Times New Roman" w:eastAsia="宋体" w:hAnsi="Times New Roman" w:cs="Times New Roman"/>
          <w:kern w:val="0"/>
          <w:sz w:val="24"/>
          <w:szCs w:val="20"/>
        </w:rPr>
        <w:t>（免长途话费）</w:t>
      </w:r>
      <w:r w:rsidR="00081617">
        <w:rPr>
          <w:rFonts w:ascii="Times New Roman" w:eastAsia="宋体" w:hAnsi="Times New Roman" w:cs="Times New Roman" w:hint="eastAsia"/>
          <w:kern w:val="0"/>
          <w:sz w:val="24"/>
          <w:szCs w:val="20"/>
        </w:rPr>
        <w:t>咨询</w:t>
      </w:r>
      <w:r w:rsidR="00081617">
        <w:rPr>
          <w:rFonts w:ascii="Times New Roman" w:eastAsia="宋体" w:hAnsi="Times New Roman" w:cs="Times New Roman"/>
          <w:kern w:val="0"/>
          <w:sz w:val="24"/>
          <w:szCs w:val="20"/>
        </w:rPr>
        <w:t>相关情况</w:t>
      </w:r>
      <w:r w:rsidRPr="00757898">
        <w:rPr>
          <w:rFonts w:ascii="Times New Roman" w:eastAsia="宋体" w:hAnsi="Times New Roman" w:cs="Times New Roman"/>
          <w:kern w:val="0"/>
          <w:sz w:val="24"/>
          <w:szCs w:val="20"/>
        </w:rPr>
        <w:t>。</w:t>
      </w:r>
    </w:p>
    <w:p w:rsidR="00161C22" w:rsidRPr="00757898" w:rsidRDefault="00161C22" w:rsidP="008B71DC">
      <w:pPr>
        <w:spacing w:line="360" w:lineRule="auto"/>
        <w:ind w:firstLineChars="200" w:firstLine="480"/>
        <w:rPr>
          <w:rFonts w:ascii="Times New Roman" w:eastAsia="宋体" w:hAnsi="Times New Roman" w:cs="Times New Roman"/>
          <w:kern w:val="0"/>
          <w:sz w:val="24"/>
          <w:szCs w:val="20"/>
        </w:rPr>
      </w:pPr>
    </w:p>
    <w:p w:rsidR="0001698B" w:rsidRPr="00757898" w:rsidRDefault="00161C22" w:rsidP="008B71DC">
      <w:pPr>
        <w:spacing w:line="360" w:lineRule="auto"/>
        <w:ind w:firstLineChars="200" w:firstLine="480"/>
        <w:rPr>
          <w:rFonts w:ascii="Times New Roman" w:eastAsia="宋体" w:hAnsi="Times New Roman" w:cs="Times New Roman"/>
          <w:kern w:val="0"/>
          <w:sz w:val="24"/>
          <w:szCs w:val="20"/>
        </w:rPr>
      </w:pPr>
      <w:r w:rsidRPr="00757898">
        <w:rPr>
          <w:rFonts w:ascii="Times New Roman" w:eastAsia="宋体" w:hAnsi="Times New Roman" w:cs="Times New Roman" w:hint="eastAsia"/>
          <w:kern w:val="0"/>
          <w:sz w:val="24"/>
          <w:szCs w:val="20"/>
        </w:rPr>
        <w:t>风险提示：</w:t>
      </w:r>
      <w:r w:rsidR="00081617" w:rsidRPr="00081617">
        <w:rPr>
          <w:rFonts w:ascii="Times New Roman" w:eastAsia="宋体" w:hAnsi="Times New Roman" w:cs="Times New Roman" w:hint="eastAsia"/>
          <w:kern w:val="0"/>
          <w:sz w:val="24"/>
          <w:szCs w:val="20"/>
        </w:rPr>
        <w:t>基金管理人承诺依照恪尽职守、诚实信用、谨慎勤勉的原则管理和运用基金财产，但投资者购买本基金并不等于将资金作为存款存放在银行或存款类金融机构，本基金管理人不保证投资本基金一定盈利，也不保证最低收益。投资有风险，敬请投资者在投资基金前认真阅读《基金合同》、《招募说明书》等基金法律文件，了解基金的风险收益特征，并根据自身的风险承受能力选择适</w:t>
      </w:r>
      <w:r w:rsidR="00081617" w:rsidRPr="00081617">
        <w:rPr>
          <w:rFonts w:ascii="Times New Roman" w:eastAsia="宋体" w:hAnsi="Times New Roman" w:cs="Times New Roman" w:hint="eastAsia"/>
          <w:kern w:val="0"/>
          <w:sz w:val="24"/>
          <w:szCs w:val="20"/>
        </w:rPr>
        <w:lastRenderedPageBreak/>
        <w:t>合自己的基金产品。敬请投资者在购买基金前认真考虑、谨慎决策。</w:t>
      </w:r>
    </w:p>
    <w:p w:rsidR="0001698B" w:rsidRPr="00757898" w:rsidRDefault="0001698B" w:rsidP="008B71DC">
      <w:pPr>
        <w:spacing w:line="360" w:lineRule="auto"/>
        <w:ind w:firstLineChars="200" w:firstLine="480"/>
        <w:rPr>
          <w:rFonts w:ascii="Times New Roman" w:eastAsia="宋体" w:hAnsi="Times New Roman" w:cs="Times New Roman"/>
          <w:kern w:val="0"/>
          <w:sz w:val="24"/>
          <w:szCs w:val="20"/>
        </w:rPr>
      </w:pPr>
    </w:p>
    <w:p w:rsidR="0001698B" w:rsidRPr="00757898" w:rsidRDefault="0001698B" w:rsidP="008B71DC">
      <w:pPr>
        <w:spacing w:line="360" w:lineRule="auto"/>
        <w:ind w:firstLineChars="200" w:firstLine="480"/>
        <w:rPr>
          <w:rFonts w:ascii="Times New Roman" w:eastAsia="宋体" w:hAnsi="Times New Roman" w:cs="Times New Roman"/>
          <w:kern w:val="0"/>
          <w:sz w:val="24"/>
          <w:szCs w:val="20"/>
        </w:rPr>
      </w:pPr>
      <w:r w:rsidRPr="00757898">
        <w:rPr>
          <w:rFonts w:ascii="Times New Roman" w:eastAsia="宋体" w:hAnsi="Times New Roman" w:cs="Times New Roman" w:hint="eastAsia"/>
          <w:kern w:val="0"/>
          <w:sz w:val="24"/>
          <w:szCs w:val="20"/>
        </w:rPr>
        <w:t>特此公告。</w:t>
      </w:r>
    </w:p>
    <w:p w:rsidR="00731A64" w:rsidRDefault="00731A64" w:rsidP="008B71DC">
      <w:pPr>
        <w:spacing w:line="360" w:lineRule="auto"/>
        <w:rPr>
          <w:rFonts w:ascii="Times New Roman" w:eastAsia="宋体" w:hAnsi="Times New Roman" w:cs="Times New Roman"/>
          <w:kern w:val="0"/>
          <w:sz w:val="24"/>
          <w:szCs w:val="20"/>
        </w:rPr>
      </w:pPr>
    </w:p>
    <w:p w:rsidR="00731A64" w:rsidRDefault="00731A64" w:rsidP="008B71DC">
      <w:pPr>
        <w:spacing w:line="360" w:lineRule="auto"/>
        <w:rPr>
          <w:rFonts w:ascii="Times New Roman" w:eastAsia="宋体" w:hAnsi="Times New Roman" w:cs="Times New Roman"/>
          <w:kern w:val="0"/>
          <w:sz w:val="24"/>
          <w:szCs w:val="20"/>
        </w:rPr>
      </w:pPr>
    </w:p>
    <w:p w:rsidR="00731A64" w:rsidRDefault="00731A64" w:rsidP="008B71DC">
      <w:pPr>
        <w:spacing w:line="360" w:lineRule="auto"/>
        <w:rPr>
          <w:rFonts w:ascii="Times New Roman" w:eastAsia="宋体" w:hAnsi="Times New Roman" w:cs="Times New Roman"/>
          <w:kern w:val="0"/>
          <w:sz w:val="24"/>
          <w:szCs w:val="20"/>
        </w:rPr>
      </w:pPr>
    </w:p>
    <w:p w:rsidR="00731A64" w:rsidRDefault="00731A64" w:rsidP="008B71DC">
      <w:pPr>
        <w:spacing w:line="360" w:lineRule="auto"/>
        <w:rPr>
          <w:rFonts w:ascii="Times New Roman" w:eastAsia="宋体" w:hAnsi="Times New Roman" w:cs="Times New Roman"/>
          <w:kern w:val="0"/>
          <w:sz w:val="24"/>
          <w:szCs w:val="20"/>
        </w:rPr>
      </w:pPr>
    </w:p>
    <w:p w:rsidR="0001698B" w:rsidRPr="00757898" w:rsidRDefault="00161C22" w:rsidP="008B71DC">
      <w:pPr>
        <w:spacing w:line="360" w:lineRule="auto"/>
        <w:jc w:val="right"/>
        <w:rPr>
          <w:rFonts w:ascii="Times New Roman" w:eastAsia="宋体" w:hAnsi="Times New Roman" w:cs="Times New Roman"/>
          <w:kern w:val="0"/>
          <w:sz w:val="24"/>
          <w:szCs w:val="20"/>
        </w:rPr>
      </w:pPr>
      <w:r w:rsidRPr="00757898">
        <w:rPr>
          <w:rFonts w:ascii="Times New Roman" w:eastAsia="宋体" w:hAnsi="Times New Roman" w:cs="Times New Roman" w:hint="eastAsia"/>
          <w:kern w:val="0"/>
          <w:sz w:val="24"/>
          <w:szCs w:val="20"/>
        </w:rPr>
        <w:t>融通</w:t>
      </w:r>
      <w:r w:rsidR="0001698B" w:rsidRPr="00757898">
        <w:rPr>
          <w:rFonts w:ascii="Times New Roman" w:eastAsia="宋体" w:hAnsi="Times New Roman" w:cs="Times New Roman" w:hint="eastAsia"/>
          <w:kern w:val="0"/>
          <w:sz w:val="24"/>
          <w:szCs w:val="20"/>
        </w:rPr>
        <w:t>基金管理有限公司</w:t>
      </w:r>
    </w:p>
    <w:p w:rsidR="0001698B" w:rsidRPr="00757898" w:rsidRDefault="00FD3010" w:rsidP="008B71DC">
      <w:pPr>
        <w:spacing w:line="360" w:lineRule="auto"/>
        <w:jc w:val="right"/>
        <w:rPr>
          <w:rFonts w:ascii="Times New Roman" w:eastAsia="宋体" w:hAnsi="Times New Roman" w:cs="Times New Roman"/>
          <w:kern w:val="0"/>
          <w:sz w:val="24"/>
          <w:szCs w:val="20"/>
        </w:rPr>
      </w:pPr>
      <w:r w:rsidRPr="00757898">
        <w:rPr>
          <w:rFonts w:ascii="Times New Roman" w:eastAsia="宋体" w:hAnsi="Times New Roman" w:cs="Times New Roman"/>
          <w:kern w:val="0"/>
          <w:sz w:val="24"/>
          <w:szCs w:val="20"/>
        </w:rPr>
        <w:t>20</w:t>
      </w:r>
      <w:r>
        <w:rPr>
          <w:rFonts w:ascii="Times New Roman" w:eastAsia="宋体" w:hAnsi="Times New Roman" w:cs="Times New Roman"/>
          <w:kern w:val="0"/>
          <w:sz w:val="24"/>
          <w:szCs w:val="20"/>
        </w:rPr>
        <w:t>20</w:t>
      </w:r>
      <w:r w:rsidR="0001698B" w:rsidRPr="00757898">
        <w:rPr>
          <w:rFonts w:ascii="Times New Roman" w:eastAsia="宋体" w:hAnsi="Times New Roman" w:cs="Times New Roman"/>
          <w:kern w:val="0"/>
          <w:sz w:val="24"/>
          <w:szCs w:val="20"/>
        </w:rPr>
        <w:t>年</w:t>
      </w:r>
      <w:r>
        <w:rPr>
          <w:rFonts w:ascii="Times New Roman" w:eastAsia="宋体" w:hAnsi="Times New Roman" w:cs="Times New Roman"/>
          <w:kern w:val="0"/>
          <w:sz w:val="24"/>
          <w:szCs w:val="20"/>
        </w:rPr>
        <w:t>11</w:t>
      </w:r>
      <w:r w:rsidR="0001698B" w:rsidRPr="00757898">
        <w:rPr>
          <w:rFonts w:ascii="Times New Roman" w:eastAsia="宋体" w:hAnsi="Times New Roman" w:cs="Times New Roman"/>
          <w:kern w:val="0"/>
          <w:sz w:val="24"/>
          <w:szCs w:val="20"/>
        </w:rPr>
        <w:t>月</w:t>
      </w:r>
      <w:r w:rsidR="000D583C">
        <w:rPr>
          <w:rFonts w:ascii="Times New Roman" w:eastAsia="宋体" w:hAnsi="Times New Roman" w:cs="Times New Roman"/>
          <w:kern w:val="0"/>
          <w:sz w:val="24"/>
          <w:szCs w:val="20"/>
        </w:rPr>
        <w:t>1</w:t>
      </w:r>
      <w:r w:rsidR="00FB1A98">
        <w:rPr>
          <w:rFonts w:ascii="Times New Roman" w:eastAsia="宋体" w:hAnsi="Times New Roman" w:cs="Times New Roman"/>
          <w:kern w:val="0"/>
          <w:sz w:val="24"/>
          <w:szCs w:val="20"/>
        </w:rPr>
        <w:t>3</w:t>
      </w:r>
      <w:r w:rsidR="0001698B" w:rsidRPr="00757898">
        <w:rPr>
          <w:rFonts w:ascii="Times New Roman" w:eastAsia="宋体" w:hAnsi="Times New Roman" w:cs="Times New Roman"/>
          <w:kern w:val="0"/>
          <w:sz w:val="24"/>
          <w:szCs w:val="20"/>
        </w:rPr>
        <w:t>日</w:t>
      </w:r>
    </w:p>
    <w:p w:rsidR="0001698B" w:rsidRPr="00757898" w:rsidRDefault="0001698B" w:rsidP="008B71DC">
      <w:pPr>
        <w:rPr>
          <w:rFonts w:ascii="Times New Roman" w:eastAsia="宋体" w:hAnsi="Times New Roman" w:cs="Times New Roman"/>
          <w:kern w:val="0"/>
          <w:sz w:val="24"/>
          <w:szCs w:val="20"/>
        </w:rPr>
      </w:pPr>
      <w:r w:rsidRPr="00757898">
        <w:rPr>
          <w:rFonts w:ascii="Times New Roman" w:eastAsia="宋体" w:hAnsi="Times New Roman" w:cs="Times New Roman"/>
          <w:kern w:val="0"/>
          <w:sz w:val="24"/>
          <w:szCs w:val="20"/>
        </w:rPr>
        <w:br w:type="page"/>
      </w:r>
    </w:p>
    <w:p w:rsidR="00CB3EC9" w:rsidRPr="00700AA0" w:rsidRDefault="00E00840" w:rsidP="005524A1">
      <w:pPr>
        <w:spacing w:afterLines="100"/>
        <w:jc w:val="left"/>
        <w:rPr>
          <w:rFonts w:ascii="Times New Roman" w:eastAsia="宋体" w:hAnsi="Times New Roman" w:cs="Times New Roman"/>
          <w:b/>
          <w:kern w:val="0"/>
          <w:sz w:val="24"/>
          <w:szCs w:val="20"/>
        </w:rPr>
      </w:pPr>
      <w:r w:rsidRPr="00700AA0">
        <w:rPr>
          <w:rFonts w:ascii="Times New Roman" w:eastAsia="宋体" w:hAnsi="Times New Roman" w:cs="Times New Roman" w:hint="eastAsia"/>
          <w:b/>
          <w:kern w:val="0"/>
          <w:sz w:val="24"/>
          <w:szCs w:val="20"/>
        </w:rPr>
        <w:lastRenderedPageBreak/>
        <w:t>附</w:t>
      </w:r>
      <w:r>
        <w:rPr>
          <w:rFonts w:ascii="Times New Roman" w:eastAsia="宋体" w:hAnsi="Times New Roman" w:cs="Times New Roman" w:hint="eastAsia"/>
          <w:b/>
          <w:kern w:val="0"/>
          <w:sz w:val="24"/>
          <w:szCs w:val="20"/>
        </w:rPr>
        <w:t>表</w:t>
      </w:r>
      <w:r w:rsidR="0001698B" w:rsidRPr="00700AA0">
        <w:rPr>
          <w:rFonts w:ascii="Times New Roman" w:eastAsia="宋体" w:hAnsi="Times New Roman" w:cs="Times New Roman" w:hint="eastAsia"/>
          <w:b/>
          <w:kern w:val="0"/>
          <w:sz w:val="24"/>
          <w:szCs w:val="20"/>
        </w:rPr>
        <w:t>：本次修订基金合同的相关基金名单</w:t>
      </w:r>
    </w:p>
    <w:tbl>
      <w:tblPr>
        <w:tblStyle w:val="a7"/>
        <w:tblW w:w="0" w:type="auto"/>
        <w:tblLook w:val="04A0"/>
      </w:tblPr>
      <w:tblGrid>
        <w:gridCol w:w="1080"/>
        <w:gridCol w:w="1607"/>
        <w:gridCol w:w="5515"/>
      </w:tblGrid>
      <w:tr w:rsidR="00E82A5E" w:rsidRPr="00E82A5E" w:rsidTr="00B86205">
        <w:trPr>
          <w:trHeight w:val="330"/>
        </w:trPr>
        <w:tc>
          <w:tcPr>
            <w:tcW w:w="1080" w:type="dxa"/>
            <w:noWrap/>
            <w:hideMark/>
          </w:tcPr>
          <w:p w:rsidR="00E82A5E" w:rsidRPr="00575480" w:rsidRDefault="00E82A5E" w:rsidP="00E82A5E">
            <w:pPr>
              <w:rPr>
                <w:b/>
                <w:bCs/>
                <w:sz w:val="22"/>
              </w:rPr>
            </w:pPr>
            <w:r w:rsidRPr="00575480">
              <w:rPr>
                <w:rFonts w:hint="eastAsia"/>
                <w:b/>
                <w:bCs/>
                <w:sz w:val="22"/>
              </w:rPr>
              <w:t>序号</w:t>
            </w:r>
          </w:p>
        </w:tc>
        <w:tc>
          <w:tcPr>
            <w:tcW w:w="1607" w:type="dxa"/>
            <w:noWrap/>
            <w:hideMark/>
          </w:tcPr>
          <w:p w:rsidR="00E82A5E" w:rsidRPr="00575480" w:rsidRDefault="00E82A5E">
            <w:pPr>
              <w:rPr>
                <w:b/>
                <w:bCs/>
                <w:sz w:val="22"/>
              </w:rPr>
            </w:pPr>
            <w:r w:rsidRPr="00575480">
              <w:rPr>
                <w:rFonts w:hint="eastAsia"/>
                <w:b/>
                <w:bCs/>
                <w:sz w:val="22"/>
              </w:rPr>
              <w:t>基金主代码</w:t>
            </w:r>
          </w:p>
        </w:tc>
        <w:tc>
          <w:tcPr>
            <w:tcW w:w="5515" w:type="dxa"/>
            <w:noWrap/>
            <w:hideMark/>
          </w:tcPr>
          <w:p w:rsidR="00E82A5E" w:rsidRPr="00575480" w:rsidRDefault="00E82A5E">
            <w:pPr>
              <w:rPr>
                <w:b/>
                <w:bCs/>
                <w:sz w:val="22"/>
              </w:rPr>
            </w:pPr>
            <w:r w:rsidRPr="00575480">
              <w:rPr>
                <w:rFonts w:hint="eastAsia"/>
                <w:b/>
                <w:bCs/>
                <w:sz w:val="22"/>
              </w:rPr>
              <w:t>基金名称</w:t>
            </w:r>
          </w:p>
        </w:tc>
      </w:tr>
      <w:tr w:rsidR="00E82A5E" w:rsidRPr="00E82A5E" w:rsidTr="00B86205">
        <w:trPr>
          <w:trHeight w:val="330"/>
        </w:trPr>
        <w:tc>
          <w:tcPr>
            <w:tcW w:w="1080" w:type="dxa"/>
            <w:noWrap/>
            <w:hideMark/>
          </w:tcPr>
          <w:p w:rsidR="00E82A5E" w:rsidRPr="00575480" w:rsidRDefault="00E82A5E">
            <w:pPr>
              <w:rPr>
                <w:sz w:val="22"/>
              </w:rPr>
            </w:pPr>
            <w:r w:rsidRPr="00575480">
              <w:rPr>
                <w:rFonts w:hint="eastAsia"/>
                <w:sz w:val="22"/>
              </w:rPr>
              <w:t>1</w:t>
            </w:r>
          </w:p>
        </w:tc>
        <w:tc>
          <w:tcPr>
            <w:tcW w:w="1607" w:type="dxa"/>
            <w:noWrap/>
            <w:hideMark/>
          </w:tcPr>
          <w:p w:rsidR="00E82A5E" w:rsidRPr="00575480" w:rsidRDefault="00E82A5E">
            <w:pPr>
              <w:rPr>
                <w:sz w:val="22"/>
              </w:rPr>
            </w:pPr>
            <w:r w:rsidRPr="00575480">
              <w:rPr>
                <w:rFonts w:hint="eastAsia"/>
                <w:sz w:val="22"/>
              </w:rPr>
              <w:t>000717</w:t>
            </w:r>
          </w:p>
        </w:tc>
        <w:tc>
          <w:tcPr>
            <w:tcW w:w="5515" w:type="dxa"/>
            <w:noWrap/>
            <w:hideMark/>
          </w:tcPr>
          <w:p w:rsidR="00E82A5E" w:rsidRPr="00575480" w:rsidRDefault="00E82A5E">
            <w:pPr>
              <w:rPr>
                <w:sz w:val="22"/>
              </w:rPr>
            </w:pPr>
            <w:r w:rsidRPr="00575480">
              <w:rPr>
                <w:rFonts w:hint="eastAsia"/>
                <w:sz w:val="22"/>
              </w:rPr>
              <w:t>融通转型三动力灵活配置混合型证券投资基金</w:t>
            </w:r>
          </w:p>
        </w:tc>
      </w:tr>
      <w:tr w:rsidR="00E82A5E" w:rsidRPr="00E82A5E" w:rsidTr="00B86205">
        <w:trPr>
          <w:trHeight w:val="330"/>
        </w:trPr>
        <w:tc>
          <w:tcPr>
            <w:tcW w:w="1080" w:type="dxa"/>
            <w:noWrap/>
            <w:hideMark/>
          </w:tcPr>
          <w:p w:rsidR="00E82A5E" w:rsidRPr="00575480" w:rsidRDefault="00E82A5E">
            <w:pPr>
              <w:rPr>
                <w:sz w:val="22"/>
              </w:rPr>
            </w:pPr>
            <w:r w:rsidRPr="00575480">
              <w:rPr>
                <w:rFonts w:hint="eastAsia"/>
                <w:sz w:val="22"/>
              </w:rPr>
              <w:t>2</w:t>
            </w:r>
          </w:p>
        </w:tc>
        <w:tc>
          <w:tcPr>
            <w:tcW w:w="1607" w:type="dxa"/>
            <w:noWrap/>
            <w:hideMark/>
          </w:tcPr>
          <w:p w:rsidR="00E82A5E" w:rsidRPr="00575480" w:rsidRDefault="00E82A5E">
            <w:pPr>
              <w:rPr>
                <w:sz w:val="22"/>
              </w:rPr>
            </w:pPr>
            <w:r w:rsidRPr="00575480">
              <w:rPr>
                <w:rFonts w:hint="eastAsia"/>
                <w:sz w:val="22"/>
              </w:rPr>
              <w:t>000727</w:t>
            </w:r>
          </w:p>
        </w:tc>
        <w:tc>
          <w:tcPr>
            <w:tcW w:w="5515" w:type="dxa"/>
            <w:noWrap/>
            <w:hideMark/>
          </w:tcPr>
          <w:p w:rsidR="00E82A5E" w:rsidRPr="00575480" w:rsidRDefault="00E82A5E">
            <w:pPr>
              <w:rPr>
                <w:sz w:val="22"/>
              </w:rPr>
            </w:pPr>
            <w:r w:rsidRPr="00575480">
              <w:rPr>
                <w:rFonts w:hint="eastAsia"/>
                <w:sz w:val="22"/>
              </w:rPr>
              <w:t>融通健康产业灵活配置混合型证券投资基金</w:t>
            </w:r>
          </w:p>
        </w:tc>
      </w:tr>
      <w:tr w:rsidR="00E82A5E" w:rsidRPr="00E82A5E" w:rsidTr="00B86205">
        <w:trPr>
          <w:trHeight w:val="330"/>
        </w:trPr>
        <w:tc>
          <w:tcPr>
            <w:tcW w:w="1080" w:type="dxa"/>
            <w:noWrap/>
            <w:hideMark/>
          </w:tcPr>
          <w:p w:rsidR="00E82A5E" w:rsidRPr="00575480" w:rsidRDefault="00E82A5E">
            <w:pPr>
              <w:rPr>
                <w:sz w:val="22"/>
              </w:rPr>
            </w:pPr>
            <w:r w:rsidRPr="00575480">
              <w:rPr>
                <w:rFonts w:hint="eastAsia"/>
                <w:sz w:val="22"/>
              </w:rPr>
              <w:t>3</w:t>
            </w:r>
          </w:p>
        </w:tc>
        <w:tc>
          <w:tcPr>
            <w:tcW w:w="1607" w:type="dxa"/>
            <w:noWrap/>
            <w:hideMark/>
          </w:tcPr>
          <w:p w:rsidR="00E82A5E" w:rsidRPr="00575480" w:rsidRDefault="00E82A5E">
            <w:pPr>
              <w:rPr>
                <w:sz w:val="22"/>
              </w:rPr>
            </w:pPr>
            <w:r w:rsidRPr="00575480">
              <w:rPr>
                <w:rFonts w:hint="eastAsia"/>
                <w:sz w:val="22"/>
              </w:rPr>
              <w:t>001150</w:t>
            </w:r>
          </w:p>
        </w:tc>
        <w:tc>
          <w:tcPr>
            <w:tcW w:w="5515" w:type="dxa"/>
            <w:noWrap/>
            <w:hideMark/>
          </w:tcPr>
          <w:p w:rsidR="00E82A5E" w:rsidRPr="00575480" w:rsidRDefault="00E82A5E">
            <w:pPr>
              <w:rPr>
                <w:sz w:val="22"/>
              </w:rPr>
            </w:pPr>
            <w:r w:rsidRPr="00575480">
              <w:rPr>
                <w:rFonts w:hint="eastAsia"/>
                <w:sz w:val="22"/>
              </w:rPr>
              <w:t>融通互联网传媒灵活配置混合型证券投资基金</w:t>
            </w:r>
          </w:p>
        </w:tc>
      </w:tr>
      <w:tr w:rsidR="00E82A5E" w:rsidRPr="00E82A5E" w:rsidTr="00B86205">
        <w:trPr>
          <w:trHeight w:val="330"/>
        </w:trPr>
        <w:tc>
          <w:tcPr>
            <w:tcW w:w="1080" w:type="dxa"/>
            <w:noWrap/>
            <w:hideMark/>
          </w:tcPr>
          <w:p w:rsidR="00E82A5E" w:rsidRPr="00575480" w:rsidRDefault="00E82A5E">
            <w:pPr>
              <w:rPr>
                <w:sz w:val="22"/>
              </w:rPr>
            </w:pPr>
            <w:r w:rsidRPr="00575480">
              <w:rPr>
                <w:rFonts w:hint="eastAsia"/>
                <w:sz w:val="22"/>
              </w:rPr>
              <w:t>4</w:t>
            </w:r>
          </w:p>
        </w:tc>
        <w:tc>
          <w:tcPr>
            <w:tcW w:w="1607" w:type="dxa"/>
            <w:noWrap/>
            <w:hideMark/>
          </w:tcPr>
          <w:p w:rsidR="00E82A5E" w:rsidRPr="00575480" w:rsidRDefault="00E82A5E">
            <w:pPr>
              <w:rPr>
                <w:sz w:val="22"/>
              </w:rPr>
            </w:pPr>
            <w:r w:rsidRPr="00575480">
              <w:rPr>
                <w:rFonts w:hint="eastAsia"/>
                <w:sz w:val="22"/>
              </w:rPr>
              <w:t>001152</w:t>
            </w:r>
          </w:p>
        </w:tc>
        <w:tc>
          <w:tcPr>
            <w:tcW w:w="5515" w:type="dxa"/>
            <w:noWrap/>
            <w:hideMark/>
          </w:tcPr>
          <w:p w:rsidR="00E82A5E" w:rsidRPr="00575480" w:rsidRDefault="00E82A5E">
            <w:pPr>
              <w:rPr>
                <w:sz w:val="22"/>
              </w:rPr>
            </w:pPr>
            <w:r w:rsidRPr="00575480">
              <w:rPr>
                <w:rFonts w:hint="eastAsia"/>
                <w:sz w:val="22"/>
              </w:rPr>
              <w:t>融通新区域新经济灵活配置混合型证券投资基金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5</w:t>
            </w:r>
          </w:p>
        </w:tc>
        <w:tc>
          <w:tcPr>
            <w:tcW w:w="1607" w:type="dxa"/>
            <w:noWrap/>
          </w:tcPr>
          <w:p w:rsidR="00D82867" w:rsidRPr="00575480" w:rsidRDefault="00D82867" w:rsidP="00D82867">
            <w:pPr>
              <w:rPr>
                <w:sz w:val="22"/>
              </w:rPr>
            </w:pPr>
            <w:r w:rsidRPr="00575480">
              <w:rPr>
                <w:rFonts w:hint="eastAsia"/>
                <w:sz w:val="22"/>
              </w:rPr>
              <w:t>001471</w:t>
            </w:r>
          </w:p>
        </w:tc>
        <w:tc>
          <w:tcPr>
            <w:tcW w:w="5515" w:type="dxa"/>
            <w:noWrap/>
          </w:tcPr>
          <w:p w:rsidR="00D82867" w:rsidRPr="00575480" w:rsidRDefault="00D82867" w:rsidP="00D82867">
            <w:pPr>
              <w:rPr>
                <w:sz w:val="22"/>
              </w:rPr>
            </w:pPr>
            <w:r w:rsidRPr="00575480">
              <w:rPr>
                <w:rFonts w:hint="eastAsia"/>
                <w:sz w:val="22"/>
              </w:rPr>
              <w:t>融通新能源灵活配置混合型证券投资基金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6</w:t>
            </w:r>
          </w:p>
        </w:tc>
        <w:tc>
          <w:tcPr>
            <w:tcW w:w="1607" w:type="dxa"/>
            <w:noWrap/>
          </w:tcPr>
          <w:p w:rsidR="00D82867" w:rsidRPr="00575480" w:rsidRDefault="00D82867" w:rsidP="00D82867">
            <w:pPr>
              <w:rPr>
                <w:sz w:val="22"/>
              </w:rPr>
            </w:pPr>
            <w:r w:rsidRPr="00575480">
              <w:rPr>
                <w:rFonts w:hint="eastAsia"/>
                <w:sz w:val="22"/>
              </w:rPr>
              <w:t>001830</w:t>
            </w:r>
          </w:p>
        </w:tc>
        <w:tc>
          <w:tcPr>
            <w:tcW w:w="5515" w:type="dxa"/>
            <w:noWrap/>
          </w:tcPr>
          <w:p w:rsidR="00D82867" w:rsidRPr="00575480" w:rsidRDefault="00D82867" w:rsidP="00D82867">
            <w:pPr>
              <w:rPr>
                <w:sz w:val="22"/>
              </w:rPr>
            </w:pPr>
            <w:r w:rsidRPr="00575480">
              <w:rPr>
                <w:rFonts w:hint="eastAsia"/>
                <w:sz w:val="22"/>
              </w:rPr>
              <w:t>融通跨界成长灵活配置混合型证券投资基金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7</w:t>
            </w:r>
          </w:p>
        </w:tc>
        <w:tc>
          <w:tcPr>
            <w:tcW w:w="1607" w:type="dxa"/>
            <w:noWrap/>
          </w:tcPr>
          <w:p w:rsidR="00D82867" w:rsidRPr="00575480" w:rsidRDefault="00D82867" w:rsidP="00D82867">
            <w:pPr>
              <w:rPr>
                <w:sz w:val="22"/>
              </w:rPr>
            </w:pPr>
            <w:r w:rsidRPr="00575480">
              <w:rPr>
                <w:rFonts w:hint="eastAsia"/>
                <w:sz w:val="22"/>
              </w:rPr>
              <w:t>001852</w:t>
            </w:r>
          </w:p>
        </w:tc>
        <w:tc>
          <w:tcPr>
            <w:tcW w:w="5515" w:type="dxa"/>
            <w:noWrap/>
          </w:tcPr>
          <w:p w:rsidR="00D82867" w:rsidRPr="00575480" w:rsidRDefault="00D82867" w:rsidP="00D82867">
            <w:pPr>
              <w:rPr>
                <w:sz w:val="22"/>
              </w:rPr>
            </w:pPr>
            <w:r w:rsidRPr="00575480">
              <w:rPr>
                <w:rFonts w:hint="eastAsia"/>
                <w:sz w:val="22"/>
              </w:rPr>
              <w:t>融通中国风1号灵活配置混合型证券投资基金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8</w:t>
            </w:r>
          </w:p>
        </w:tc>
        <w:tc>
          <w:tcPr>
            <w:tcW w:w="1607" w:type="dxa"/>
            <w:noWrap/>
          </w:tcPr>
          <w:p w:rsidR="00D82867" w:rsidRPr="00575480" w:rsidRDefault="00D82867" w:rsidP="00D82867">
            <w:pPr>
              <w:rPr>
                <w:sz w:val="22"/>
              </w:rPr>
            </w:pPr>
            <w:r w:rsidRPr="00575480">
              <w:rPr>
                <w:rFonts w:hint="eastAsia"/>
                <w:sz w:val="22"/>
              </w:rPr>
              <w:t>002049</w:t>
            </w:r>
          </w:p>
        </w:tc>
        <w:tc>
          <w:tcPr>
            <w:tcW w:w="5515" w:type="dxa"/>
            <w:noWrap/>
          </w:tcPr>
          <w:p w:rsidR="00D82867" w:rsidRPr="00575480" w:rsidRDefault="00D82867" w:rsidP="00D82867">
            <w:pPr>
              <w:rPr>
                <w:sz w:val="22"/>
              </w:rPr>
            </w:pPr>
            <w:r w:rsidRPr="00575480">
              <w:rPr>
                <w:rFonts w:hint="eastAsia"/>
                <w:sz w:val="22"/>
              </w:rPr>
              <w:t>融通新机遇灵活配置混合型证券投资基金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9</w:t>
            </w:r>
          </w:p>
        </w:tc>
        <w:tc>
          <w:tcPr>
            <w:tcW w:w="1607" w:type="dxa"/>
            <w:noWrap/>
          </w:tcPr>
          <w:p w:rsidR="00D82867" w:rsidRPr="00575480" w:rsidRDefault="00D82867" w:rsidP="00D82867">
            <w:pPr>
              <w:rPr>
                <w:sz w:val="22"/>
              </w:rPr>
            </w:pPr>
            <w:r w:rsidRPr="00575480">
              <w:rPr>
                <w:rFonts w:hint="eastAsia"/>
                <w:sz w:val="22"/>
              </w:rPr>
              <w:t>002252</w:t>
            </w:r>
          </w:p>
        </w:tc>
        <w:tc>
          <w:tcPr>
            <w:tcW w:w="5515" w:type="dxa"/>
            <w:noWrap/>
          </w:tcPr>
          <w:p w:rsidR="00D82867" w:rsidRPr="00575480" w:rsidRDefault="00D82867" w:rsidP="00D82867">
            <w:pPr>
              <w:rPr>
                <w:sz w:val="22"/>
              </w:rPr>
            </w:pPr>
            <w:r w:rsidRPr="00575480">
              <w:rPr>
                <w:rFonts w:hint="eastAsia"/>
                <w:sz w:val="22"/>
              </w:rPr>
              <w:t>融通成长30灵活配置混合型证券投资基金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10</w:t>
            </w:r>
          </w:p>
        </w:tc>
        <w:tc>
          <w:tcPr>
            <w:tcW w:w="1607" w:type="dxa"/>
            <w:noWrap/>
          </w:tcPr>
          <w:p w:rsidR="00D82867" w:rsidRPr="00575480" w:rsidRDefault="00D82867" w:rsidP="00D82867">
            <w:pPr>
              <w:rPr>
                <w:sz w:val="22"/>
              </w:rPr>
            </w:pPr>
            <w:r w:rsidRPr="00575480">
              <w:rPr>
                <w:rFonts w:hint="eastAsia"/>
                <w:sz w:val="22"/>
              </w:rPr>
              <w:t>002415</w:t>
            </w:r>
          </w:p>
        </w:tc>
        <w:tc>
          <w:tcPr>
            <w:tcW w:w="5515" w:type="dxa"/>
            <w:noWrap/>
          </w:tcPr>
          <w:p w:rsidR="00D82867" w:rsidRPr="00575480" w:rsidRDefault="00D82867" w:rsidP="00D82867">
            <w:pPr>
              <w:rPr>
                <w:sz w:val="22"/>
              </w:rPr>
            </w:pPr>
            <w:r w:rsidRPr="00575480">
              <w:rPr>
                <w:rFonts w:hint="eastAsia"/>
                <w:sz w:val="22"/>
              </w:rPr>
              <w:t>融通通盈灵活配置混合型证券投资基金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11</w:t>
            </w:r>
          </w:p>
        </w:tc>
        <w:tc>
          <w:tcPr>
            <w:tcW w:w="1607" w:type="dxa"/>
            <w:noWrap/>
          </w:tcPr>
          <w:p w:rsidR="00D82867" w:rsidRPr="00575480" w:rsidRDefault="00D82867" w:rsidP="00D82867">
            <w:pPr>
              <w:rPr>
                <w:sz w:val="22"/>
              </w:rPr>
            </w:pPr>
            <w:r w:rsidRPr="00575480">
              <w:rPr>
                <w:rFonts w:hint="eastAsia"/>
                <w:sz w:val="22"/>
              </w:rPr>
              <w:t>002605</w:t>
            </w:r>
          </w:p>
        </w:tc>
        <w:tc>
          <w:tcPr>
            <w:tcW w:w="5515" w:type="dxa"/>
            <w:noWrap/>
          </w:tcPr>
          <w:p w:rsidR="00D82867" w:rsidRPr="00575480" w:rsidRDefault="00D82867" w:rsidP="00D82867">
            <w:pPr>
              <w:rPr>
                <w:sz w:val="22"/>
              </w:rPr>
            </w:pPr>
            <w:r w:rsidRPr="00575480">
              <w:rPr>
                <w:rFonts w:hint="eastAsia"/>
                <w:sz w:val="22"/>
              </w:rPr>
              <w:t>融通新消费灵活配置混合型证券投资基金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12</w:t>
            </w:r>
          </w:p>
        </w:tc>
        <w:tc>
          <w:tcPr>
            <w:tcW w:w="1607" w:type="dxa"/>
            <w:noWrap/>
          </w:tcPr>
          <w:p w:rsidR="00D82867" w:rsidRPr="00575480" w:rsidRDefault="00D82867" w:rsidP="00D82867">
            <w:pPr>
              <w:rPr>
                <w:sz w:val="22"/>
              </w:rPr>
            </w:pPr>
            <w:r w:rsidRPr="00575480">
              <w:rPr>
                <w:rFonts w:hint="eastAsia"/>
                <w:sz w:val="22"/>
              </w:rPr>
              <w:t>002612</w:t>
            </w:r>
          </w:p>
        </w:tc>
        <w:tc>
          <w:tcPr>
            <w:tcW w:w="5515" w:type="dxa"/>
            <w:noWrap/>
          </w:tcPr>
          <w:p w:rsidR="00D82867" w:rsidRPr="00575480" w:rsidRDefault="00D82867" w:rsidP="00D82867">
            <w:pPr>
              <w:rPr>
                <w:sz w:val="22"/>
              </w:rPr>
            </w:pPr>
            <w:r w:rsidRPr="00575480">
              <w:rPr>
                <w:rFonts w:hint="eastAsia"/>
                <w:sz w:val="22"/>
              </w:rPr>
              <w:t>融通通慧混合型证券投资基金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13</w:t>
            </w:r>
          </w:p>
        </w:tc>
        <w:tc>
          <w:tcPr>
            <w:tcW w:w="1607" w:type="dxa"/>
            <w:noWrap/>
          </w:tcPr>
          <w:p w:rsidR="00D82867" w:rsidRPr="00575480" w:rsidRDefault="00D82867" w:rsidP="00D82867">
            <w:pPr>
              <w:rPr>
                <w:sz w:val="22"/>
              </w:rPr>
            </w:pPr>
            <w:r w:rsidRPr="00575480">
              <w:rPr>
                <w:rFonts w:hint="eastAsia"/>
                <w:sz w:val="22"/>
              </w:rPr>
              <w:t>002955</w:t>
            </w:r>
          </w:p>
        </w:tc>
        <w:tc>
          <w:tcPr>
            <w:tcW w:w="5515" w:type="dxa"/>
            <w:noWrap/>
          </w:tcPr>
          <w:p w:rsidR="00D82867" w:rsidRPr="00575480" w:rsidRDefault="00D82867" w:rsidP="00D82867">
            <w:pPr>
              <w:rPr>
                <w:sz w:val="22"/>
              </w:rPr>
            </w:pPr>
            <w:r w:rsidRPr="00575480">
              <w:rPr>
                <w:rFonts w:hint="eastAsia"/>
                <w:sz w:val="22"/>
              </w:rPr>
              <w:t>融通新趋势灵活配置混合型证券投资基金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14</w:t>
            </w:r>
          </w:p>
        </w:tc>
        <w:tc>
          <w:tcPr>
            <w:tcW w:w="1607" w:type="dxa"/>
            <w:noWrap/>
          </w:tcPr>
          <w:p w:rsidR="00D82867" w:rsidRPr="00575480" w:rsidRDefault="00D82867" w:rsidP="00D82867">
            <w:pPr>
              <w:rPr>
                <w:sz w:val="22"/>
              </w:rPr>
            </w:pPr>
            <w:r w:rsidRPr="00575480">
              <w:rPr>
                <w:rFonts w:hint="eastAsia"/>
                <w:sz w:val="22"/>
              </w:rPr>
              <w:t>002989</w:t>
            </w:r>
          </w:p>
        </w:tc>
        <w:tc>
          <w:tcPr>
            <w:tcW w:w="5515" w:type="dxa"/>
            <w:noWrap/>
          </w:tcPr>
          <w:p w:rsidR="00D82867" w:rsidRPr="00575480" w:rsidRDefault="00D82867" w:rsidP="00D82867">
            <w:pPr>
              <w:rPr>
                <w:sz w:val="22"/>
              </w:rPr>
            </w:pPr>
            <w:r w:rsidRPr="00575480">
              <w:rPr>
                <w:rFonts w:hint="eastAsia"/>
                <w:sz w:val="22"/>
              </w:rPr>
              <w:t>融通通乾研究精选灵活配置混合型证券投资基金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15</w:t>
            </w:r>
          </w:p>
        </w:tc>
        <w:tc>
          <w:tcPr>
            <w:tcW w:w="1607" w:type="dxa"/>
            <w:noWrap/>
          </w:tcPr>
          <w:p w:rsidR="00D82867" w:rsidRPr="00575480" w:rsidRDefault="00D82867" w:rsidP="00D82867">
            <w:pPr>
              <w:rPr>
                <w:sz w:val="22"/>
              </w:rPr>
            </w:pPr>
            <w:r w:rsidRPr="00575480">
              <w:rPr>
                <w:rFonts w:hint="eastAsia"/>
                <w:sz w:val="22"/>
              </w:rPr>
              <w:t>003279</w:t>
            </w:r>
          </w:p>
        </w:tc>
        <w:tc>
          <w:tcPr>
            <w:tcW w:w="5515" w:type="dxa"/>
            <w:noWrap/>
          </w:tcPr>
          <w:p w:rsidR="00D82867" w:rsidRPr="00575480" w:rsidRDefault="00D82867" w:rsidP="00D82867">
            <w:pPr>
              <w:rPr>
                <w:sz w:val="22"/>
              </w:rPr>
            </w:pPr>
            <w:r w:rsidRPr="00575480">
              <w:rPr>
                <w:rFonts w:hint="eastAsia"/>
                <w:sz w:val="22"/>
              </w:rPr>
              <w:t>融通沪港深智慧生活灵活配置混合型证券投资基金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16</w:t>
            </w:r>
          </w:p>
        </w:tc>
        <w:tc>
          <w:tcPr>
            <w:tcW w:w="1607" w:type="dxa"/>
            <w:noWrap/>
          </w:tcPr>
          <w:p w:rsidR="00D82867" w:rsidRPr="00575480" w:rsidRDefault="00D82867" w:rsidP="00D82867">
            <w:pPr>
              <w:rPr>
                <w:sz w:val="22"/>
              </w:rPr>
            </w:pPr>
            <w:r w:rsidRPr="00575480">
              <w:rPr>
                <w:rFonts w:hint="eastAsia"/>
                <w:sz w:val="22"/>
              </w:rPr>
              <w:t>004025</w:t>
            </w:r>
          </w:p>
        </w:tc>
        <w:tc>
          <w:tcPr>
            <w:tcW w:w="5515" w:type="dxa"/>
            <w:noWrap/>
          </w:tcPr>
          <w:p w:rsidR="00D82867" w:rsidRPr="00575480" w:rsidRDefault="00D82867" w:rsidP="00D82867">
            <w:pPr>
              <w:rPr>
                <w:sz w:val="22"/>
              </w:rPr>
            </w:pPr>
            <w:r w:rsidRPr="00575480">
              <w:rPr>
                <w:rFonts w:hint="eastAsia"/>
                <w:sz w:val="22"/>
              </w:rPr>
              <w:t>融通收益增强债券型证券投资基金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17</w:t>
            </w:r>
          </w:p>
        </w:tc>
        <w:tc>
          <w:tcPr>
            <w:tcW w:w="1607" w:type="dxa"/>
            <w:noWrap/>
          </w:tcPr>
          <w:p w:rsidR="00D82867" w:rsidRPr="00575480" w:rsidRDefault="00D82867" w:rsidP="00D82867">
            <w:pPr>
              <w:rPr>
                <w:sz w:val="22"/>
              </w:rPr>
            </w:pPr>
            <w:r w:rsidRPr="00575480">
              <w:rPr>
                <w:rFonts w:hint="eastAsia"/>
                <w:sz w:val="22"/>
              </w:rPr>
              <w:t>005067</w:t>
            </w:r>
          </w:p>
        </w:tc>
        <w:tc>
          <w:tcPr>
            <w:tcW w:w="5515" w:type="dxa"/>
            <w:noWrap/>
          </w:tcPr>
          <w:p w:rsidR="00D82867" w:rsidRPr="00575480" w:rsidRDefault="00D82867" w:rsidP="00D82867">
            <w:pPr>
              <w:rPr>
                <w:sz w:val="22"/>
              </w:rPr>
            </w:pPr>
            <w:r w:rsidRPr="00575480">
              <w:rPr>
                <w:rFonts w:hint="eastAsia"/>
                <w:sz w:val="22"/>
              </w:rPr>
              <w:t>融通逆向策略灵活配置混合型证券投资基金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18</w:t>
            </w:r>
          </w:p>
        </w:tc>
        <w:tc>
          <w:tcPr>
            <w:tcW w:w="1607" w:type="dxa"/>
            <w:noWrap/>
          </w:tcPr>
          <w:p w:rsidR="00D82867" w:rsidRPr="00575480" w:rsidRDefault="00D82867" w:rsidP="00D82867">
            <w:pPr>
              <w:rPr>
                <w:sz w:val="22"/>
              </w:rPr>
            </w:pPr>
            <w:r w:rsidRPr="00575480">
              <w:rPr>
                <w:rFonts w:hint="eastAsia"/>
                <w:sz w:val="22"/>
              </w:rPr>
              <w:t>005618</w:t>
            </w:r>
          </w:p>
        </w:tc>
        <w:tc>
          <w:tcPr>
            <w:tcW w:w="5515" w:type="dxa"/>
            <w:noWrap/>
          </w:tcPr>
          <w:p w:rsidR="00D82867" w:rsidRPr="00575480" w:rsidRDefault="00D82867" w:rsidP="00D82867">
            <w:pPr>
              <w:rPr>
                <w:sz w:val="22"/>
              </w:rPr>
            </w:pPr>
            <w:r w:rsidRPr="00575480">
              <w:rPr>
                <w:rFonts w:hint="eastAsia"/>
                <w:sz w:val="22"/>
              </w:rPr>
              <w:t>融通红利机会主题精选灵活配置混合型证券投资基金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19</w:t>
            </w:r>
          </w:p>
        </w:tc>
        <w:tc>
          <w:tcPr>
            <w:tcW w:w="1607" w:type="dxa"/>
            <w:noWrap/>
          </w:tcPr>
          <w:p w:rsidR="00D82867" w:rsidRPr="00575480" w:rsidRDefault="00D82867" w:rsidP="00D82867">
            <w:pPr>
              <w:rPr>
                <w:sz w:val="22"/>
              </w:rPr>
            </w:pPr>
            <w:r w:rsidRPr="00575480">
              <w:rPr>
                <w:rFonts w:hint="eastAsia"/>
                <w:sz w:val="22"/>
              </w:rPr>
              <w:t>005668</w:t>
            </w:r>
          </w:p>
        </w:tc>
        <w:tc>
          <w:tcPr>
            <w:tcW w:w="5515" w:type="dxa"/>
            <w:noWrap/>
          </w:tcPr>
          <w:p w:rsidR="00D82867" w:rsidRPr="00575480" w:rsidRDefault="00D82867" w:rsidP="00D82867">
            <w:pPr>
              <w:rPr>
                <w:sz w:val="22"/>
              </w:rPr>
            </w:pPr>
            <w:r w:rsidRPr="00575480">
              <w:rPr>
                <w:rFonts w:hint="eastAsia"/>
                <w:sz w:val="22"/>
              </w:rPr>
              <w:t>融通新能源汽车主题精选灵活配置混合型证券投资基金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20</w:t>
            </w:r>
          </w:p>
        </w:tc>
        <w:tc>
          <w:tcPr>
            <w:tcW w:w="1607" w:type="dxa"/>
            <w:noWrap/>
          </w:tcPr>
          <w:p w:rsidR="00D82867" w:rsidRPr="00575480" w:rsidRDefault="00D82867" w:rsidP="00D82867">
            <w:pPr>
              <w:rPr>
                <w:sz w:val="22"/>
              </w:rPr>
            </w:pPr>
            <w:r w:rsidRPr="00575480">
              <w:rPr>
                <w:rFonts w:hint="eastAsia"/>
                <w:sz w:val="22"/>
              </w:rPr>
              <w:t>006084</w:t>
            </w:r>
          </w:p>
        </w:tc>
        <w:tc>
          <w:tcPr>
            <w:tcW w:w="5515" w:type="dxa"/>
            <w:noWrap/>
          </w:tcPr>
          <w:p w:rsidR="00D82867" w:rsidRPr="00575480" w:rsidRDefault="00D82867" w:rsidP="00D82867">
            <w:pPr>
              <w:rPr>
                <w:sz w:val="22"/>
              </w:rPr>
            </w:pPr>
            <w:r w:rsidRPr="00575480">
              <w:rPr>
                <w:rFonts w:hint="eastAsia"/>
                <w:sz w:val="22"/>
              </w:rPr>
              <w:t>融通研究优选混合型证券投资基金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21</w:t>
            </w:r>
          </w:p>
        </w:tc>
        <w:tc>
          <w:tcPr>
            <w:tcW w:w="1607" w:type="dxa"/>
            <w:noWrap/>
          </w:tcPr>
          <w:p w:rsidR="00D82867" w:rsidRPr="00575480" w:rsidRDefault="00D82867" w:rsidP="00D82867">
            <w:pPr>
              <w:rPr>
                <w:sz w:val="22"/>
              </w:rPr>
            </w:pPr>
            <w:r w:rsidRPr="00575480">
              <w:rPr>
                <w:rFonts w:hint="eastAsia"/>
                <w:sz w:val="22"/>
              </w:rPr>
              <w:t>007261</w:t>
            </w:r>
          </w:p>
        </w:tc>
        <w:tc>
          <w:tcPr>
            <w:tcW w:w="5515" w:type="dxa"/>
            <w:noWrap/>
          </w:tcPr>
          <w:p w:rsidR="00D82867" w:rsidRPr="00575480" w:rsidRDefault="00D82867" w:rsidP="00D82867">
            <w:pPr>
              <w:rPr>
                <w:sz w:val="22"/>
              </w:rPr>
            </w:pPr>
            <w:r w:rsidRPr="00575480">
              <w:rPr>
                <w:rFonts w:hint="eastAsia"/>
                <w:sz w:val="22"/>
              </w:rPr>
              <w:t>融通消费升级混合型证券投资基金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22</w:t>
            </w:r>
          </w:p>
        </w:tc>
        <w:tc>
          <w:tcPr>
            <w:tcW w:w="1607" w:type="dxa"/>
            <w:noWrap/>
          </w:tcPr>
          <w:p w:rsidR="00D82867" w:rsidRPr="00575480" w:rsidRDefault="00D82867" w:rsidP="00D82867">
            <w:pPr>
              <w:rPr>
                <w:sz w:val="22"/>
              </w:rPr>
            </w:pPr>
            <w:r w:rsidRPr="00575480">
              <w:rPr>
                <w:rFonts w:hint="eastAsia"/>
                <w:sz w:val="22"/>
              </w:rPr>
              <w:t>007527</w:t>
            </w:r>
          </w:p>
        </w:tc>
        <w:tc>
          <w:tcPr>
            <w:tcW w:w="5515" w:type="dxa"/>
            <w:noWrap/>
          </w:tcPr>
          <w:p w:rsidR="00D82867" w:rsidRPr="00575480" w:rsidRDefault="00D82867" w:rsidP="00D82867">
            <w:pPr>
              <w:rPr>
                <w:sz w:val="22"/>
              </w:rPr>
            </w:pPr>
            <w:r w:rsidRPr="00575480">
              <w:rPr>
                <w:rFonts w:hint="eastAsia"/>
                <w:sz w:val="22"/>
              </w:rPr>
              <w:t>融通量化多策略灵活配置混合型证券投资基金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23</w:t>
            </w:r>
          </w:p>
        </w:tc>
        <w:tc>
          <w:tcPr>
            <w:tcW w:w="1607" w:type="dxa"/>
            <w:noWrap/>
          </w:tcPr>
          <w:p w:rsidR="00D82867" w:rsidRPr="00575480" w:rsidRDefault="00D82867" w:rsidP="00D82867">
            <w:pPr>
              <w:rPr>
                <w:sz w:val="22"/>
              </w:rPr>
            </w:pPr>
            <w:r w:rsidRPr="00575480">
              <w:rPr>
                <w:rFonts w:hint="eastAsia"/>
                <w:sz w:val="22"/>
              </w:rPr>
              <w:t>008382</w:t>
            </w:r>
          </w:p>
        </w:tc>
        <w:tc>
          <w:tcPr>
            <w:tcW w:w="5515" w:type="dxa"/>
            <w:noWrap/>
          </w:tcPr>
          <w:p w:rsidR="00D82867" w:rsidRPr="00575480" w:rsidRDefault="00D82867" w:rsidP="00D82867">
            <w:pPr>
              <w:rPr>
                <w:sz w:val="22"/>
              </w:rPr>
            </w:pPr>
            <w:r w:rsidRPr="00575480">
              <w:rPr>
                <w:rFonts w:hint="eastAsia"/>
                <w:sz w:val="22"/>
              </w:rPr>
              <w:t>融通产业趋势股票型证券投资基金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24</w:t>
            </w:r>
          </w:p>
        </w:tc>
        <w:tc>
          <w:tcPr>
            <w:tcW w:w="1607" w:type="dxa"/>
            <w:noWrap/>
          </w:tcPr>
          <w:p w:rsidR="00D82867" w:rsidRPr="00575480" w:rsidRDefault="00D82867" w:rsidP="00D82867">
            <w:pPr>
              <w:rPr>
                <w:sz w:val="22"/>
              </w:rPr>
            </w:pPr>
            <w:r w:rsidRPr="00575480">
              <w:rPr>
                <w:rFonts w:hint="eastAsia"/>
                <w:sz w:val="22"/>
              </w:rPr>
              <w:t>008445</w:t>
            </w:r>
          </w:p>
        </w:tc>
        <w:tc>
          <w:tcPr>
            <w:tcW w:w="5515" w:type="dxa"/>
            <w:noWrap/>
          </w:tcPr>
          <w:p w:rsidR="00D82867" w:rsidRPr="00575480" w:rsidRDefault="00D82867" w:rsidP="00D82867">
            <w:pPr>
              <w:rPr>
                <w:sz w:val="22"/>
              </w:rPr>
            </w:pPr>
            <w:r w:rsidRPr="00575480">
              <w:rPr>
                <w:rFonts w:hint="eastAsia"/>
                <w:sz w:val="22"/>
              </w:rPr>
              <w:t>融通产业趋势先锋股票型证券投资基金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25</w:t>
            </w:r>
          </w:p>
        </w:tc>
        <w:tc>
          <w:tcPr>
            <w:tcW w:w="1607" w:type="dxa"/>
            <w:noWrap/>
          </w:tcPr>
          <w:p w:rsidR="00D82867" w:rsidRPr="00575480" w:rsidRDefault="00D82867" w:rsidP="00D82867">
            <w:pPr>
              <w:rPr>
                <w:sz w:val="22"/>
              </w:rPr>
            </w:pPr>
            <w:r w:rsidRPr="00575480">
              <w:rPr>
                <w:rFonts w:hint="eastAsia"/>
                <w:sz w:val="22"/>
              </w:rPr>
              <w:t>008837</w:t>
            </w:r>
          </w:p>
        </w:tc>
        <w:tc>
          <w:tcPr>
            <w:tcW w:w="5515" w:type="dxa"/>
            <w:noWrap/>
          </w:tcPr>
          <w:p w:rsidR="00D82867" w:rsidRPr="00575480" w:rsidRDefault="00D82867" w:rsidP="00D82867">
            <w:pPr>
              <w:rPr>
                <w:sz w:val="22"/>
              </w:rPr>
            </w:pPr>
            <w:r w:rsidRPr="00575480">
              <w:rPr>
                <w:rFonts w:hint="eastAsia"/>
                <w:sz w:val="22"/>
              </w:rPr>
              <w:t>融通通益混合型证券投资基金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26</w:t>
            </w:r>
          </w:p>
        </w:tc>
        <w:tc>
          <w:tcPr>
            <w:tcW w:w="1607" w:type="dxa"/>
            <w:noWrap/>
          </w:tcPr>
          <w:p w:rsidR="00D82867" w:rsidRPr="00575480" w:rsidRDefault="00D82867" w:rsidP="00D82867">
            <w:pPr>
              <w:rPr>
                <w:sz w:val="22"/>
              </w:rPr>
            </w:pPr>
            <w:r w:rsidRPr="00575480">
              <w:rPr>
                <w:rFonts w:hint="eastAsia"/>
                <w:sz w:val="22"/>
              </w:rPr>
              <w:t>009891</w:t>
            </w:r>
          </w:p>
        </w:tc>
        <w:tc>
          <w:tcPr>
            <w:tcW w:w="5515" w:type="dxa"/>
            <w:noWrap/>
          </w:tcPr>
          <w:p w:rsidR="00D82867" w:rsidRPr="00575480" w:rsidRDefault="00D82867" w:rsidP="00D82867">
            <w:pPr>
              <w:rPr>
                <w:sz w:val="22"/>
              </w:rPr>
            </w:pPr>
            <w:r w:rsidRPr="00575480">
              <w:rPr>
                <w:rFonts w:hint="eastAsia"/>
                <w:sz w:val="22"/>
              </w:rPr>
              <w:t>融通产业趋势臻选股票型证券投资基金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27</w:t>
            </w:r>
          </w:p>
        </w:tc>
        <w:tc>
          <w:tcPr>
            <w:tcW w:w="1607" w:type="dxa"/>
            <w:noWrap/>
          </w:tcPr>
          <w:p w:rsidR="00D82867" w:rsidRPr="00575480" w:rsidRDefault="00D82867" w:rsidP="00D82867">
            <w:pPr>
              <w:rPr>
                <w:sz w:val="22"/>
              </w:rPr>
            </w:pPr>
            <w:r w:rsidRPr="00575480">
              <w:rPr>
                <w:rFonts w:hint="eastAsia"/>
                <w:sz w:val="22"/>
              </w:rPr>
              <w:t>161601</w:t>
            </w:r>
          </w:p>
        </w:tc>
        <w:tc>
          <w:tcPr>
            <w:tcW w:w="5515" w:type="dxa"/>
            <w:noWrap/>
          </w:tcPr>
          <w:p w:rsidR="00D82867" w:rsidRPr="00575480" w:rsidRDefault="00D82867" w:rsidP="00D82867">
            <w:pPr>
              <w:rPr>
                <w:sz w:val="22"/>
              </w:rPr>
            </w:pPr>
            <w:r w:rsidRPr="00575480">
              <w:rPr>
                <w:rFonts w:hint="eastAsia"/>
                <w:sz w:val="22"/>
              </w:rPr>
              <w:t>融通新蓝筹证券投资基金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28</w:t>
            </w:r>
          </w:p>
        </w:tc>
        <w:tc>
          <w:tcPr>
            <w:tcW w:w="1607" w:type="dxa"/>
            <w:noWrap/>
          </w:tcPr>
          <w:p w:rsidR="00D82867" w:rsidRPr="00575480" w:rsidRDefault="00D82867" w:rsidP="00D82867">
            <w:pPr>
              <w:rPr>
                <w:sz w:val="22"/>
              </w:rPr>
            </w:pPr>
            <w:r w:rsidRPr="00575480">
              <w:rPr>
                <w:rFonts w:hint="eastAsia"/>
                <w:sz w:val="22"/>
              </w:rPr>
              <w:t>161605</w:t>
            </w:r>
          </w:p>
        </w:tc>
        <w:tc>
          <w:tcPr>
            <w:tcW w:w="5515" w:type="dxa"/>
            <w:noWrap/>
          </w:tcPr>
          <w:p w:rsidR="00D82867" w:rsidRPr="00575480" w:rsidRDefault="00D82867" w:rsidP="00D82867">
            <w:pPr>
              <w:rPr>
                <w:sz w:val="22"/>
              </w:rPr>
            </w:pPr>
            <w:r w:rsidRPr="00575480">
              <w:rPr>
                <w:rFonts w:hint="eastAsia"/>
                <w:sz w:val="22"/>
              </w:rPr>
              <w:t>融通蓝筹成长证券投资基金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29</w:t>
            </w:r>
          </w:p>
        </w:tc>
        <w:tc>
          <w:tcPr>
            <w:tcW w:w="1607" w:type="dxa"/>
            <w:noWrap/>
          </w:tcPr>
          <w:p w:rsidR="00D82867" w:rsidRPr="00575480" w:rsidRDefault="00D82867" w:rsidP="00D82867">
            <w:pPr>
              <w:rPr>
                <w:sz w:val="22"/>
              </w:rPr>
            </w:pPr>
            <w:r w:rsidRPr="00575480">
              <w:rPr>
                <w:rFonts w:hint="eastAsia"/>
                <w:sz w:val="22"/>
              </w:rPr>
              <w:t>161606</w:t>
            </w:r>
          </w:p>
        </w:tc>
        <w:tc>
          <w:tcPr>
            <w:tcW w:w="5515" w:type="dxa"/>
            <w:noWrap/>
          </w:tcPr>
          <w:p w:rsidR="00D82867" w:rsidRPr="00575480" w:rsidRDefault="00D82867" w:rsidP="00D82867">
            <w:pPr>
              <w:rPr>
                <w:sz w:val="22"/>
              </w:rPr>
            </w:pPr>
            <w:r w:rsidRPr="00575480">
              <w:rPr>
                <w:rFonts w:hint="eastAsia"/>
                <w:sz w:val="22"/>
              </w:rPr>
              <w:t>融通行业景气证券投资基金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30</w:t>
            </w:r>
          </w:p>
        </w:tc>
        <w:tc>
          <w:tcPr>
            <w:tcW w:w="1607" w:type="dxa"/>
            <w:noWrap/>
          </w:tcPr>
          <w:p w:rsidR="00D82867" w:rsidRPr="00575480" w:rsidRDefault="00D82867" w:rsidP="00D82867">
            <w:pPr>
              <w:rPr>
                <w:sz w:val="22"/>
              </w:rPr>
            </w:pPr>
            <w:r w:rsidRPr="00575480">
              <w:rPr>
                <w:rFonts w:hint="eastAsia"/>
                <w:sz w:val="22"/>
              </w:rPr>
              <w:t>161607</w:t>
            </w:r>
          </w:p>
        </w:tc>
        <w:tc>
          <w:tcPr>
            <w:tcW w:w="5515" w:type="dxa"/>
            <w:noWrap/>
          </w:tcPr>
          <w:p w:rsidR="00D82867" w:rsidRPr="00575480" w:rsidRDefault="00D82867" w:rsidP="00D82867">
            <w:pPr>
              <w:rPr>
                <w:sz w:val="22"/>
              </w:rPr>
            </w:pPr>
            <w:r w:rsidRPr="00575480">
              <w:rPr>
                <w:rFonts w:hint="eastAsia"/>
                <w:sz w:val="22"/>
              </w:rPr>
              <w:t>融通巨潮100指数证券投资基金(LOF)</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31</w:t>
            </w:r>
          </w:p>
        </w:tc>
        <w:tc>
          <w:tcPr>
            <w:tcW w:w="1607" w:type="dxa"/>
            <w:noWrap/>
          </w:tcPr>
          <w:p w:rsidR="00D82867" w:rsidRPr="00575480" w:rsidRDefault="00D82867" w:rsidP="00D82867">
            <w:pPr>
              <w:rPr>
                <w:sz w:val="22"/>
              </w:rPr>
            </w:pPr>
            <w:r w:rsidRPr="00575480">
              <w:rPr>
                <w:rFonts w:hint="eastAsia"/>
                <w:sz w:val="22"/>
              </w:rPr>
              <w:t>161609</w:t>
            </w:r>
          </w:p>
        </w:tc>
        <w:tc>
          <w:tcPr>
            <w:tcW w:w="5515" w:type="dxa"/>
            <w:noWrap/>
          </w:tcPr>
          <w:p w:rsidR="00D82867" w:rsidRPr="00575480" w:rsidRDefault="00D82867" w:rsidP="00D82867">
            <w:pPr>
              <w:rPr>
                <w:sz w:val="22"/>
              </w:rPr>
            </w:pPr>
            <w:r w:rsidRPr="00575480">
              <w:rPr>
                <w:rFonts w:hint="eastAsia"/>
                <w:sz w:val="22"/>
              </w:rPr>
              <w:t>融通动力先锋混合型证券投资基金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32</w:t>
            </w:r>
          </w:p>
        </w:tc>
        <w:tc>
          <w:tcPr>
            <w:tcW w:w="1607" w:type="dxa"/>
            <w:noWrap/>
          </w:tcPr>
          <w:p w:rsidR="00D82867" w:rsidRPr="00575480" w:rsidRDefault="00D82867" w:rsidP="00D82867">
            <w:pPr>
              <w:rPr>
                <w:sz w:val="22"/>
              </w:rPr>
            </w:pPr>
            <w:r w:rsidRPr="00575480">
              <w:rPr>
                <w:rFonts w:hint="eastAsia"/>
                <w:sz w:val="22"/>
              </w:rPr>
              <w:t>161610</w:t>
            </w:r>
          </w:p>
        </w:tc>
        <w:tc>
          <w:tcPr>
            <w:tcW w:w="5515" w:type="dxa"/>
            <w:noWrap/>
          </w:tcPr>
          <w:p w:rsidR="00D82867" w:rsidRPr="00575480" w:rsidRDefault="00D82867" w:rsidP="00D82867">
            <w:pPr>
              <w:rPr>
                <w:sz w:val="22"/>
              </w:rPr>
            </w:pPr>
            <w:r w:rsidRPr="00575480">
              <w:rPr>
                <w:rFonts w:hint="eastAsia"/>
                <w:sz w:val="22"/>
              </w:rPr>
              <w:t>融通领先成长混合型证券投资基金(LOF)</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33</w:t>
            </w:r>
          </w:p>
        </w:tc>
        <w:tc>
          <w:tcPr>
            <w:tcW w:w="1607" w:type="dxa"/>
            <w:noWrap/>
          </w:tcPr>
          <w:p w:rsidR="00D82867" w:rsidRPr="00575480" w:rsidRDefault="00D82867" w:rsidP="00D82867">
            <w:pPr>
              <w:rPr>
                <w:sz w:val="22"/>
              </w:rPr>
            </w:pPr>
            <w:r w:rsidRPr="00575480">
              <w:rPr>
                <w:rFonts w:hint="eastAsia"/>
                <w:sz w:val="22"/>
              </w:rPr>
              <w:t>161611</w:t>
            </w:r>
          </w:p>
        </w:tc>
        <w:tc>
          <w:tcPr>
            <w:tcW w:w="5515" w:type="dxa"/>
            <w:noWrap/>
          </w:tcPr>
          <w:p w:rsidR="00D82867" w:rsidRPr="00575480" w:rsidRDefault="00D82867" w:rsidP="00D82867">
            <w:pPr>
              <w:rPr>
                <w:sz w:val="22"/>
              </w:rPr>
            </w:pPr>
            <w:r w:rsidRPr="00575480">
              <w:rPr>
                <w:rFonts w:hint="eastAsia"/>
                <w:sz w:val="22"/>
              </w:rPr>
              <w:t>融通内需驱动混合型证券投资基金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34</w:t>
            </w:r>
          </w:p>
        </w:tc>
        <w:tc>
          <w:tcPr>
            <w:tcW w:w="1607" w:type="dxa"/>
            <w:noWrap/>
          </w:tcPr>
          <w:p w:rsidR="00D82867" w:rsidRPr="00575480" w:rsidRDefault="00D82867" w:rsidP="00D82867">
            <w:pPr>
              <w:rPr>
                <w:sz w:val="22"/>
              </w:rPr>
            </w:pPr>
            <w:r w:rsidRPr="00575480">
              <w:rPr>
                <w:rFonts w:hint="eastAsia"/>
                <w:sz w:val="22"/>
              </w:rPr>
              <w:t>161616</w:t>
            </w:r>
          </w:p>
        </w:tc>
        <w:tc>
          <w:tcPr>
            <w:tcW w:w="5515" w:type="dxa"/>
            <w:noWrap/>
          </w:tcPr>
          <w:p w:rsidR="00D82867" w:rsidRPr="00575480" w:rsidRDefault="00D82867" w:rsidP="00D82867">
            <w:pPr>
              <w:rPr>
                <w:sz w:val="22"/>
              </w:rPr>
            </w:pPr>
            <w:r w:rsidRPr="00575480">
              <w:rPr>
                <w:rFonts w:hint="eastAsia"/>
                <w:sz w:val="22"/>
              </w:rPr>
              <w:t>融通医疗保健行业混合型证券投资基金</w:t>
            </w:r>
          </w:p>
        </w:tc>
      </w:tr>
      <w:tr w:rsidR="00D82867" w:rsidRPr="00E82A5E" w:rsidTr="00B86205">
        <w:trPr>
          <w:trHeight w:val="330"/>
        </w:trPr>
        <w:tc>
          <w:tcPr>
            <w:tcW w:w="1080" w:type="dxa"/>
            <w:noWrap/>
            <w:hideMark/>
          </w:tcPr>
          <w:p w:rsidR="00D82867" w:rsidRPr="00575480" w:rsidRDefault="00D82867" w:rsidP="00D82867">
            <w:pPr>
              <w:rPr>
                <w:sz w:val="22"/>
              </w:rPr>
            </w:pPr>
            <w:r w:rsidRPr="00575480">
              <w:rPr>
                <w:rFonts w:hint="eastAsia"/>
                <w:sz w:val="22"/>
              </w:rPr>
              <w:t>35</w:t>
            </w:r>
          </w:p>
        </w:tc>
        <w:tc>
          <w:tcPr>
            <w:tcW w:w="1607" w:type="dxa"/>
            <w:noWrap/>
          </w:tcPr>
          <w:p w:rsidR="00D82867" w:rsidRPr="00575480" w:rsidRDefault="00D82867" w:rsidP="00D82867">
            <w:pPr>
              <w:rPr>
                <w:sz w:val="22"/>
              </w:rPr>
            </w:pPr>
            <w:r w:rsidRPr="00575480">
              <w:rPr>
                <w:rFonts w:hint="eastAsia"/>
                <w:sz w:val="22"/>
              </w:rPr>
              <w:t>161631</w:t>
            </w:r>
          </w:p>
        </w:tc>
        <w:tc>
          <w:tcPr>
            <w:tcW w:w="5515" w:type="dxa"/>
            <w:noWrap/>
          </w:tcPr>
          <w:p w:rsidR="00D82867" w:rsidRPr="00575480" w:rsidRDefault="00D82867" w:rsidP="00D82867">
            <w:pPr>
              <w:rPr>
                <w:sz w:val="22"/>
              </w:rPr>
            </w:pPr>
            <w:r w:rsidRPr="00575480">
              <w:rPr>
                <w:rFonts w:hint="eastAsia"/>
                <w:sz w:val="22"/>
              </w:rPr>
              <w:t>融通中证人工智能主题指数证券投资基金(LOF)</w:t>
            </w:r>
          </w:p>
        </w:tc>
      </w:tr>
    </w:tbl>
    <w:p w:rsidR="0001698B" w:rsidRPr="00E82A5E" w:rsidRDefault="0001698B" w:rsidP="008B71DC"/>
    <w:p w:rsidR="0001698B" w:rsidRPr="0001698B" w:rsidRDefault="0001698B" w:rsidP="008B71DC"/>
    <w:sectPr w:rsidR="0001698B" w:rsidRPr="0001698B" w:rsidSect="00E97E04">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37B" w:rsidRDefault="00F3637B" w:rsidP="00700AA0">
      <w:r>
        <w:separator/>
      </w:r>
    </w:p>
  </w:endnote>
  <w:endnote w:type="continuationSeparator" w:id="0">
    <w:p w:rsidR="00F3637B" w:rsidRDefault="00F3637B" w:rsidP="00700AA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637849"/>
      <w:docPartObj>
        <w:docPartGallery w:val="Page Numbers (Bottom of Page)"/>
        <w:docPartUnique/>
      </w:docPartObj>
    </w:sdtPr>
    <w:sdtContent>
      <w:p w:rsidR="00700AA0" w:rsidRDefault="0083023B">
        <w:pPr>
          <w:pStyle w:val="a6"/>
          <w:jc w:val="center"/>
        </w:pPr>
        <w:r>
          <w:fldChar w:fldCharType="begin"/>
        </w:r>
        <w:r w:rsidR="00700AA0">
          <w:instrText>PAGE   \* MERGEFORMAT</w:instrText>
        </w:r>
        <w:r>
          <w:fldChar w:fldCharType="separate"/>
        </w:r>
        <w:r w:rsidR="005524A1" w:rsidRPr="005524A1">
          <w:rPr>
            <w:noProof/>
            <w:lang w:val="zh-CN"/>
          </w:rPr>
          <w:t>1</w:t>
        </w:r>
        <w:r>
          <w:fldChar w:fldCharType="end"/>
        </w:r>
      </w:p>
    </w:sdtContent>
  </w:sdt>
  <w:p w:rsidR="00700AA0" w:rsidRDefault="00700A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37B" w:rsidRDefault="00F3637B" w:rsidP="00700AA0">
      <w:r>
        <w:separator/>
      </w:r>
    </w:p>
  </w:footnote>
  <w:footnote w:type="continuationSeparator" w:id="0">
    <w:p w:rsidR="00F3637B" w:rsidRDefault="00F3637B" w:rsidP="00700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271"/>
    <w:rsid w:val="0001698B"/>
    <w:rsid w:val="00055840"/>
    <w:rsid w:val="00081617"/>
    <w:rsid w:val="00095F3E"/>
    <w:rsid w:val="000D583C"/>
    <w:rsid w:val="000E7D7E"/>
    <w:rsid w:val="00161C22"/>
    <w:rsid w:val="00196CB2"/>
    <w:rsid w:val="00220BAC"/>
    <w:rsid w:val="00267E38"/>
    <w:rsid w:val="002A641C"/>
    <w:rsid w:val="0036651A"/>
    <w:rsid w:val="003A7C11"/>
    <w:rsid w:val="003E2551"/>
    <w:rsid w:val="004A2CC5"/>
    <w:rsid w:val="0051037C"/>
    <w:rsid w:val="005524A1"/>
    <w:rsid w:val="00575480"/>
    <w:rsid w:val="0068520E"/>
    <w:rsid w:val="006C1C35"/>
    <w:rsid w:val="006F0280"/>
    <w:rsid w:val="00700AA0"/>
    <w:rsid w:val="00731A64"/>
    <w:rsid w:val="00733B86"/>
    <w:rsid w:val="00757898"/>
    <w:rsid w:val="007866F2"/>
    <w:rsid w:val="008222DB"/>
    <w:rsid w:val="00822C44"/>
    <w:rsid w:val="0083023B"/>
    <w:rsid w:val="008B71DC"/>
    <w:rsid w:val="008E4C58"/>
    <w:rsid w:val="008E6AB0"/>
    <w:rsid w:val="00913D3D"/>
    <w:rsid w:val="0092103E"/>
    <w:rsid w:val="009564F1"/>
    <w:rsid w:val="009A5299"/>
    <w:rsid w:val="009C6600"/>
    <w:rsid w:val="00A412CF"/>
    <w:rsid w:val="00A7511E"/>
    <w:rsid w:val="00AA1A68"/>
    <w:rsid w:val="00AD5830"/>
    <w:rsid w:val="00B86205"/>
    <w:rsid w:val="00BE6AD5"/>
    <w:rsid w:val="00C03081"/>
    <w:rsid w:val="00C76CEE"/>
    <w:rsid w:val="00C96271"/>
    <w:rsid w:val="00CB3EC9"/>
    <w:rsid w:val="00D01D40"/>
    <w:rsid w:val="00D15A83"/>
    <w:rsid w:val="00D36B3A"/>
    <w:rsid w:val="00D82867"/>
    <w:rsid w:val="00DF1B9F"/>
    <w:rsid w:val="00E00840"/>
    <w:rsid w:val="00E1720C"/>
    <w:rsid w:val="00E82A5E"/>
    <w:rsid w:val="00E97E04"/>
    <w:rsid w:val="00EA1059"/>
    <w:rsid w:val="00EF4718"/>
    <w:rsid w:val="00F3637B"/>
    <w:rsid w:val="00F430D1"/>
    <w:rsid w:val="00F50077"/>
    <w:rsid w:val="00F662E8"/>
    <w:rsid w:val="00F81025"/>
    <w:rsid w:val="00FA289B"/>
    <w:rsid w:val="00FB1A98"/>
    <w:rsid w:val="00FD3010"/>
    <w:rsid w:val="00FF6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1C22"/>
    <w:rPr>
      <w:sz w:val="18"/>
      <w:szCs w:val="18"/>
    </w:rPr>
  </w:style>
  <w:style w:type="character" w:customStyle="1" w:styleId="Char">
    <w:name w:val="批注框文本 Char"/>
    <w:basedOn w:val="a0"/>
    <w:link w:val="a3"/>
    <w:uiPriority w:val="99"/>
    <w:semiHidden/>
    <w:rsid w:val="00161C22"/>
    <w:rPr>
      <w:sz w:val="18"/>
      <w:szCs w:val="18"/>
    </w:rPr>
  </w:style>
  <w:style w:type="character" w:styleId="a4">
    <w:name w:val="Strong"/>
    <w:uiPriority w:val="22"/>
    <w:qFormat/>
    <w:rsid w:val="00757898"/>
    <w:rPr>
      <w:b/>
      <w:bCs/>
    </w:rPr>
  </w:style>
  <w:style w:type="paragraph" w:styleId="a5">
    <w:name w:val="header"/>
    <w:basedOn w:val="a"/>
    <w:link w:val="Char0"/>
    <w:uiPriority w:val="99"/>
    <w:unhideWhenUsed/>
    <w:rsid w:val="00700A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00AA0"/>
    <w:rPr>
      <w:sz w:val="18"/>
      <w:szCs w:val="18"/>
    </w:rPr>
  </w:style>
  <w:style w:type="paragraph" w:styleId="a6">
    <w:name w:val="footer"/>
    <w:basedOn w:val="a"/>
    <w:link w:val="Char1"/>
    <w:uiPriority w:val="99"/>
    <w:unhideWhenUsed/>
    <w:rsid w:val="00700AA0"/>
    <w:pPr>
      <w:tabs>
        <w:tab w:val="center" w:pos="4153"/>
        <w:tab w:val="right" w:pos="8306"/>
      </w:tabs>
      <w:snapToGrid w:val="0"/>
      <w:jc w:val="left"/>
    </w:pPr>
    <w:rPr>
      <w:sz w:val="18"/>
      <w:szCs w:val="18"/>
    </w:rPr>
  </w:style>
  <w:style w:type="character" w:customStyle="1" w:styleId="Char1">
    <w:name w:val="页脚 Char"/>
    <w:basedOn w:val="a0"/>
    <w:link w:val="a6"/>
    <w:uiPriority w:val="99"/>
    <w:rsid w:val="00700AA0"/>
    <w:rPr>
      <w:sz w:val="18"/>
      <w:szCs w:val="18"/>
    </w:rPr>
  </w:style>
  <w:style w:type="table" w:styleId="a7">
    <w:name w:val="Table Grid"/>
    <w:basedOn w:val="a1"/>
    <w:uiPriority w:val="39"/>
    <w:rsid w:val="00700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D82867"/>
  </w:style>
</w:styles>
</file>

<file path=word/webSettings.xml><?xml version="1.0" encoding="utf-8"?>
<w:webSettings xmlns:r="http://schemas.openxmlformats.org/officeDocument/2006/relationships" xmlns:w="http://schemas.openxmlformats.org/wordprocessingml/2006/main">
  <w:divs>
    <w:div w:id="441539508">
      <w:bodyDiv w:val="1"/>
      <w:marLeft w:val="0"/>
      <w:marRight w:val="0"/>
      <w:marTop w:val="0"/>
      <w:marBottom w:val="0"/>
      <w:divBdr>
        <w:top w:val="none" w:sz="0" w:space="0" w:color="auto"/>
        <w:left w:val="none" w:sz="0" w:space="0" w:color="auto"/>
        <w:bottom w:val="none" w:sz="0" w:space="0" w:color="auto"/>
        <w:right w:val="none" w:sz="0" w:space="0" w:color="auto"/>
      </w:divBdr>
    </w:div>
    <w:div w:id="567032965">
      <w:bodyDiv w:val="1"/>
      <w:marLeft w:val="0"/>
      <w:marRight w:val="0"/>
      <w:marTop w:val="0"/>
      <w:marBottom w:val="0"/>
      <w:divBdr>
        <w:top w:val="none" w:sz="0" w:space="0" w:color="auto"/>
        <w:left w:val="none" w:sz="0" w:space="0" w:color="auto"/>
        <w:bottom w:val="none" w:sz="0" w:space="0" w:color="auto"/>
        <w:right w:val="none" w:sz="0" w:space="0" w:color="auto"/>
      </w:divBdr>
    </w:div>
    <w:div w:id="1068529195">
      <w:bodyDiv w:val="1"/>
      <w:marLeft w:val="0"/>
      <w:marRight w:val="0"/>
      <w:marTop w:val="0"/>
      <w:marBottom w:val="0"/>
      <w:divBdr>
        <w:top w:val="none" w:sz="0" w:space="0" w:color="auto"/>
        <w:left w:val="none" w:sz="0" w:space="0" w:color="auto"/>
        <w:bottom w:val="none" w:sz="0" w:space="0" w:color="auto"/>
        <w:right w:val="none" w:sz="0" w:space="0" w:color="auto"/>
      </w:divBdr>
    </w:div>
    <w:div w:id="1135949889">
      <w:bodyDiv w:val="1"/>
      <w:marLeft w:val="0"/>
      <w:marRight w:val="0"/>
      <w:marTop w:val="0"/>
      <w:marBottom w:val="0"/>
      <w:divBdr>
        <w:top w:val="none" w:sz="0" w:space="0" w:color="auto"/>
        <w:left w:val="none" w:sz="0" w:space="0" w:color="auto"/>
        <w:bottom w:val="none" w:sz="0" w:space="0" w:color="auto"/>
        <w:right w:val="none" w:sz="0" w:space="0" w:color="auto"/>
      </w:divBdr>
    </w:div>
    <w:div w:id="16525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2371</Characters>
  <Application>Microsoft Office Word</Application>
  <DocSecurity>4</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lilm</dc:creator>
  <cp:keywords/>
  <dc:description/>
  <cp:lastModifiedBy>ZHONGM</cp:lastModifiedBy>
  <cp:revision>2</cp:revision>
  <dcterms:created xsi:type="dcterms:W3CDTF">2020-11-12T16:01:00Z</dcterms:created>
  <dcterms:modified xsi:type="dcterms:W3CDTF">2020-11-12T16:01:00Z</dcterms:modified>
</cp:coreProperties>
</file>