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75" w:rsidRPr="003021D4" w:rsidRDefault="003021D4" w:rsidP="003021D4">
      <w:pPr>
        <w:spacing w:line="360" w:lineRule="auto"/>
        <w:jc w:val="center"/>
        <w:rPr>
          <w:rFonts w:asciiTheme="minorEastAsia" w:hAnsiTheme="minorEastAsia"/>
          <w:b/>
          <w:sz w:val="36"/>
          <w:szCs w:val="36"/>
        </w:rPr>
      </w:pPr>
      <w:r w:rsidRPr="003021D4">
        <w:rPr>
          <w:rFonts w:asciiTheme="minorEastAsia" w:hAnsiTheme="minorEastAsia" w:hint="eastAsia"/>
          <w:b/>
          <w:sz w:val="36"/>
          <w:szCs w:val="36"/>
        </w:rPr>
        <w:t>华宝基金管理有限公司关于修订旗下部分公募基金基金合同的公告</w:t>
      </w:r>
    </w:p>
    <w:p w:rsidR="003021D4" w:rsidRPr="003021D4" w:rsidRDefault="003021D4" w:rsidP="003021D4">
      <w:pPr>
        <w:spacing w:line="360" w:lineRule="auto"/>
        <w:jc w:val="center"/>
        <w:rPr>
          <w:rFonts w:asciiTheme="minorEastAsia" w:hAnsiTheme="minorEastAsia"/>
          <w:b/>
          <w:szCs w:val="21"/>
        </w:rPr>
      </w:pPr>
    </w:p>
    <w:p w:rsidR="00E14AC0" w:rsidRDefault="003021D4" w:rsidP="003021D4">
      <w:pPr>
        <w:spacing w:line="360" w:lineRule="auto"/>
        <w:ind w:firstLineChars="200" w:firstLine="420"/>
        <w:jc w:val="left"/>
        <w:rPr>
          <w:rFonts w:asciiTheme="minorEastAsia" w:hAnsiTheme="minorEastAsia"/>
          <w:szCs w:val="21"/>
        </w:rPr>
      </w:pPr>
      <w:r w:rsidRPr="003021D4">
        <w:rPr>
          <w:rFonts w:asciiTheme="minorEastAsia" w:hAnsiTheme="minorEastAsia" w:hint="eastAsia"/>
          <w:szCs w:val="21"/>
        </w:rPr>
        <w:t>根据《中华人民共和国证券法》、《公开募集证券投资基金信息披露管理办法》、《存托凭证发行与交易管理办法（试行）》等法律法规及各基金基金合同的相关规定，华宝基金管理有限公司（以下简称“本基金管理人”）经与各基金基金托管人协商一致，并向中国证监会备案，对本基金管理人旗下</w:t>
      </w:r>
      <w:r w:rsidRPr="003021D4">
        <w:rPr>
          <w:rFonts w:asciiTheme="minorEastAsia" w:hAnsiTheme="minorEastAsia"/>
          <w:szCs w:val="21"/>
        </w:rPr>
        <w:t>60</w:t>
      </w:r>
      <w:r w:rsidRPr="003021D4">
        <w:rPr>
          <w:rFonts w:asciiTheme="minorEastAsia" w:hAnsiTheme="minorEastAsia" w:hint="eastAsia"/>
          <w:szCs w:val="21"/>
        </w:rPr>
        <w:t>只公募基金参与存托凭证投资修订基金合同等法律文件，包括明确投资范围包含存托凭证、增加存托凭证的投资策略、投资比例限制、估值方法等内容，并将在更新的招募说明书、基金产品资料概要中进行相应更新及增加投资存托凭证的风险揭示。</w:t>
      </w:r>
    </w:p>
    <w:p w:rsidR="00E14AC0" w:rsidRDefault="00E14AC0" w:rsidP="003021D4">
      <w:pPr>
        <w:spacing w:line="360" w:lineRule="auto"/>
        <w:ind w:firstLineChars="200" w:firstLine="420"/>
        <w:jc w:val="left"/>
        <w:rPr>
          <w:rFonts w:asciiTheme="minorEastAsia" w:hAnsiTheme="minorEastAsia"/>
          <w:szCs w:val="21"/>
        </w:rPr>
      </w:pPr>
      <w:r>
        <w:rPr>
          <w:rFonts w:asciiTheme="minorEastAsia" w:hAnsiTheme="minorEastAsia"/>
          <w:szCs w:val="21"/>
        </w:rPr>
        <w:t>一</w:t>
      </w:r>
      <w:r>
        <w:rPr>
          <w:rFonts w:asciiTheme="minorEastAsia" w:hAnsiTheme="minorEastAsia" w:hint="eastAsia"/>
          <w:szCs w:val="21"/>
        </w:rPr>
        <w:t>、</w:t>
      </w:r>
      <w:r>
        <w:rPr>
          <w:rFonts w:asciiTheme="minorEastAsia" w:hAnsiTheme="minorEastAsia"/>
          <w:szCs w:val="21"/>
        </w:rPr>
        <w:t>本次修订的基金范围</w:t>
      </w:r>
    </w:p>
    <w:p w:rsidR="003021D4" w:rsidRPr="003021D4" w:rsidRDefault="003021D4" w:rsidP="003021D4">
      <w:pPr>
        <w:spacing w:line="360" w:lineRule="auto"/>
        <w:ind w:firstLineChars="200" w:firstLine="420"/>
        <w:jc w:val="left"/>
        <w:rPr>
          <w:rFonts w:asciiTheme="minorEastAsia" w:hAnsiTheme="minorEastAsia"/>
          <w:szCs w:val="21"/>
        </w:rPr>
      </w:pPr>
      <w:r w:rsidRPr="003021D4">
        <w:rPr>
          <w:rFonts w:asciiTheme="minorEastAsia" w:hAnsiTheme="minorEastAsia" w:hint="eastAsia"/>
          <w:szCs w:val="21"/>
        </w:rPr>
        <w:t>涉及本次修订的基金名单如下：</w:t>
      </w:r>
    </w:p>
    <w:tbl>
      <w:tblPr>
        <w:tblW w:w="7792" w:type="dxa"/>
        <w:jc w:val="center"/>
        <w:tblLook w:val="04A0"/>
      </w:tblPr>
      <w:tblGrid>
        <w:gridCol w:w="960"/>
        <w:gridCol w:w="6832"/>
      </w:tblGrid>
      <w:tr w:rsidR="003021D4" w:rsidRPr="003021D4" w:rsidTr="003021D4">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序号</w:t>
            </w:r>
          </w:p>
        </w:tc>
        <w:tc>
          <w:tcPr>
            <w:tcW w:w="6832" w:type="dxa"/>
            <w:tcBorders>
              <w:top w:val="single" w:sz="4" w:space="0" w:color="auto"/>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基金名称</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1</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华宝宝康消费品证券投资基金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2</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华宝宝康灵活配置证券投资基金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3</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华宝多策略增长开放式证券投资基金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4</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华宝动力组合混合型证券投资基金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5</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华宝收益增长混合型证券投资基金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6</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华宝先进成长混合型证券投资基金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7</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华宝行业精选混合型证券投资基金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8</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华宝大盘精选混合型证券投资基金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9</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华宝中证100指数证券投资基金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10</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上证180价值交易型开放式指数证券投资基金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11</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华宝新兴产业混合型证券投资基金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12</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华宝医药生物优选混合型证券投资基金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13</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华宝资源优选混合型证券投资基金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14</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华宝服务优选混合型证券投资基金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15</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华宝创新优选混合型证券投资基金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lastRenderedPageBreak/>
              <w:t>16</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华宝生态中国混合型证券投资基金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17</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华宝量化对冲策略混合型发起式证券投资基金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18</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华宝高端制造股票型证券投资基金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19</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华宝品质生活股票型证券投资基金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20</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华宝稳健回报灵活配置混合型证券投资基金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21</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华宝事件驱动混合型证券投资基金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22</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华宝国策导向混合型证券投资基金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23</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华宝中证医疗指数分级证券投资基金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24</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华宝新价值灵活配置混合型证券投资基金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25</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华宝中证1000指数分级证券投资基金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26</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华宝新机遇灵活配置混合型证券投资基金(LOF)</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27</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华宝万物互联灵活配置混合型证券投资基金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28</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华宝转型升级灵活配置混合型证券投资基金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29</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华宝核心优势灵活配置混合型证券投资基金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30</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华宝中证军工交易型开放式指数证券投资基金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31</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华宝中证全指证券公司交易型开放式指数证券投资基金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32</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华宝新活力灵活配置混合型证券投资基金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33</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华宝未来主导产业灵活配置混合型证券投资基金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34</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华宝沪深300指数增强型发起式证券投资基金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35</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华宝新起点灵活配置混合型证券投资基金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36</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华宝标普中国A股红利机会指数证券投资基金(LOF)</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37</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华宝新飞跃灵活配置混合型证券投资基金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38</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华宝新优选一年定期开放灵活配置混合型证券投资基金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39</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华宝智慧产业灵活配置混合型证券投资基金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40</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华宝第三产业灵活配置混合型证券投资基金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41</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华宝中证银行交易型开放式指数证券投资基金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42</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华宝价值发现混合型证券投资基金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43</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华宝中证500指数增强型发起式证券投资基金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44</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华宝中证全指证券公司交易型开放式指数证券投资基金发起式联接基金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lastRenderedPageBreak/>
              <w:t>45</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华宝绿色主题混合型证券投资基金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46</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华宝标普沪港深中国增强价值指数证券投资基金(LOF)</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47</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华宝标普中国A股质量价值指数证券投资基金(LOF)</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48</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华宝科技先锋混合型证券投资基金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49</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华宝大健康混合型证券投资基金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50</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华宝中证医疗交易型开放式指数证券投资基金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51</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华宝消费升级混合型证券投资基金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52</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华宝中证科技龙头交易型开放式指数证券投资基金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53</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华宝MSCI中国A股国际通ESG通用指数证券投资基金(LOF)</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54</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华宝绿色领先股票型证券投资基金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55</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华宝中证消费龙头指数证券投资基金(LOF)</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56</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华宝成长策略混合型证券投资基金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57</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华宝红利精选混合型证券投资基金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58</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华宝中证电子50交易型开放式指数证券投资基金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59</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华宝研究精选混合型证券投资基金</w:t>
            </w:r>
          </w:p>
        </w:tc>
      </w:tr>
      <w:tr w:rsidR="003021D4" w:rsidRPr="003021D4" w:rsidTr="003021D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60</w:t>
            </w:r>
          </w:p>
        </w:tc>
        <w:tc>
          <w:tcPr>
            <w:tcW w:w="6832" w:type="dxa"/>
            <w:tcBorders>
              <w:top w:val="nil"/>
              <w:left w:val="nil"/>
              <w:bottom w:val="single" w:sz="4" w:space="0" w:color="auto"/>
              <w:right w:val="single" w:sz="4" w:space="0" w:color="auto"/>
            </w:tcBorders>
            <w:shd w:val="clear" w:color="auto" w:fill="auto"/>
            <w:noWrap/>
            <w:vAlign w:val="bottom"/>
            <w:hideMark/>
          </w:tcPr>
          <w:p w:rsidR="003021D4" w:rsidRPr="003021D4" w:rsidRDefault="003021D4" w:rsidP="003021D4">
            <w:pPr>
              <w:widowControl/>
              <w:spacing w:line="360" w:lineRule="auto"/>
              <w:jc w:val="center"/>
              <w:rPr>
                <w:rFonts w:asciiTheme="minorEastAsia" w:hAnsiTheme="minorEastAsia" w:cs="宋体"/>
                <w:color w:val="000000"/>
                <w:kern w:val="0"/>
                <w:szCs w:val="21"/>
              </w:rPr>
            </w:pPr>
            <w:r w:rsidRPr="003021D4">
              <w:rPr>
                <w:rFonts w:asciiTheme="minorEastAsia" w:hAnsiTheme="minorEastAsia" w:cs="宋体" w:hint="eastAsia"/>
                <w:color w:val="000000"/>
                <w:kern w:val="0"/>
                <w:szCs w:val="21"/>
              </w:rPr>
              <w:t>华宝新兴成长混合型证券投资基金</w:t>
            </w:r>
          </w:p>
        </w:tc>
      </w:tr>
    </w:tbl>
    <w:p w:rsidR="003021D4" w:rsidRPr="003021D4" w:rsidRDefault="003021D4" w:rsidP="003021D4">
      <w:pPr>
        <w:spacing w:line="360" w:lineRule="auto"/>
        <w:jc w:val="center"/>
        <w:rPr>
          <w:rFonts w:asciiTheme="minorEastAsia" w:hAnsiTheme="minorEastAsia"/>
          <w:b/>
          <w:szCs w:val="21"/>
        </w:rPr>
      </w:pPr>
    </w:p>
    <w:p w:rsidR="00E14AC0" w:rsidRDefault="00E14AC0" w:rsidP="00DB0BD6">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二、基金合同和托管协议修订内容</w:t>
      </w:r>
    </w:p>
    <w:p w:rsidR="00E14AC0" w:rsidRDefault="00E14AC0" w:rsidP="00E14AC0">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（一）基金合同具体修订内容</w:t>
      </w:r>
    </w:p>
    <w:p w:rsidR="00E14AC0" w:rsidRPr="00E14AC0" w:rsidRDefault="00E14AC0" w:rsidP="00E14AC0">
      <w:pPr>
        <w:tabs>
          <w:tab w:val="left" w:pos="567"/>
        </w:tabs>
        <w:spacing w:line="480" w:lineRule="exact"/>
        <w:ind w:firstLineChars="200" w:firstLine="420"/>
        <w:rPr>
          <w:rFonts w:ascii="宋体" w:eastAsia="宋体" w:hAnsi="宋体" w:cs="Times New Roman"/>
          <w:szCs w:val="21"/>
        </w:rPr>
      </w:pPr>
      <w:r w:rsidRPr="00E14AC0">
        <w:rPr>
          <w:rFonts w:ascii="宋体" w:eastAsia="宋体" w:hAnsi="宋体" w:cs="Times New Roman" w:hint="eastAsia"/>
          <w:szCs w:val="21"/>
        </w:rPr>
        <w:t>1、明确“投资范围”中“股票”包含存托凭证</w:t>
      </w:r>
    </w:p>
    <w:p w:rsidR="00E14AC0" w:rsidRPr="00E14AC0" w:rsidRDefault="00E14AC0" w:rsidP="00E14AC0">
      <w:pPr>
        <w:tabs>
          <w:tab w:val="left" w:pos="567"/>
        </w:tabs>
        <w:spacing w:line="480" w:lineRule="exact"/>
        <w:ind w:firstLineChars="200" w:firstLine="420"/>
        <w:rPr>
          <w:rFonts w:ascii="宋体" w:eastAsia="宋体" w:hAnsi="宋体" w:cs="Times New Roman"/>
          <w:bCs/>
          <w:szCs w:val="21"/>
        </w:rPr>
      </w:pPr>
      <w:r w:rsidRPr="00E14AC0">
        <w:rPr>
          <w:rFonts w:ascii="宋体" w:eastAsia="宋体" w:hAnsi="宋体" w:cs="Times New Roman" w:hint="eastAsia"/>
          <w:szCs w:val="21"/>
        </w:rPr>
        <w:t>以</w:t>
      </w:r>
      <w:r>
        <w:rPr>
          <w:rFonts w:ascii="宋体" w:eastAsia="宋体" w:hAnsi="宋体" w:cs="Times New Roman" w:hint="eastAsia"/>
          <w:szCs w:val="21"/>
        </w:rPr>
        <w:t>华宝新兴成长混合型证券投资基金</w:t>
      </w:r>
      <w:r w:rsidRPr="00E14AC0">
        <w:rPr>
          <w:rFonts w:ascii="宋体" w:eastAsia="宋体" w:hAnsi="宋体" w:cs="Times New Roman" w:hint="eastAsia"/>
          <w:szCs w:val="21"/>
        </w:rPr>
        <w:t>为例，将</w:t>
      </w:r>
      <w:r w:rsidRPr="00E14AC0">
        <w:rPr>
          <w:rFonts w:ascii="宋体" w:eastAsia="宋体" w:hAnsi="宋体" w:cs="Times New Roman"/>
          <w:szCs w:val="21"/>
        </w:rPr>
        <w:t>投资范围修改为：</w:t>
      </w:r>
      <w:r w:rsidRPr="00E14AC0">
        <w:rPr>
          <w:rFonts w:ascii="宋体" w:eastAsia="宋体" w:hAnsi="宋体" w:cs="Times New Roman" w:hint="eastAsia"/>
          <w:szCs w:val="21"/>
        </w:rPr>
        <w:t>“</w:t>
      </w:r>
      <w:r w:rsidRPr="00E14AC0">
        <w:rPr>
          <w:rFonts w:ascii="宋体" w:eastAsia="宋体" w:hAnsi="宋体" w:cs="Times New Roman" w:hint="eastAsia"/>
          <w:bCs/>
          <w:szCs w:val="21"/>
        </w:rPr>
        <w:t>本基金的投资范围包括国内依法发行上市的股票（包括中小板、创业板</w:t>
      </w:r>
      <w:r w:rsidRPr="006F1253">
        <w:rPr>
          <w:rFonts w:ascii="宋体" w:eastAsia="宋体" w:hAnsi="宋体" w:cs="Times New Roman" w:hint="eastAsia"/>
          <w:b/>
          <w:bCs/>
          <w:szCs w:val="21"/>
        </w:rPr>
        <w:t>、存托凭证</w:t>
      </w:r>
      <w:r w:rsidRPr="00E14AC0">
        <w:rPr>
          <w:rFonts w:ascii="宋体" w:eastAsia="宋体" w:hAnsi="宋体" w:cs="Times New Roman" w:hint="eastAsia"/>
          <w:bCs/>
          <w:szCs w:val="21"/>
        </w:rPr>
        <w:t>及其他经中国证监会核准或注册上市的股票）、债券（包括国债、央行票据、金融债券、企业债券、公司债券、中期票据、短期融资券、超短期融资券、次级债券、政府支持机构债、政府支持债券、地方政府债、可转换债券及其他经中国证监会允许投资的债券）、资产支持证券、债券回购、银行存款（包括协议存款、定期存款及其他银行存款）、货币市场工具、股指期货、国债期货以及经中国证监会允许基金投资的其他金融工具，但需符合中国证监会的相关规定。</w:t>
      </w:r>
      <w:r>
        <w:rPr>
          <w:rFonts w:ascii="宋体" w:eastAsia="宋体" w:hAnsi="宋体" w:cs="Times New Roman" w:hint="eastAsia"/>
          <w:bCs/>
          <w:szCs w:val="21"/>
        </w:rPr>
        <w:t>”</w:t>
      </w:r>
    </w:p>
    <w:p w:rsidR="00E14AC0" w:rsidRPr="00E14AC0" w:rsidRDefault="00E14AC0" w:rsidP="00E14AC0">
      <w:pPr>
        <w:tabs>
          <w:tab w:val="left" w:pos="567"/>
        </w:tabs>
        <w:spacing w:line="480" w:lineRule="exact"/>
        <w:ind w:firstLineChars="200" w:firstLine="420"/>
        <w:rPr>
          <w:rFonts w:ascii="宋体" w:eastAsia="宋体" w:hAnsi="宋体" w:cs="Times New Roman"/>
          <w:bCs/>
          <w:szCs w:val="21"/>
        </w:rPr>
      </w:pPr>
      <w:r w:rsidRPr="00E14AC0">
        <w:rPr>
          <w:rFonts w:ascii="宋体" w:eastAsia="宋体" w:hAnsi="宋体" w:cs="Times New Roman"/>
          <w:bCs/>
          <w:szCs w:val="21"/>
        </w:rPr>
        <w:t>2、在股票投资策略部分增加存托凭证投资策略描述如下：</w:t>
      </w:r>
    </w:p>
    <w:p w:rsidR="00E14AC0" w:rsidRPr="00E14AC0" w:rsidRDefault="00E14AC0" w:rsidP="00907B04">
      <w:pPr>
        <w:tabs>
          <w:tab w:val="left" w:pos="567"/>
        </w:tabs>
        <w:spacing w:line="480" w:lineRule="exact"/>
        <w:ind w:firstLineChars="200" w:firstLine="420"/>
        <w:rPr>
          <w:rFonts w:ascii="宋体" w:eastAsia="宋体" w:hAnsi="宋体" w:cs="Times New Roman"/>
          <w:b/>
          <w:bCs/>
          <w:szCs w:val="21"/>
        </w:rPr>
      </w:pPr>
      <w:r w:rsidRPr="00E14AC0">
        <w:rPr>
          <w:rFonts w:ascii="宋体" w:eastAsia="宋体" w:hAnsi="宋体" w:cs="Times New Roman" w:hint="eastAsia"/>
          <w:szCs w:val="21"/>
        </w:rPr>
        <w:t>以</w:t>
      </w:r>
      <w:r>
        <w:rPr>
          <w:rFonts w:ascii="宋体" w:eastAsia="宋体" w:hAnsi="宋体" w:cs="Times New Roman" w:hint="eastAsia"/>
          <w:szCs w:val="21"/>
        </w:rPr>
        <w:t>华宝新兴成长混合型证券投资基金</w:t>
      </w:r>
      <w:r w:rsidRPr="00E14AC0">
        <w:rPr>
          <w:rFonts w:ascii="宋体" w:eastAsia="宋体" w:hAnsi="宋体" w:cs="Times New Roman" w:hint="eastAsia"/>
          <w:szCs w:val="21"/>
        </w:rPr>
        <w:t>为例，投资</w:t>
      </w:r>
      <w:r w:rsidRPr="00E14AC0">
        <w:rPr>
          <w:rFonts w:ascii="宋体" w:eastAsia="宋体" w:hAnsi="宋体" w:cs="Times New Roman"/>
          <w:szCs w:val="21"/>
        </w:rPr>
        <w:t>策略增加</w:t>
      </w:r>
      <w:r w:rsidRPr="00E14AC0">
        <w:rPr>
          <w:rFonts w:ascii="宋体" w:eastAsia="宋体" w:hAnsi="宋体" w:cs="Times New Roman" w:hint="eastAsia"/>
          <w:szCs w:val="21"/>
        </w:rPr>
        <w:t>“</w:t>
      </w:r>
      <w:r w:rsidR="00907B04" w:rsidRPr="00907B04">
        <w:rPr>
          <w:rFonts w:ascii="宋体" w:eastAsia="宋体" w:hAnsi="宋体" w:cs="Times New Roman" w:hint="eastAsia"/>
          <w:b/>
          <w:bCs/>
          <w:szCs w:val="21"/>
        </w:rPr>
        <w:t>对于存托凭证投资，本基金将在深入研究的基础上，通过定性分析和定量分析相结合的方式，精选出具有比较优势的存托凭证。</w:t>
      </w:r>
      <w:r w:rsidRPr="00E14AC0">
        <w:rPr>
          <w:rFonts w:ascii="宋体" w:eastAsia="宋体" w:hAnsi="宋体" w:cs="Times New Roman" w:hint="eastAsia"/>
          <w:szCs w:val="21"/>
        </w:rPr>
        <w:t>”</w:t>
      </w:r>
    </w:p>
    <w:p w:rsidR="00E14AC0" w:rsidRPr="00E14AC0" w:rsidRDefault="00E14AC0" w:rsidP="00E46565">
      <w:pPr>
        <w:tabs>
          <w:tab w:val="left" w:pos="567"/>
        </w:tabs>
        <w:spacing w:beforeLines="50" w:line="480" w:lineRule="exact"/>
        <w:ind w:firstLineChars="200" w:firstLine="420"/>
        <w:rPr>
          <w:rFonts w:ascii="宋体" w:eastAsia="宋体" w:hAnsi="宋体" w:cs="Times New Roman"/>
          <w:bCs/>
          <w:szCs w:val="21"/>
        </w:rPr>
      </w:pPr>
      <w:r w:rsidRPr="00E14AC0">
        <w:rPr>
          <w:rFonts w:ascii="宋体" w:eastAsia="宋体" w:hAnsi="宋体" w:cs="Times New Roman" w:hint="eastAsia"/>
          <w:bCs/>
          <w:szCs w:val="21"/>
        </w:rPr>
        <w:t>3、在“投资限制”中增加存托凭证投资限制描述如下：</w:t>
      </w:r>
    </w:p>
    <w:p w:rsidR="00E14AC0" w:rsidRPr="00E14AC0" w:rsidRDefault="00E14AC0" w:rsidP="00E14AC0">
      <w:pPr>
        <w:tabs>
          <w:tab w:val="left" w:pos="567"/>
        </w:tabs>
        <w:spacing w:line="480" w:lineRule="exact"/>
        <w:ind w:firstLineChars="200" w:firstLine="420"/>
        <w:rPr>
          <w:rFonts w:ascii="宋体" w:eastAsia="宋体" w:hAnsi="宋体" w:cs="Times New Roman"/>
          <w:b/>
          <w:bCs/>
          <w:szCs w:val="21"/>
        </w:rPr>
      </w:pPr>
      <w:r w:rsidRPr="00E14AC0">
        <w:rPr>
          <w:rFonts w:ascii="宋体" w:eastAsia="宋体" w:hAnsi="宋体" w:cs="Times New Roman" w:hint="eastAsia"/>
          <w:szCs w:val="21"/>
        </w:rPr>
        <w:t>“</w:t>
      </w:r>
      <w:r w:rsidR="00907B04" w:rsidRPr="00907B04">
        <w:rPr>
          <w:rFonts w:ascii="宋体" w:eastAsia="宋体" w:hAnsi="宋体" w:cs="Times New Roman" w:hint="eastAsia"/>
          <w:b/>
          <w:bCs/>
          <w:szCs w:val="21"/>
        </w:rPr>
        <w:t>本基金投资存托凭证的比例限制依照境内上市交易的股票执行，与境内上市交易的股票合并计算。</w:t>
      </w:r>
      <w:r w:rsidRPr="00E14AC0">
        <w:rPr>
          <w:rFonts w:ascii="宋体" w:eastAsia="宋体" w:hAnsi="宋体" w:cs="Times New Roman" w:hint="eastAsia"/>
          <w:szCs w:val="21"/>
        </w:rPr>
        <w:t>”</w:t>
      </w:r>
    </w:p>
    <w:p w:rsidR="00E14AC0" w:rsidRPr="00E14AC0" w:rsidRDefault="00907B04" w:rsidP="00E46565">
      <w:pPr>
        <w:tabs>
          <w:tab w:val="left" w:pos="567"/>
        </w:tabs>
        <w:spacing w:beforeLines="50" w:line="480" w:lineRule="exact"/>
        <w:ind w:firstLineChars="200" w:firstLine="420"/>
        <w:rPr>
          <w:rFonts w:ascii="宋体" w:eastAsia="宋体" w:hAnsi="宋体" w:cs="Times New Roman"/>
          <w:bCs/>
          <w:szCs w:val="21"/>
        </w:rPr>
      </w:pPr>
      <w:r>
        <w:rPr>
          <w:rFonts w:ascii="宋体" w:eastAsia="宋体" w:hAnsi="宋体" w:cs="Times New Roman" w:hint="eastAsia"/>
          <w:bCs/>
          <w:szCs w:val="21"/>
        </w:rPr>
        <w:t>4、</w:t>
      </w:r>
      <w:r w:rsidR="00E14AC0" w:rsidRPr="00E14AC0">
        <w:rPr>
          <w:rFonts w:ascii="宋体" w:eastAsia="宋体" w:hAnsi="宋体" w:cs="Times New Roman" w:hint="eastAsia"/>
          <w:bCs/>
          <w:szCs w:val="21"/>
        </w:rPr>
        <w:t>在“基金资产估值”部分的“估值方法”中增加存托凭证估值方法描述如下：</w:t>
      </w:r>
    </w:p>
    <w:p w:rsidR="00E14AC0" w:rsidRPr="00907B04" w:rsidRDefault="00E14AC0" w:rsidP="00907B04">
      <w:pPr>
        <w:tabs>
          <w:tab w:val="left" w:pos="567"/>
        </w:tabs>
        <w:spacing w:line="480" w:lineRule="exact"/>
        <w:ind w:firstLineChars="200" w:firstLine="420"/>
        <w:rPr>
          <w:rFonts w:ascii="宋体" w:eastAsia="宋体" w:hAnsi="宋体" w:cs="Times New Roman"/>
          <w:b/>
          <w:bCs/>
          <w:szCs w:val="21"/>
        </w:rPr>
      </w:pPr>
      <w:r w:rsidRPr="00E14AC0">
        <w:rPr>
          <w:rFonts w:ascii="宋体" w:eastAsia="宋体" w:hAnsi="宋体" w:cs="Times New Roman" w:hint="eastAsia"/>
          <w:szCs w:val="21"/>
        </w:rPr>
        <w:t>“</w:t>
      </w:r>
      <w:r w:rsidR="00907B04" w:rsidRPr="00907B04">
        <w:rPr>
          <w:rFonts w:ascii="宋体" w:eastAsia="宋体" w:hAnsi="宋体" w:cs="Times New Roman" w:hint="eastAsia"/>
          <w:b/>
          <w:bCs/>
          <w:szCs w:val="21"/>
        </w:rPr>
        <w:t>本基金投资存托凭证的估值核算，依照境内上市交易的股票执行。</w:t>
      </w:r>
      <w:r w:rsidRPr="00E14AC0">
        <w:rPr>
          <w:rFonts w:ascii="宋体" w:eastAsia="宋体" w:hAnsi="宋体" w:cs="Times New Roman" w:hint="eastAsia"/>
          <w:szCs w:val="21"/>
        </w:rPr>
        <w:t>”</w:t>
      </w:r>
    </w:p>
    <w:p w:rsidR="00E14AC0" w:rsidRDefault="00E14AC0" w:rsidP="00E14AC0">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Pr="00E14AC0">
        <w:rPr>
          <w:rFonts w:asciiTheme="minorEastAsia" w:eastAsiaTheme="minorEastAsia" w:hAnsiTheme="minorEastAsia" w:hint="eastAsia"/>
          <w:sz w:val="21"/>
          <w:szCs w:val="21"/>
        </w:rPr>
        <w:t>托管协议涉及上述内容的条款已一并调整。</w:t>
      </w:r>
    </w:p>
    <w:p w:rsidR="00E14AC0" w:rsidRDefault="00E14AC0" w:rsidP="00E14AC0">
      <w:pPr>
        <w:pStyle w:val="Default"/>
        <w:spacing w:line="360" w:lineRule="auto"/>
        <w:ind w:firstLineChars="200" w:firstLine="420"/>
        <w:rPr>
          <w:rFonts w:asciiTheme="minorEastAsia" w:eastAsiaTheme="minorEastAsia" w:hAnsiTheme="minorEastAsia"/>
          <w:sz w:val="21"/>
          <w:szCs w:val="21"/>
        </w:rPr>
      </w:pPr>
    </w:p>
    <w:p w:rsidR="003021D4" w:rsidRPr="003021D4" w:rsidRDefault="003021D4" w:rsidP="00DB0BD6">
      <w:pPr>
        <w:pStyle w:val="Default"/>
        <w:spacing w:line="360" w:lineRule="auto"/>
        <w:ind w:firstLineChars="200" w:firstLine="420"/>
        <w:rPr>
          <w:rFonts w:asciiTheme="minorEastAsia" w:eastAsiaTheme="minorEastAsia" w:hAnsiTheme="minorEastAsia"/>
          <w:sz w:val="21"/>
          <w:szCs w:val="21"/>
        </w:rPr>
      </w:pPr>
      <w:r w:rsidRPr="003021D4">
        <w:rPr>
          <w:rFonts w:asciiTheme="minorEastAsia" w:eastAsiaTheme="minorEastAsia" w:hAnsiTheme="minorEastAsia" w:hint="eastAsia"/>
          <w:sz w:val="21"/>
          <w:szCs w:val="21"/>
        </w:rPr>
        <w:t>本次修订符合有关法律法规规定和基金</w:t>
      </w:r>
      <w:r w:rsidR="00DB0BD6">
        <w:rPr>
          <w:rFonts w:asciiTheme="minorEastAsia" w:eastAsiaTheme="minorEastAsia" w:hAnsiTheme="minorEastAsia" w:hint="eastAsia"/>
          <w:sz w:val="21"/>
          <w:szCs w:val="21"/>
        </w:rPr>
        <w:t>合同的约定，对基金份额持有人利益无实质性不利影响，并且履行了规定</w:t>
      </w:r>
      <w:r w:rsidRPr="003021D4">
        <w:rPr>
          <w:rFonts w:asciiTheme="minorEastAsia" w:eastAsiaTheme="minorEastAsia" w:hAnsiTheme="minorEastAsia" w:hint="eastAsia"/>
          <w:sz w:val="21"/>
          <w:szCs w:val="21"/>
        </w:rPr>
        <w:t>的程序。修订后的基金合同自本公告发布之日起生效。</w:t>
      </w:r>
      <w:r w:rsidR="00DB0BD6">
        <w:rPr>
          <w:rFonts w:hint="eastAsia"/>
          <w:sz w:val="21"/>
          <w:szCs w:val="21"/>
        </w:rPr>
        <w:t>本次修订后的</w:t>
      </w:r>
      <w:r w:rsidR="00DB0BD6" w:rsidRPr="00DB0BD6">
        <w:rPr>
          <w:rFonts w:asciiTheme="minorEastAsia" w:eastAsiaTheme="minorEastAsia" w:hAnsiTheme="minorEastAsia" w:hint="eastAsia"/>
          <w:sz w:val="21"/>
          <w:szCs w:val="21"/>
        </w:rPr>
        <w:t>基金合同、</w:t>
      </w:r>
      <w:r w:rsidR="00DB0BD6">
        <w:rPr>
          <w:rFonts w:asciiTheme="minorEastAsia" w:eastAsiaTheme="minorEastAsia" w:hAnsiTheme="minorEastAsia" w:hint="eastAsia"/>
          <w:sz w:val="21"/>
          <w:szCs w:val="21"/>
        </w:rPr>
        <w:t>托管协议、</w:t>
      </w:r>
      <w:r w:rsidR="00DB0BD6" w:rsidRPr="00DB0BD6">
        <w:rPr>
          <w:rFonts w:asciiTheme="minorEastAsia" w:eastAsiaTheme="minorEastAsia" w:hAnsiTheme="minorEastAsia" w:hint="eastAsia"/>
          <w:sz w:val="21"/>
          <w:szCs w:val="21"/>
        </w:rPr>
        <w:t>招募说明书（更新）、</w:t>
      </w:r>
      <w:r w:rsidR="00DB0BD6">
        <w:rPr>
          <w:rFonts w:asciiTheme="minorEastAsia" w:eastAsiaTheme="minorEastAsia" w:hAnsiTheme="minorEastAsia" w:hint="eastAsia"/>
          <w:sz w:val="21"/>
          <w:szCs w:val="21"/>
        </w:rPr>
        <w:t>基金</w:t>
      </w:r>
      <w:r w:rsidR="00DB0BD6" w:rsidRPr="00DB0BD6">
        <w:rPr>
          <w:rFonts w:asciiTheme="minorEastAsia" w:eastAsiaTheme="minorEastAsia" w:hAnsiTheme="minorEastAsia" w:hint="eastAsia"/>
          <w:sz w:val="21"/>
          <w:szCs w:val="21"/>
        </w:rPr>
        <w:t>产品资料概要</w:t>
      </w:r>
      <w:r w:rsidR="00DB0BD6">
        <w:rPr>
          <w:rFonts w:asciiTheme="minorEastAsia" w:eastAsiaTheme="minorEastAsia" w:hAnsiTheme="minorEastAsia" w:hint="eastAsia"/>
          <w:sz w:val="21"/>
          <w:szCs w:val="21"/>
        </w:rPr>
        <w:t>（更新）</w:t>
      </w:r>
      <w:r w:rsidR="00DB0BD6" w:rsidRPr="00DB0BD6">
        <w:rPr>
          <w:rFonts w:asciiTheme="minorEastAsia" w:eastAsiaTheme="minorEastAsia" w:hAnsiTheme="minorEastAsia" w:hint="eastAsia"/>
          <w:sz w:val="21"/>
          <w:szCs w:val="21"/>
        </w:rPr>
        <w:t>将登载于</w:t>
      </w:r>
      <w:r w:rsidR="00DB0BD6">
        <w:rPr>
          <w:rFonts w:asciiTheme="minorEastAsia" w:eastAsiaTheme="minorEastAsia" w:hAnsiTheme="minorEastAsia" w:hint="eastAsia"/>
          <w:sz w:val="21"/>
          <w:szCs w:val="21"/>
        </w:rPr>
        <w:t>本</w:t>
      </w:r>
      <w:r w:rsidR="00DB0BD6" w:rsidRPr="00DB0BD6">
        <w:rPr>
          <w:rFonts w:asciiTheme="minorEastAsia" w:eastAsiaTheme="minorEastAsia" w:hAnsiTheme="minorEastAsia" w:hint="eastAsia"/>
          <w:sz w:val="21"/>
          <w:szCs w:val="21"/>
        </w:rPr>
        <w:t>基金管理人网站</w:t>
      </w:r>
      <w:r w:rsidR="00DB0BD6">
        <w:rPr>
          <w:rFonts w:asciiTheme="minorEastAsia" w:eastAsiaTheme="minorEastAsia" w:hAnsiTheme="minorEastAsia" w:hint="eastAsia"/>
          <w:sz w:val="21"/>
          <w:szCs w:val="21"/>
        </w:rPr>
        <w:t>（</w:t>
      </w:r>
      <w:r w:rsidR="00DB0BD6" w:rsidRPr="00DB0BD6">
        <w:rPr>
          <w:rFonts w:asciiTheme="minorEastAsia" w:eastAsiaTheme="minorEastAsia" w:hAnsiTheme="minorEastAsia"/>
          <w:sz w:val="21"/>
          <w:szCs w:val="21"/>
        </w:rPr>
        <w:t>www.fsfund.com</w:t>
      </w:r>
      <w:r w:rsidR="00DB0BD6" w:rsidRPr="00DB0BD6">
        <w:rPr>
          <w:rFonts w:asciiTheme="minorEastAsia" w:eastAsiaTheme="minorEastAsia" w:hAnsiTheme="minorEastAsia" w:hint="eastAsia"/>
          <w:sz w:val="21"/>
          <w:szCs w:val="21"/>
        </w:rPr>
        <w:t>）和中国证监会基金电子披露网站</w:t>
      </w:r>
      <w:r w:rsidR="004F025C">
        <w:rPr>
          <w:rFonts w:asciiTheme="minorEastAsia" w:eastAsiaTheme="minorEastAsia" w:hAnsiTheme="minorEastAsia"/>
          <w:sz w:val="21"/>
          <w:szCs w:val="21"/>
        </w:rPr>
        <w:t>（</w:t>
      </w:r>
      <w:hyperlink r:id="rId6" w:history="1">
        <w:r w:rsidR="004F025C" w:rsidRPr="004F025C">
          <w:rPr>
            <w:rFonts w:hint="eastAsia"/>
            <w:sz w:val="21"/>
            <w:szCs w:val="21"/>
          </w:rPr>
          <w:t>http://eid.csrc.gov.cn/fund</w:t>
        </w:r>
      </w:hyperlink>
      <w:r w:rsidR="004F025C">
        <w:rPr>
          <w:rFonts w:asciiTheme="minorEastAsia" w:eastAsiaTheme="minorEastAsia" w:hAnsiTheme="minorEastAsia" w:hint="eastAsia"/>
          <w:sz w:val="21"/>
          <w:szCs w:val="21"/>
        </w:rPr>
        <w:t>）</w:t>
      </w:r>
      <w:r w:rsidRPr="003021D4">
        <w:rPr>
          <w:rFonts w:asciiTheme="minorEastAsia" w:eastAsiaTheme="minorEastAsia" w:hAnsiTheme="minorEastAsia" w:hint="eastAsia"/>
          <w:sz w:val="21"/>
          <w:szCs w:val="21"/>
        </w:rPr>
        <w:t>。</w:t>
      </w:r>
      <w:r w:rsidR="00DB0BD6">
        <w:rPr>
          <w:rFonts w:hint="eastAsia"/>
          <w:sz w:val="21"/>
          <w:szCs w:val="21"/>
        </w:rPr>
        <w:t>投资者办理基金交易等相关业务前，应仔细阅读各基金的基金合同等法律文件。</w:t>
      </w:r>
    </w:p>
    <w:p w:rsidR="003021D4" w:rsidRPr="003021D4" w:rsidRDefault="00DB0BD6" w:rsidP="003021D4">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投资者可登陆本基金管理人</w:t>
      </w:r>
      <w:r w:rsidRPr="00DB0BD6">
        <w:rPr>
          <w:rFonts w:asciiTheme="minorEastAsia" w:eastAsiaTheme="minorEastAsia" w:hAnsiTheme="minorEastAsia" w:hint="eastAsia"/>
          <w:sz w:val="21"/>
          <w:szCs w:val="21"/>
        </w:rPr>
        <w:t>网站（www.fsfund.com）或拨打客户服务电话（</w:t>
      </w:r>
      <w:r w:rsidR="004F025C" w:rsidRPr="004F025C">
        <w:rPr>
          <w:rFonts w:asciiTheme="minorEastAsia" w:eastAsiaTheme="minorEastAsia" w:hAnsiTheme="minorEastAsia" w:hint="eastAsia"/>
          <w:sz w:val="21"/>
          <w:szCs w:val="21"/>
        </w:rPr>
        <w:t>400-700-5588、400-820-5050、021-38924558</w:t>
      </w:r>
      <w:r w:rsidRPr="00DB0BD6">
        <w:rPr>
          <w:rFonts w:asciiTheme="minorEastAsia" w:eastAsiaTheme="minorEastAsia" w:hAnsiTheme="minorEastAsia" w:hint="eastAsia"/>
          <w:sz w:val="21"/>
          <w:szCs w:val="21"/>
        </w:rPr>
        <w:t>）获取相关信息</w:t>
      </w:r>
      <w:r w:rsidR="003021D4" w:rsidRPr="003021D4">
        <w:rPr>
          <w:rFonts w:asciiTheme="minorEastAsia" w:eastAsiaTheme="minorEastAsia" w:hAnsiTheme="minorEastAsia" w:hint="eastAsia"/>
          <w:sz w:val="21"/>
          <w:szCs w:val="21"/>
        </w:rPr>
        <w:t>。</w:t>
      </w:r>
    </w:p>
    <w:p w:rsidR="003021D4" w:rsidRPr="003021D4" w:rsidRDefault="003021D4" w:rsidP="003021D4">
      <w:pPr>
        <w:pStyle w:val="Default"/>
        <w:spacing w:line="360" w:lineRule="auto"/>
        <w:ind w:firstLineChars="200" w:firstLine="420"/>
        <w:rPr>
          <w:rFonts w:asciiTheme="minorEastAsia" w:eastAsiaTheme="minorEastAsia" w:hAnsiTheme="minorEastAsia"/>
          <w:sz w:val="21"/>
          <w:szCs w:val="21"/>
        </w:rPr>
      </w:pPr>
      <w:r w:rsidRPr="003021D4">
        <w:rPr>
          <w:rFonts w:asciiTheme="minorEastAsia" w:eastAsiaTheme="minorEastAsia" w:hAnsiTheme="minorEastAsia" w:hint="eastAsia"/>
          <w:sz w:val="21"/>
          <w:szCs w:val="21"/>
        </w:rPr>
        <w:t>风险提示：</w:t>
      </w:r>
      <w:r w:rsidR="00DB0BD6" w:rsidRPr="00DB0BD6">
        <w:rPr>
          <w:rFonts w:asciiTheme="minorEastAsia" w:eastAsiaTheme="minorEastAsia" w:hAnsiTheme="minorEastAsia" w:hint="eastAsia"/>
          <w:sz w:val="21"/>
          <w:szCs w:val="21"/>
        </w:rPr>
        <w:t>基金管理人承诺以诚实信用、勤勉尽责的原则管理和运用基金资产，但不保证基金一定盈利，也不保证最低收益。投资者在投资基金前应认真阅读基金合同、招募说明书（更新）和基金产品资料概要（更新）等基金法律文件。敬请投资者注意投资风险。</w:t>
      </w:r>
    </w:p>
    <w:p w:rsidR="003021D4" w:rsidRPr="003021D4" w:rsidRDefault="003021D4" w:rsidP="003021D4">
      <w:pPr>
        <w:pStyle w:val="Default"/>
        <w:spacing w:line="360" w:lineRule="auto"/>
        <w:ind w:firstLineChars="200" w:firstLine="420"/>
        <w:rPr>
          <w:rFonts w:asciiTheme="minorEastAsia" w:eastAsiaTheme="minorEastAsia" w:hAnsiTheme="minorEastAsia"/>
          <w:sz w:val="21"/>
          <w:szCs w:val="21"/>
        </w:rPr>
      </w:pPr>
    </w:p>
    <w:p w:rsidR="003021D4" w:rsidRPr="003021D4" w:rsidRDefault="003021D4" w:rsidP="003021D4">
      <w:pPr>
        <w:pStyle w:val="Default"/>
        <w:spacing w:line="360" w:lineRule="auto"/>
        <w:ind w:firstLineChars="200" w:firstLine="420"/>
        <w:rPr>
          <w:rFonts w:asciiTheme="minorEastAsia" w:eastAsiaTheme="minorEastAsia" w:hAnsiTheme="minorEastAsia"/>
          <w:sz w:val="21"/>
          <w:szCs w:val="21"/>
        </w:rPr>
      </w:pPr>
      <w:r w:rsidRPr="003021D4">
        <w:rPr>
          <w:rFonts w:asciiTheme="minorEastAsia" w:eastAsiaTheme="minorEastAsia" w:hAnsiTheme="minorEastAsia" w:hint="eastAsia"/>
          <w:sz w:val="21"/>
          <w:szCs w:val="21"/>
        </w:rPr>
        <w:t>特此公告。</w:t>
      </w:r>
    </w:p>
    <w:p w:rsidR="003021D4" w:rsidRPr="003021D4" w:rsidRDefault="003021D4" w:rsidP="003021D4">
      <w:pPr>
        <w:pStyle w:val="Default"/>
        <w:spacing w:line="360" w:lineRule="auto"/>
        <w:jc w:val="right"/>
        <w:rPr>
          <w:rFonts w:asciiTheme="minorEastAsia" w:eastAsiaTheme="minorEastAsia" w:hAnsiTheme="minorEastAsia"/>
          <w:sz w:val="21"/>
          <w:szCs w:val="21"/>
        </w:rPr>
      </w:pPr>
      <w:r w:rsidRPr="003021D4">
        <w:rPr>
          <w:rFonts w:asciiTheme="minorEastAsia" w:eastAsiaTheme="minorEastAsia" w:hAnsiTheme="minorEastAsia" w:hint="eastAsia"/>
          <w:sz w:val="21"/>
          <w:szCs w:val="21"/>
        </w:rPr>
        <w:t>华宝基金管理有限公司</w:t>
      </w:r>
    </w:p>
    <w:p w:rsidR="003021D4" w:rsidRPr="003021D4" w:rsidRDefault="003021D4" w:rsidP="003021D4">
      <w:pPr>
        <w:spacing w:line="360" w:lineRule="auto"/>
        <w:jc w:val="right"/>
        <w:rPr>
          <w:rFonts w:asciiTheme="minorEastAsia" w:hAnsiTheme="minorEastAsia"/>
          <w:b/>
          <w:szCs w:val="21"/>
        </w:rPr>
      </w:pPr>
      <w:r w:rsidRPr="003021D4">
        <w:rPr>
          <w:rFonts w:asciiTheme="minorEastAsia" w:hAnsiTheme="minorEastAsia" w:hint="eastAsia"/>
          <w:szCs w:val="21"/>
        </w:rPr>
        <w:t>2020年1</w:t>
      </w:r>
      <w:r w:rsidR="00C52792">
        <w:rPr>
          <w:rFonts w:asciiTheme="minorEastAsia" w:hAnsiTheme="minorEastAsia" w:hint="eastAsia"/>
          <w:szCs w:val="21"/>
        </w:rPr>
        <w:t>1</w:t>
      </w:r>
      <w:r w:rsidRPr="003021D4">
        <w:rPr>
          <w:rFonts w:asciiTheme="minorEastAsia" w:hAnsiTheme="minorEastAsia" w:hint="eastAsia"/>
          <w:szCs w:val="21"/>
        </w:rPr>
        <w:t>月</w:t>
      </w:r>
      <w:r w:rsidR="00C52792">
        <w:rPr>
          <w:rFonts w:asciiTheme="minorEastAsia" w:hAnsiTheme="minorEastAsia" w:hint="eastAsia"/>
          <w:szCs w:val="21"/>
        </w:rPr>
        <w:t>13</w:t>
      </w:r>
      <w:bookmarkStart w:id="0" w:name="_GoBack"/>
      <w:bookmarkEnd w:id="0"/>
      <w:r w:rsidRPr="003021D4">
        <w:rPr>
          <w:rFonts w:asciiTheme="minorEastAsia" w:hAnsiTheme="minorEastAsia" w:hint="eastAsia"/>
          <w:szCs w:val="21"/>
        </w:rPr>
        <w:t>日</w:t>
      </w:r>
    </w:p>
    <w:sectPr w:rsidR="003021D4" w:rsidRPr="003021D4" w:rsidSect="00E719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638" w:rsidRDefault="00ED3638" w:rsidP="00E14AC0">
      <w:r>
        <w:separator/>
      </w:r>
    </w:p>
  </w:endnote>
  <w:endnote w:type="continuationSeparator" w:id="0">
    <w:p w:rsidR="00ED3638" w:rsidRDefault="00ED3638" w:rsidP="00E14A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638" w:rsidRDefault="00ED3638" w:rsidP="00E14AC0">
      <w:r>
        <w:separator/>
      </w:r>
    </w:p>
  </w:footnote>
  <w:footnote w:type="continuationSeparator" w:id="0">
    <w:p w:rsidR="00ED3638" w:rsidRDefault="00ED3638" w:rsidP="00E14A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48E4"/>
    <w:rsid w:val="003021D4"/>
    <w:rsid w:val="003A4133"/>
    <w:rsid w:val="003C5275"/>
    <w:rsid w:val="00444075"/>
    <w:rsid w:val="004F025C"/>
    <w:rsid w:val="006F1253"/>
    <w:rsid w:val="00772B3E"/>
    <w:rsid w:val="008273E4"/>
    <w:rsid w:val="00907B04"/>
    <w:rsid w:val="00BE48E4"/>
    <w:rsid w:val="00C52792"/>
    <w:rsid w:val="00C5424E"/>
    <w:rsid w:val="00CF1E95"/>
    <w:rsid w:val="00DB0BD6"/>
    <w:rsid w:val="00E14AC0"/>
    <w:rsid w:val="00E46565"/>
    <w:rsid w:val="00E71906"/>
    <w:rsid w:val="00ED36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9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21D4"/>
    <w:pPr>
      <w:widowControl w:val="0"/>
      <w:autoSpaceDE w:val="0"/>
      <w:autoSpaceDN w:val="0"/>
      <w:adjustRightInd w:val="0"/>
    </w:pPr>
    <w:rPr>
      <w:rFonts w:ascii="宋体" w:eastAsia="宋体" w:cs="宋体"/>
      <w:color w:val="000000"/>
      <w:kern w:val="0"/>
      <w:sz w:val="24"/>
      <w:szCs w:val="24"/>
    </w:rPr>
  </w:style>
  <w:style w:type="paragraph" w:styleId="a3">
    <w:name w:val="Revision"/>
    <w:hidden/>
    <w:uiPriority w:val="99"/>
    <w:semiHidden/>
    <w:rsid w:val="00DB0BD6"/>
  </w:style>
  <w:style w:type="paragraph" w:styleId="a4">
    <w:name w:val="Balloon Text"/>
    <w:basedOn w:val="a"/>
    <w:link w:val="Char"/>
    <w:uiPriority w:val="99"/>
    <w:semiHidden/>
    <w:unhideWhenUsed/>
    <w:rsid w:val="00DB0BD6"/>
    <w:rPr>
      <w:sz w:val="18"/>
      <w:szCs w:val="18"/>
    </w:rPr>
  </w:style>
  <w:style w:type="character" w:customStyle="1" w:styleId="Char">
    <w:name w:val="批注框文本 Char"/>
    <w:basedOn w:val="a0"/>
    <w:link w:val="a4"/>
    <w:uiPriority w:val="99"/>
    <w:semiHidden/>
    <w:rsid w:val="00DB0BD6"/>
    <w:rPr>
      <w:sz w:val="18"/>
      <w:szCs w:val="18"/>
    </w:rPr>
  </w:style>
  <w:style w:type="character" w:styleId="a5">
    <w:name w:val="Hyperlink"/>
    <w:basedOn w:val="a0"/>
    <w:uiPriority w:val="99"/>
    <w:unhideWhenUsed/>
    <w:rsid w:val="004F025C"/>
    <w:rPr>
      <w:color w:val="0563C1" w:themeColor="hyperlink"/>
      <w:u w:val="single"/>
    </w:rPr>
  </w:style>
  <w:style w:type="paragraph" w:styleId="a6">
    <w:name w:val="header"/>
    <w:basedOn w:val="a"/>
    <w:link w:val="Char0"/>
    <w:uiPriority w:val="99"/>
    <w:unhideWhenUsed/>
    <w:rsid w:val="00E14A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14AC0"/>
    <w:rPr>
      <w:sz w:val="18"/>
      <w:szCs w:val="18"/>
    </w:rPr>
  </w:style>
  <w:style w:type="paragraph" w:styleId="a7">
    <w:name w:val="footer"/>
    <w:basedOn w:val="a"/>
    <w:link w:val="Char1"/>
    <w:uiPriority w:val="99"/>
    <w:unhideWhenUsed/>
    <w:rsid w:val="00E14AC0"/>
    <w:pPr>
      <w:tabs>
        <w:tab w:val="center" w:pos="4153"/>
        <w:tab w:val="right" w:pos="8306"/>
      </w:tabs>
      <w:snapToGrid w:val="0"/>
      <w:jc w:val="left"/>
    </w:pPr>
    <w:rPr>
      <w:sz w:val="18"/>
      <w:szCs w:val="18"/>
    </w:rPr>
  </w:style>
  <w:style w:type="character" w:customStyle="1" w:styleId="Char1">
    <w:name w:val="页脚 Char"/>
    <w:basedOn w:val="a0"/>
    <w:link w:val="a7"/>
    <w:uiPriority w:val="99"/>
    <w:rsid w:val="00E14AC0"/>
    <w:rPr>
      <w:sz w:val="18"/>
      <w:szCs w:val="18"/>
    </w:rPr>
  </w:style>
  <w:style w:type="character" w:styleId="a8">
    <w:name w:val="annotation reference"/>
    <w:basedOn w:val="a0"/>
    <w:uiPriority w:val="99"/>
    <w:semiHidden/>
    <w:unhideWhenUsed/>
    <w:rsid w:val="00E14AC0"/>
    <w:rPr>
      <w:sz w:val="21"/>
      <w:szCs w:val="21"/>
    </w:rPr>
  </w:style>
  <w:style w:type="paragraph" w:styleId="a9">
    <w:name w:val="annotation text"/>
    <w:basedOn w:val="a"/>
    <w:link w:val="Char2"/>
    <w:uiPriority w:val="99"/>
    <w:semiHidden/>
    <w:unhideWhenUsed/>
    <w:rsid w:val="00E14AC0"/>
    <w:pPr>
      <w:jc w:val="left"/>
    </w:pPr>
  </w:style>
  <w:style w:type="character" w:customStyle="1" w:styleId="Char2">
    <w:name w:val="批注文字 Char"/>
    <w:basedOn w:val="a0"/>
    <w:link w:val="a9"/>
    <w:uiPriority w:val="99"/>
    <w:semiHidden/>
    <w:rsid w:val="00E14AC0"/>
  </w:style>
  <w:style w:type="paragraph" w:styleId="aa">
    <w:name w:val="annotation subject"/>
    <w:basedOn w:val="a9"/>
    <w:next w:val="a9"/>
    <w:link w:val="Char3"/>
    <w:uiPriority w:val="99"/>
    <w:semiHidden/>
    <w:unhideWhenUsed/>
    <w:rsid w:val="00E14AC0"/>
    <w:rPr>
      <w:b/>
      <w:bCs/>
    </w:rPr>
  </w:style>
  <w:style w:type="character" w:customStyle="1" w:styleId="Char3">
    <w:name w:val="批注主题 Char"/>
    <w:basedOn w:val="Char2"/>
    <w:link w:val="aa"/>
    <w:uiPriority w:val="99"/>
    <w:semiHidden/>
    <w:rsid w:val="00E14AC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csrc.gov.cn/fun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2375</Characters>
  <Application>Microsoft Office Word</Application>
  <DocSecurity>4</DocSecurity>
  <Lines>19</Lines>
  <Paragraphs>5</Paragraphs>
  <ScaleCrop>false</ScaleCrop>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龙怡</dc:creator>
  <cp:keywords/>
  <dc:description/>
  <cp:lastModifiedBy>ZHONGM</cp:lastModifiedBy>
  <cp:revision>2</cp:revision>
  <dcterms:created xsi:type="dcterms:W3CDTF">2020-11-12T16:01:00Z</dcterms:created>
  <dcterms:modified xsi:type="dcterms:W3CDTF">2020-11-12T16:01:00Z</dcterms:modified>
</cp:coreProperties>
</file>