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6409" w:rsidRPr="009002B5" w:rsidRDefault="00D46409">
      <w:pPr>
        <w:jc w:val="center"/>
        <w:rPr>
          <w:rFonts w:ascii="宋体" w:hAnsi="宋体"/>
          <w:b/>
          <w:color w:val="000000"/>
          <w:szCs w:val="24"/>
        </w:rPr>
      </w:pPr>
      <w:bookmarkStart w:id="0" w:name="FM_KS_1"/>
      <w:bookmarkEnd w:id="0"/>
    </w:p>
    <w:p w:rsidR="00D46409" w:rsidRPr="009002B5" w:rsidRDefault="00D46409">
      <w:pPr>
        <w:jc w:val="center"/>
        <w:rPr>
          <w:rFonts w:ascii="宋体" w:hAnsi="宋体" w:hint="eastAsia"/>
          <w:b/>
          <w:color w:val="000000"/>
          <w:szCs w:val="24"/>
        </w:rPr>
      </w:pPr>
    </w:p>
    <w:p w:rsidR="00D46409" w:rsidRPr="009002B5" w:rsidRDefault="00D46409">
      <w:pPr>
        <w:jc w:val="center"/>
        <w:rPr>
          <w:rFonts w:ascii="宋体" w:hAnsi="宋体" w:hint="eastAsia"/>
          <w:b/>
          <w:color w:val="000000"/>
          <w:sz w:val="24"/>
          <w:szCs w:val="24"/>
        </w:rPr>
      </w:pPr>
      <w:r w:rsidRPr="009002B5">
        <w:rPr>
          <w:rFonts w:ascii="宋体" w:hAnsi="宋体" w:hint="eastAsia"/>
          <w:b/>
          <w:color w:val="000000"/>
          <w:sz w:val="24"/>
          <w:szCs w:val="24"/>
        </w:rPr>
        <w:t>信诚新泽回报灵活配置混合型证券投资基金</w:t>
      </w:r>
      <w:r w:rsidRPr="009002B5">
        <w:rPr>
          <w:rFonts w:ascii="宋体" w:hAnsi="宋体" w:hint="eastAsia"/>
          <w:b/>
          <w:color w:val="000000"/>
          <w:sz w:val="24"/>
          <w:szCs w:val="24"/>
        </w:rPr>
        <w:br/>
        <w:t>开放日常定期定额投资业务的公告</w:t>
      </w:r>
    </w:p>
    <w:p w:rsidR="00D46409" w:rsidRPr="009002B5" w:rsidRDefault="00D46409">
      <w:pPr>
        <w:jc w:val="center"/>
        <w:rPr>
          <w:rFonts w:ascii="宋体" w:hAnsi="宋体" w:hint="eastAsia"/>
          <w:b/>
          <w:color w:val="000000"/>
          <w:sz w:val="24"/>
          <w:szCs w:val="24"/>
        </w:rPr>
      </w:pPr>
    </w:p>
    <w:p w:rsidR="00D46409" w:rsidRPr="009002B5" w:rsidRDefault="00D46409">
      <w:pPr>
        <w:jc w:val="center"/>
        <w:rPr>
          <w:rFonts w:ascii="宋体" w:hAnsi="宋体" w:hint="eastAsia"/>
          <w:b/>
          <w:color w:val="000000"/>
          <w:sz w:val="24"/>
          <w:szCs w:val="24"/>
        </w:rPr>
      </w:pPr>
    </w:p>
    <w:p w:rsidR="00D46409" w:rsidRPr="009002B5" w:rsidRDefault="00D46409">
      <w:pPr>
        <w:adjustRightInd w:val="0"/>
        <w:snapToGrid w:val="0"/>
        <w:spacing w:line="460" w:lineRule="exact"/>
        <w:jc w:val="center"/>
        <w:rPr>
          <w:rFonts w:ascii="宋体" w:hAnsi="宋体" w:hint="eastAsia"/>
          <w:b/>
          <w:color w:val="000000"/>
          <w:sz w:val="24"/>
          <w:szCs w:val="24"/>
        </w:rPr>
      </w:pPr>
      <w:r w:rsidRPr="009002B5">
        <w:rPr>
          <w:rFonts w:ascii="宋体" w:hAnsi="宋体" w:hint="eastAsia"/>
          <w:b/>
          <w:color w:val="000000"/>
          <w:sz w:val="24"/>
          <w:szCs w:val="24"/>
        </w:rPr>
        <w:t>公告送出日期：2020年11月09日</w:t>
      </w:r>
      <w:bookmarkStart w:id="1" w:name="FM_JS_1"/>
      <w:bookmarkEnd w:id="1"/>
    </w:p>
    <w:p w:rsidR="00D46409" w:rsidRDefault="00D46409">
      <w:pPr>
        <w:rPr>
          <w:rFonts w:hint="eastAsia"/>
        </w:rPr>
      </w:pPr>
    </w:p>
    <w:p w:rsidR="00D46409" w:rsidRDefault="00D46409"/>
    <w:p w:rsidR="00D46409" w:rsidRDefault="00D46409">
      <w:pPr>
        <w:pStyle w:val="10"/>
        <w:spacing w:before="312"/>
        <w:ind w:left="0"/>
      </w:pPr>
      <w:bookmarkStart w:id="2" w:name="ZJ_1_KS"/>
      <w:bookmarkEnd w:id="2"/>
      <w:r>
        <w:rPr>
          <w:rFonts w:hint="eastAsia"/>
        </w:rPr>
        <w:t>公告基本信息</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18"/>
        <w:gridCol w:w="2712"/>
        <w:gridCol w:w="3292"/>
      </w:tblGrid>
      <w:tr w:rsidR="00D46409" w:rsidRPr="009002B5">
        <w:trPr>
          <w:trHeight w:val="397"/>
        </w:trPr>
        <w:tc>
          <w:tcPr>
            <w:tcW w:w="2518" w:type="dxa"/>
            <w:tcBorders>
              <w:top w:val="single" w:sz="4" w:space="0" w:color="000000"/>
              <w:left w:val="single" w:sz="4" w:space="0" w:color="000000"/>
              <w:bottom w:val="single" w:sz="4" w:space="0" w:color="000000"/>
              <w:right w:val="single" w:sz="4" w:space="0" w:color="000000"/>
            </w:tcBorders>
            <w:vAlign w:val="center"/>
            <w:hideMark/>
          </w:tcPr>
          <w:p w:rsidR="00D46409" w:rsidRDefault="00D46409">
            <w:pPr>
              <w:rPr>
                <w:rFonts w:ascii="宋体" w:hAnsi="宋体"/>
                <w:color w:val="000000"/>
                <w:szCs w:val="21"/>
              </w:rPr>
            </w:pPr>
            <w:bookmarkStart w:id="3" w:name="BG_1_BG1"/>
            <w:bookmarkEnd w:id="3"/>
            <w:r>
              <w:rPr>
                <w:rFonts w:ascii="宋体" w:hAnsi="宋体" w:hint="eastAsia"/>
                <w:color w:val="000000"/>
                <w:szCs w:val="21"/>
              </w:rPr>
              <w:t>基金名称</w:t>
            </w:r>
          </w:p>
        </w:tc>
        <w:tc>
          <w:tcPr>
            <w:tcW w:w="6004" w:type="dxa"/>
            <w:gridSpan w:val="2"/>
            <w:tcBorders>
              <w:top w:val="single" w:sz="4" w:space="0" w:color="000000"/>
              <w:left w:val="single" w:sz="4" w:space="0" w:color="000000"/>
              <w:bottom w:val="single" w:sz="4" w:space="0" w:color="000000"/>
              <w:right w:val="single" w:sz="4" w:space="0" w:color="000000"/>
            </w:tcBorders>
            <w:vAlign w:val="center"/>
            <w:hideMark/>
          </w:tcPr>
          <w:p w:rsidR="00D46409" w:rsidRDefault="00D46409">
            <w:pPr>
              <w:jc w:val="left"/>
              <w:rPr>
                <w:rFonts w:ascii="宋体" w:hAnsi="宋体" w:hint="eastAsia"/>
                <w:szCs w:val="21"/>
              </w:rPr>
            </w:pPr>
            <w:r>
              <w:rPr>
                <w:rFonts w:ascii="宋体" w:hAnsi="宋体" w:hint="eastAsia"/>
                <w:szCs w:val="21"/>
              </w:rPr>
              <w:t>信诚新泽回报灵活配置混合型证券投资基金</w:t>
            </w:r>
          </w:p>
        </w:tc>
      </w:tr>
      <w:tr w:rsidR="00D46409" w:rsidRPr="009002B5">
        <w:trPr>
          <w:trHeight w:val="397"/>
        </w:trPr>
        <w:tc>
          <w:tcPr>
            <w:tcW w:w="2518" w:type="dxa"/>
            <w:tcBorders>
              <w:top w:val="single" w:sz="4" w:space="0" w:color="000000"/>
              <w:left w:val="single" w:sz="4" w:space="0" w:color="000000"/>
              <w:bottom w:val="single" w:sz="4" w:space="0" w:color="000000"/>
              <w:right w:val="single" w:sz="4" w:space="0" w:color="000000"/>
            </w:tcBorders>
            <w:vAlign w:val="center"/>
            <w:hideMark/>
          </w:tcPr>
          <w:p w:rsidR="00D46409" w:rsidRDefault="00D46409">
            <w:pPr>
              <w:rPr>
                <w:rFonts w:ascii="宋体" w:hAnsi="宋体" w:hint="eastAsia"/>
                <w:color w:val="000000"/>
                <w:szCs w:val="21"/>
              </w:rPr>
            </w:pPr>
            <w:r>
              <w:rPr>
                <w:rFonts w:ascii="宋体" w:hAnsi="宋体" w:hint="eastAsia"/>
                <w:color w:val="000000"/>
                <w:szCs w:val="21"/>
              </w:rPr>
              <w:t>基金简称</w:t>
            </w:r>
          </w:p>
        </w:tc>
        <w:tc>
          <w:tcPr>
            <w:tcW w:w="6004" w:type="dxa"/>
            <w:gridSpan w:val="2"/>
            <w:tcBorders>
              <w:top w:val="single" w:sz="4" w:space="0" w:color="000000"/>
              <w:left w:val="single" w:sz="4" w:space="0" w:color="000000"/>
              <w:bottom w:val="single" w:sz="4" w:space="0" w:color="000000"/>
              <w:right w:val="single" w:sz="4" w:space="0" w:color="000000"/>
            </w:tcBorders>
            <w:vAlign w:val="center"/>
            <w:hideMark/>
          </w:tcPr>
          <w:p w:rsidR="00D46409" w:rsidRDefault="00D46409">
            <w:pPr>
              <w:jc w:val="left"/>
              <w:rPr>
                <w:rFonts w:ascii="宋体" w:hAnsi="宋体" w:hint="eastAsia"/>
                <w:szCs w:val="21"/>
              </w:rPr>
            </w:pPr>
            <w:r>
              <w:rPr>
                <w:rFonts w:ascii="宋体" w:hAnsi="宋体" w:hint="eastAsia"/>
                <w:szCs w:val="21"/>
              </w:rPr>
              <w:t>信诚新泽</w:t>
            </w:r>
          </w:p>
        </w:tc>
      </w:tr>
      <w:tr w:rsidR="00D46409" w:rsidRPr="009002B5">
        <w:trPr>
          <w:trHeight w:val="397"/>
        </w:trPr>
        <w:tc>
          <w:tcPr>
            <w:tcW w:w="2518" w:type="dxa"/>
            <w:tcBorders>
              <w:top w:val="single" w:sz="4" w:space="0" w:color="000000"/>
              <w:left w:val="single" w:sz="4" w:space="0" w:color="000000"/>
              <w:bottom w:val="single" w:sz="4" w:space="0" w:color="000000"/>
              <w:right w:val="single" w:sz="4" w:space="0" w:color="000000"/>
            </w:tcBorders>
            <w:vAlign w:val="center"/>
            <w:hideMark/>
          </w:tcPr>
          <w:p w:rsidR="00D46409" w:rsidRDefault="00D46409">
            <w:pPr>
              <w:rPr>
                <w:rFonts w:ascii="宋体" w:hAnsi="宋体" w:hint="eastAsia"/>
                <w:color w:val="000000"/>
                <w:szCs w:val="21"/>
              </w:rPr>
            </w:pPr>
            <w:r>
              <w:rPr>
                <w:rFonts w:ascii="宋体" w:hAnsi="宋体" w:hint="eastAsia"/>
                <w:color w:val="000000"/>
                <w:szCs w:val="21"/>
              </w:rPr>
              <w:t>基金主代码</w:t>
            </w:r>
          </w:p>
        </w:tc>
        <w:tc>
          <w:tcPr>
            <w:tcW w:w="6004" w:type="dxa"/>
            <w:gridSpan w:val="2"/>
            <w:tcBorders>
              <w:top w:val="single" w:sz="4" w:space="0" w:color="000000"/>
              <w:left w:val="single" w:sz="4" w:space="0" w:color="000000"/>
              <w:bottom w:val="single" w:sz="4" w:space="0" w:color="000000"/>
              <w:right w:val="single" w:sz="4" w:space="0" w:color="000000"/>
            </w:tcBorders>
            <w:vAlign w:val="center"/>
            <w:hideMark/>
          </w:tcPr>
          <w:p w:rsidR="00D46409" w:rsidRDefault="00D46409">
            <w:pPr>
              <w:jc w:val="left"/>
              <w:rPr>
                <w:rFonts w:ascii="宋体" w:hAnsi="宋体" w:hint="eastAsia"/>
                <w:szCs w:val="21"/>
              </w:rPr>
            </w:pPr>
            <w:r>
              <w:rPr>
                <w:rFonts w:ascii="宋体" w:hAnsi="宋体" w:hint="eastAsia"/>
                <w:szCs w:val="21"/>
              </w:rPr>
              <w:t>001596</w:t>
            </w:r>
          </w:p>
        </w:tc>
      </w:tr>
      <w:tr w:rsidR="00D46409" w:rsidRPr="009002B5">
        <w:trPr>
          <w:trHeight w:val="397"/>
        </w:trPr>
        <w:tc>
          <w:tcPr>
            <w:tcW w:w="2518" w:type="dxa"/>
            <w:tcBorders>
              <w:top w:val="single" w:sz="4" w:space="0" w:color="000000"/>
              <w:left w:val="single" w:sz="4" w:space="0" w:color="000000"/>
              <w:bottom w:val="single" w:sz="4" w:space="0" w:color="000000"/>
              <w:right w:val="single" w:sz="4" w:space="0" w:color="000000"/>
            </w:tcBorders>
            <w:vAlign w:val="center"/>
            <w:hideMark/>
          </w:tcPr>
          <w:p w:rsidR="00D46409" w:rsidRDefault="00D46409">
            <w:pPr>
              <w:rPr>
                <w:rFonts w:ascii="宋体" w:hAnsi="宋体" w:hint="eastAsia"/>
                <w:color w:val="000000"/>
                <w:szCs w:val="21"/>
              </w:rPr>
            </w:pPr>
            <w:r>
              <w:rPr>
                <w:rFonts w:ascii="宋体" w:hAnsi="宋体" w:hint="eastAsia"/>
                <w:color w:val="000000"/>
                <w:szCs w:val="21"/>
              </w:rPr>
              <w:t>基金运作方式</w:t>
            </w:r>
          </w:p>
        </w:tc>
        <w:tc>
          <w:tcPr>
            <w:tcW w:w="6004" w:type="dxa"/>
            <w:gridSpan w:val="2"/>
            <w:tcBorders>
              <w:top w:val="single" w:sz="4" w:space="0" w:color="000000"/>
              <w:left w:val="single" w:sz="4" w:space="0" w:color="000000"/>
              <w:bottom w:val="single" w:sz="4" w:space="0" w:color="000000"/>
              <w:right w:val="single" w:sz="4" w:space="0" w:color="000000"/>
            </w:tcBorders>
            <w:vAlign w:val="center"/>
            <w:hideMark/>
          </w:tcPr>
          <w:p w:rsidR="00D46409" w:rsidRDefault="00D46409">
            <w:pPr>
              <w:jc w:val="left"/>
              <w:rPr>
                <w:rFonts w:ascii="宋体" w:hAnsi="宋体" w:hint="eastAsia"/>
                <w:szCs w:val="21"/>
              </w:rPr>
            </w:pPr>
            <w:r>
              <w:rPr>
                <w:rFonts w:ascii="宋体" w:hAnsi="宋体" w:hint="eastAsia"/>
                <w:szCs w:val="21"/>
              </w:rPr>
              <w:t>契约型开放式</w:t>
            </w:r>
          </w:p>
        </w:tc>
      </w:tr>
      <w:tr w:rsidR="00D46409" w:rsidRPr="009002B5">
        <w:trPr>
          <w:trHeight w:val="397"/>
        </w:trPr>
        <w:tc>
          <w:tcPr>
            <w:tcW w:w="2518" w:type="dxa"/>
            <w:tcBorders>
              <w:top w:val="single" w:sz="4" w:space="0" w:color="000000"/>
              <w:left w:val="single" w:sz="4" w:space="0" w:color="000000"/>
              <w:bottom w:val="single" w:sz="4" w:space="0" w:color="000000"/>
              <w:right w:val="single" w:sz="4" w:space="0" w:color="000000"/>
            </w:tcBorders>
            <w:vAlign w:val="center"/>
            <w:hideMark/>
          </w:tcPr>
          <w:p w:rsidR="00D46409" w:rsidRDefault="00D46409">
            <w:pPr>
              <w:rPr>
                <w:rFonts w:ascii="宋体" w:hAnsi="宋体" w:hint="eastAsia"/>
                <w:color w:val="000000"/>
                <w:szCs w:val="21"/>
              </w:rPr>
            </w:pPr>
            <w:r>
              <w:rPr>
                <w:rFonts w:ascii="宋体" w:hAnsi="宋体" w:hint="eastAsia"/>
                <w:color w:val="000000"/>
                <w:szCs w:val="21"/>
              </w:rPr>
              <w:t>基金合同生效日</w:t>
            </w:r>
          </w:p>
        </w:tc>
        <w:tc>
          <w:tcPr>
            <w:tcW w:w="6004" w:type="dxa"/>
            <w:gridSpan w:val="2"/>
            <w:tcBorders>
              <w:top w:val="single" w:sz="4" w:space="0" w:color="000000"/>
              <w:left w:val="single" w:sz="4" w:space="0" w:color="000000"/>
              <w:bottom w:val="single" w:sz="4" w:space="0" w:color="000000"/>
              <w:right w:val="single" w:sz="4" w:space="0" w:color="000000"/>
            </w:tcBorders>
            <w:vAlign w:val="center"/>
            <w:hideMark/>
          </w:tcPr>
          <w:p w:rsidR="00D46409" w:rsidRDefault="00D46409">
            <w:pPr>
              <w:jc w:val="left"/>
              <w:rPr>
                <w:rFonts w:ascii="宋体" w:hAnsi="宋体" w:hint="eastAsia"/>
                <w:szCs w:val="21"/>
              </w:rPr>
            </w:pPr>
            <w:r>
              <w:rPr>
                <w:rFonts w:ascii="宋体" w:hAnsi="宋体" w:hint="eastAsia"/>
                <w:szCs w:val="21"/>
              </w:rPr>
              <w:t>2017年06月27日</w:t>
            </w:r>
          </w:p>
        </w:tc>
      </w:tr>
      <w:tr w:rsidR="00D46409" w:rsidRPr="009002B5">
        <w:trPr>
          <w:trHeight w:val="397"/>
        </w:trPr>
        <w:tc>
          <w:tcPr>
            <w:tcW w:w="2518" w:type="dxa"/>
            <w:tcBorders>
              <w:top w:val="single" w:sz="4" w:space="0" w:color="000000"/>
              <w:left w:val="single" w:sz="4" w:space="0" w:color="000000"/>
              <w:bottom w:val="single" w:sz="4" w:space="0" w:color="000000"/>
              <w:right w:val="single" w:sz="4" w:space="0" w:color="000000"/>
            </w:tcBorders>
            <w:vAlign w:val="center"/>
            <w:hideMark/>
          </w:tcPr>
          <w:p w:rsidR="00D46409" w:rsidRDefault="00D46409">
            <w:pPr>
              <w:rPr>
                <w:rFonts w:ascii="宋体" w:hAnsi="宋体" w:hint="eastAsia"/>
                <w:color w:val="000000"/>
                <w:szCs w:val="21"/>
              </w:rPr>
            </w:pPr>
            <w:r>
              <w:rPr>
                <w:rFonts w:ascii="宋体" w:hAnsi="宋体" w:hint="eastAsia"/>
                <w:color w:val="000000"/>
                <w:szCs w:val="21"/>
              </w:rPr>
              <w:t>基金管理人名称</w:t>
            </w:r>
          </w:p>
        </w:tc>
        <w:tc>
          <w:tcPr>
            <w:tcW w:w="6004" w:type="dxa"/>
            <w:gridSpan w:val="2"/>
            <w:tcBorders>
              <w:top w:val="single" w:sz="4" w:space="0" w:color="000000"/>
              <w:left w:val="single" w:sz="4" w:space="0" w:color="000000"/>
              <w:bottom w:val="single" w:sz="4" w:space="0" w:color="000000"/>
              <w:right w:val="single" w:sz="4" w:space="0" w:color="000000"/>
            </w:tcBorders>
            <w:vAlign w:val="center"/>
            <w:hideMark/>
          </w:tcPr>
          <w:p w:rsidR="00D46409" w:rsidRDefault="00D46409">
            <w:pPr>
              <w:jc w:val="left"/>
              <w:rPr>
                <w:rFonts w:ascii="宋体" w:hAnsi="宋体" w:hint="eastAsia"/>
                <w:szCs w:val="21"/>
              </w:rPr>
            </w:pPr>
            <w:r>
              <w:rPr>
                <w:rFonts w:ascii="宋体" w:hAnsi="宋体" w:hint="eastAsia"/>
                <w:szCs w:val="21"/>
              </w:rPr>
              <w:t>中信保诚基金管理有限公司</w:t>
            </w:r>
          </w:p>
        </w:tc>
      </w:tr>
      <w:tr w:rsidR="00D46409" w:rsidRPr="009002B5">
        <w:trPr>
          <w:trHeight w:val="397"/>
        </w:trPr>
        <w:tc>
          <w:tcPr>
            <w:tcW w:w="2518" w:type="dxa"/>
            <w:tcBorders>
              <w:top w:val="single" w:sz="4" w:space="0" w:color="000000"/>
              <w:left w:val="single" w:sz="4" w:space="0" w:color="000000"/>
              <w:bottom w:val="single" w:sz="4" w:space="0" w:color="000000"/>
              <w:right w:val="single" w:sz="4" w:space="0" w:color="000000"/>
            </w:tcBorders>
            <w:vAlign w:val="center"/>
            <w:hideMark/>
          </w:tcPr>
          <w:p w:rsidR="00D46409" w:rsidRDefault="00D46409">
            <w:pPr>
              <w:rPr>
                <w:rFonts w:ascii="宋体" w:hAnsi="宋体" w:hint="eastAsia"/>
                <w:color w:val="000000"/>
                <w:szCs w:val="21"/>
              </w:rPr>
            </w:pPr>
            <w:r>
              <w:rPr>
                <w:rFonts w:ascii="宋体" w:hAnsi="宋体" w:hint="eastAsia"/>
                <w:color w:val="000000"/>
                <w:szCs w:val="21"/>
              </w:rPr>
              <w:t>基金托管人名称</w:t>
            </w:r>
          </w:p>
        </w:tc>
        <w:tc>
          <w:tcPr>
            <w:tcW w:w="6004" w:type="dxa"/>
            <w:gridSpan w:val="2"/>
            <w:tcBorders>
              <w:top w:val="single" w:sz="4" w:space="0" w:color="000000"/>
              <w:left w:val="single" w:sz="4" w:space="0" w:color="000000"/>
              <w:bottom w:val="single" w:sz="4" w:space="0" w:color="000000"/>
              <w:right w:val="single" w:sz="4" w:space="0" w:color="000000"/>
            </w:tcBorders>
            <w:vAlign w:val="center"/>
            <w:hideMark/>
          </w:tcPr>
          <w:p w:rsidR="00D46409" w:rsidRDefault="00D46409">
            <w:pPr>
              <w:jc w:val="left"/>
              <w:rPr>
                <w:rFonts w:ascii="宋体" w:hAnsi="宋体" w:hint="eastAsia"/>
                <w:szCs w:val="21"/>
              </w:rPr>
            </w:pPr>
            <w:r>
              <w:rPr>
                <w:rFonts w:ascii="宋体" w:hAnsi="宋体" w:hint="eastAsia"/>
                <w:szCs w:val="21"/>
              </w:rPr>
              <w:t>华夏银行股份有限公司</w:t>
            </w:r>
          </w:p>
        </w:tc>
      </w:tr>
      <w:tr w:rsidR="00D46409" w:rsidRPr="009002B5">
        <w:trPr>
          <w:trHeight w:val="397"/>
        </w:trPr>
        <w:tc>
          <w:tcPr>
            <w:tcW w:w="2518" w:type="dxa"/>
            <w:tcBorders>
              <w:top w:val="single" w:sz="4" w:space="0" w:color="000000"/>
              <w:left w:val="single" w:sz="4" w:space="0" w:color="000000"/>
              <w:bottom w:val="single" w:sz="4" w:space="0" w:color="000000"/>
              <w:right w:val="single" w:sz="4" w:space="0" w:color="000000"/>
            </w:tcBorders>
            <w:vAlign w:val="center"/>
            <w:hideMark/>
          </w:tcPr>
          <w:p w:rsidR="00D46409" w:rsidRDefault="00D46409">
            <w:pPr>
              <w:rPr>
                <w:rFonts w:ascii="宋体" w:hAnsi="宋体" w:hint="eastAsia"/>
                <w:color w:val="000000"/>
                <w:szCs w:val="21"/>
              </w:rPr>
            </w:pPr>
            <w:bookmarkStart w:id="4" w:name="YSH_0310_KS_1"/>
            <w:bookmarkEnd w:id="4"/>
            <w:r>
              <w:rPr>
                <w:rFonts w:ascii="宋体" w:hAnsi="宋体" w:hint="eastAsia"/>
                <w:color w:val="000000"/>
                <w:szCs w:val="21"/>
              </w:rPr>
              <w:t>基金注册登记机构名称</w:t>
            </w:r>
          </w:p>
        </w:tc>
        <w:tc>
          <w:tcPr>
            <w:tcW w:w="6004" w:type="dxa"/>
            <w:gridSpan w:val="2"/>
            <w:tcBorders>
              <w:top w:val="single" w:sz="4" w:space="0" w:color="000000"/>
              <w:left w:val="single" w:sz="4" w:space="0" w:color="000000"/>
              <w:bottom w:val="single" w:sz="4" w:space="0" w:color="000000"/>
              <w:right w:val="single" w:sz="4" w:space="0" w:color="000000"/>
            </w:tcBorders>
            <w:vAlign w:val="center"/>
            <w:hideMark/>
          </w:tcPr>
          <w:p w:rsidR="00D46409" w:rsidRDefault="00D46409">
            <w:pPr>
              <w:jc w:val="left"/>
              <w:rPr>
                <w:rFonts w:ascii="宋体" w:hAnsi="宋体" w:hint="eastAsia"/>
                <w:szCs w:val="21"/>
              </w:rPr>
            </w:pPr>
            <w:r>
              <w:rPr>
                <w:rFonts w:ascii="宋体" w:hAnsi="宋体" w:hint="eastAsia"/>
                <w:szCs w:val="21"/>
              </w:rPr>
              <w:t>中信保诚基金管理有限公司</w:t>
            </w:r>
            <w:bookmarkStart w:id="5" w:name="YSH_0310_JS_1"/>
            <w:bookmarkEnd w:id="5"/>
          </w:p>
        </w:tc>
      </w:tr>
      <w:tr w:rsidR="00D46409" w:rsidRPr="009002B5">
        <w:trPr>
          <w:trHeight w:val="397"/>
        </w:trPr>
        <w:tc>
          <w:tcPr>
            <w:tcW w:w="2518" w:type="dxa"/>
            <w:tcBorders>
              <w:top w:val="single" w:sz="4" w:space="0" w:color="000000"/>
              <w:left w:val="single" w:sz="4" w:space="0" w:color="000000"/>
              <w:bottom w:val="single" w:sz="4" w:space="0" w:color="000000"/>
              <w:right w:val="single" w:sz="4" w:space="0" w:color="000000"/>
            </w:tcBorders>
            <w:vAlign w:val="center"/>
            <w:hideMark/>
          </w:tcPr>
          <w:p w:rsidR="00D46409" w:rsidRDefault="00D46409">
            <w:pPr>
              <w:rPr>
                <w:rFonts w:ascii="宋体" w:hAnsi="宋体" w:hint="eastAsia"/>
                <w:color w:val="000000"/>
                <w:szCs w:val="21"/>
              </w:rPr>
            </w:pPr>
            <w:r>
              <w:rPr>
                <w:rFonts w:ascii="宋体" w:hAnsi="宋体" w:hint="eastAsia"/>
                <w:color w:val="000000"/>
                <w:szCs w:val="21"/>
              </w:rPr>
              <w:t>公告依据</w:t>
            </w:r>
          </w:p>
        </w:tc>
        <w:tc>
          <w:tcPr>
            <w:tcW w:w="6004" w:type="dxa"/>
            <w:gridSpan w:val="2"/>
            <w:tcBorders>
              <w:top w:val="single" w:sz="4" w:space="0" w:color="000000"/>
              <w:left w:val="single" w:sz="4" w:space="0" w:color="000000"/>
              <w:bottom w:val="single" w:sz="4" w:space="0" w:color="000000"/>
              <w:right w:val="single" w:sz="4" w:space="0" w:color="000000"/>
            </w:tcBorders>
            <w:vAlign w:val="center"/>
            <w:hideMark/>
          </w:tcPr>
          <w:p w:rsidR="00D46409" w:rsidRDefault="00D46409">
            <w:pPr>
              <w:jc w:val="left"/>
              <w:rPr>
                <w:rFonts w:ascii="宋体" w:hAnsi="宋体" w:hint="eastAsia"/>
                <w:szCs w:val="21"/>
              </w:rPr>
            </w:pPr>
            <w:r>
              <w:rPr>
                <w:rFonts w:ascii="宋体" w:hAnsi="宋体" w:hint="eastAsia"/>
                <w:szCs w:val="21"/>
              </w:rPr>
              <w:t>《信诚新泽回报灵活配置混合型证券投资基金基金合同》、《信诚新泽回报灵活配置混合型证券投资基金招募说明书》</w:t>
            </w:r>
          </w:p>
        </w:tc>
      </w:tr>
      <w:tr w:rsidR="00D46409" w:rsidRPr="009002B5">
        <w:trPr>
          <w:trHeight w:val="397"/>
        </w:trPr>
        <w:tc>
          <w:tcPr>
            <w:tcW w:w="2518" w:type="dxa"/>
            <w:tcBorders>
              <w:top w:val="single" w:sz="4" w:space="0" w:color="000000"/>
              <w:left w:val="single" w:sz="4" w:space="0" w:color="000000"/>
              <w:bottom w:val="single" w:sz="4" w:space="0" w:color="000000"/>
              <w:right w:val="single" w:sz="4" w:space="0" w:color="000000"/>
            </w:tcBorders>
            <w:vAlign w:val="center"/>
            <w:hideMark/>
          </w:tcPr>
          <w:p w:rsidR="00D46409" w:rsidRDefault="00D46409">
            <w:pPr>
              <w:rPr>
                <w:rFonts w:ascii="宋体" w:hAnsi="宋体" w:hint="eastAsia"/>
                <w:color w:val="000000"/>
                <w:szCs w:val="21"/>
              </w:rPr>
            </w:pPr>
            <w:bookmarkStart w:id="6" w:name="YSH_2795_KS_1"/>
            <w:bookmarkEnd w:id="6"/>
            <w:r>
              <w:rPr>
                <w:rFonts w:ascii="宋体" w:hAnsi="宋体" w:hint="eastAsia"/>
                <w:color w:val="000000"/>
                <w:szCs w:val="21"/>
              </w:rPr>
              <w:t>定期定额投资起始日</w:t>
            </w:r>
          </w:p>
        </w:tc>
        <w:tc>
          <w:tcPr>
            <w:tcW w:w="6004" w:type="dxa"/>
            <w:gridSpan w:val="2"/>
            <w:tcBorders>
              <w:top w:val="single" w:sz="4" w:space="0" w:color="000000"/>
              <w:left w:val="single" w:sz="4" w:space="0" w:color="000000"/>
              <w:bottom w:val="single" w:sz="4" w:space="0" w:color="000000"/>
              <w:right w:val="single" w:sz="4" w:space="0" w:color="000000"/>
            </w:tcBorders>
            <w:vAlign w:val="center"/>
            <w:hideMark/>
          </w:tcPr>
          <w:p w:rsidR="00D46409" w:rsidRDefault="00D46409">
            <w:pPr>
              <w:jc w:val="left"/>
              <w:rPr>
                <w:rFonts w:ascii="宋体" w:hAnsi="宋体" w:hint="eastAsia"/>
                <w:szCs w:val="21"/>
              </w:rPr>
            </w:pPr>
            <w:r>
              <w:rPr>
                <w:rFonts w:ascii="宋体" w:hAnsi="宋体" w:hint="eastAsia"/>
                <w:szCs w:val="21"/>
              </w:rPr>
              <w:t>2020年11月9日</w:t>
            </w:r>
            <w:bookmarkStart w:id="7" w:name="YSH_2795_JS_1"/>
            <w:bookmarkEnd w:id="7"/>
          </w:p>
        </w:tc>
      </w:tr>
      <w:tr w:rsidR="00D46409" w:rsidRPr="009002B5">
        <w:trPr>
          <w:trHeight w:val="119"/>
        </w:trPr>
        <w:tc>
          <w:tcPr>
            <w:tcW w:w="2518" w:type="dxa"/>
            <w:tcBorders>
              <w:top w:val="single" w:sz="4" w:space="0" w:color="000000"/>
              <w:left w:val="single" w:sz="4" w:space="0" w:color="000000"/>
              <w:bottom w:val="single" w:sz="4" w:space="0" w:color="000000"/>
              <w:right w:val="single" w:sz="4" w:space="0" w:color="000000"/>
            </w:tcBorders>
            <w:vAlign w:val="center"/>
            <w:hideMark/>
          </w:tcPr>
          <w:p w:rsidR="00D46409" w:rsidRDefault="00D46409">
            <w:pPr>
              <w:rPr>
                <w:rFonts w:ascii="宋体" w:hAnsi="宋体" w:hint="eastAsia"/>
                <w:color w:val="000000"/>
                <w:szCs w:val="21"/>
              </w:rPr>
            </w:pPr>
            <w:bookmarkStart w:id="8" w:name="DYBG_1_BG2_KS"/>
            <w:bookmarkStart w:id="9" w:name="FJH_2_KS_1"/>
            <w:bookmarkEnd w:id="8"/>
            <w:bookmarkEnd w:id="9"/>
            <w:r>
              <w:rPr>
                <w:rFonts w:ascii="宋体" w:hAnsi="宋体" w:hint="eastAsia"/>
                <w:color w:val="000000"/>
                <w:szCs w:val="21"/>
              </w:rPr>
              <w:t>下属分级基金的基金简称</w:t>
            </w:r>
          </w:p>
        </w:tc>
        <w:tc>
          <w:tcPr>
            <w:tcW w:w="2712" w:type="dxa"/>
            <w:tcBorders>
              <w:top w:val="single" w:sz="4" w:space="0" w:color="000000"/>
              <w:left w:val="single" w:sz="4" w:space="0" w:color="000000"/>
              <w:bottom w:val="single" w:sz="4" w:space="0" w:color="000000"/>
              <w:right w:val="single" w:sz="4" w:space="0" w:color="000000"/>
            </w:tcBorders>
            <w:vAlign w:val="center"/>
            <w:hideMark/>
          </w:tcPr>
          <w:p w:rsidR="00D46409" w:rsidRDefault="00D46409">
            <w:pPr>
              <w:jc w:val="left"/>
              <w:rPr>
                <w:rFonts w:ascii="宋体" w:hAnsi="宋体" w:hint="eastAsia"/>
                <w:szCs w:val="21"/>
              </w:rPr>
            </w:pPr>
            <w:r>
              <w:rPr>
                <w:rFonts w:ascii="宋体" w:hAnsi="宋体" w:hint="eastAsia"/>
                <w:szCs w:val="21"/>
              </w:rPr>
              <w:t>信诚新泽A</w:t>
            </w:r>
          </w:p>
        </w:tc>
        <w:tc>
          <w:tcPr>
            <w:tcW w:w="3292" w:type="dxa"/>
            <w:tcBorders>
              <w:top w:val="single" w:sz="4" w:space="0" w:color="000000"/>
              <w:left w:val="single" w:sz="4" w:space="0" w:color="000000"/>
              <w:bottom w:val="single" w:sz="4" w:space="0" w:color="000000"/>
              <w:right w:val="single" w:sz="4" w:space="0" w:color="000000"/>
            </w:tcBorders>
            <w:vAlign w:val="center"/>
            <w:hideMark/>
          </w:tcPr>
          <w:p w:rsidR="00D46409" w:rsidRDefault="00D46409">
            <w:pPr>
              <w:jc w:val="left"/>
              <w:rPr>
                <w:rFonts w:ascii="宋体" w:hAnsi="宋体" w:hint="eastAsia"/>
                <w:szCs w:val="21"/>
              </w:rPr>
            </w:pPr>
            <w:r>
              <w:rPr>
                <w:rFonts w:ascii="宋体" w:hAnsi="宋体" w:hint="eastAsia"/>
                <w:szCs w:val="21"/>
              </w:rPr>
              <w:t>信诚新泽B</w:t>
            </w:r>
          </w:p>
        </w:tc>
      </w:tr>
      <w:tr w:rsidR="00D46409" w:rsidRPr="009002B5">
        <w:trPr>
          <w:trHeight w:val="119"/>
        </w:trPr>
        <w:tc>
          <w:tcPr>
            <w:tcW w:w="2518" w:type="dxa"/>
            <w:tcBorders>
              <w:top w:val="single" w:sz="4" w:space="0" w:color="000000"/>
              <w:left w:val="single" w:sz="4" w:space="0" w:color="000000"/>
              <w:bottom w:val="single" w:sz="4" w:space="0" w:color="000000"/>
              <w:right w:val="single" w:sz="4" w:space="0" w:color="000000"/>
            </w:tcBorders>
            <w:vAlign w:val="center"/>
            <w:hideMark/>
          </w:tcPr>
          <w:p w:rsidR="00D46409" w:rsidRDefault="00D46409">
            <w:pPr>
              <w:rPr>
                <w:rFonts w:ascii="宋体" w:hAnsi="宋体" w:hint="eastAsia"/>
                <w:color w:val="000000"/>
                <w:szCs w:val="21"/>
              </w:rPr>
            </w:pPr>
            <w:r>
              <w:rPr>
                <w:rFonts w:ascii="宋体" w:hAnsi="宋体" w:hint="eastAsia"/>
                <w:color w:val="000000"/>
                <w:szCs w:val="21"/>
              </w:rPr>
              <w:t>下属分级基金的交易代码</w:t>
            </w:r>
          </w:p>
        </w:tc>
        <w:tc>
          <w:tcPr>
            <w:tcW w:w="2712" w:type="dxa"/>
            <w:tcBorders>
              <w:top w:val="single" w:sz="4" w:space="0" w:color="000000"/>
              <w:left w:val="single" w:sz="4" w:space="0" w:color="000000"/>
              <w:bottom w:val="single" w:sz="4" w:space="0" w:color="000000"/>
              <w:right w:val="single" w:sz="4" w:space="0" w:color="000000"/>
            </w:tcBorders>
            <w:vAlign w:val="center"/>
            <w:hideMark/>
          </w:tcPr>
          <w:p w:rsidR="00D46409" w:rsidRDefault="00D46409">
            <w:pPr>
              <w:jc w:val="left"/>
              <w:rPr>
                <w:rFonts w:ascii="宋体" w:hAnsi="宋体" w:hint="eastAsia"/>
                <w:szCs w:val="21"/>
              </w:rPr>
            </w:pPr>
            <w:r>
              <w:rPr>
                <w:rFonts w:ascii="宋体" w:hAnsi="宋体" w:hint="eastAsia"/>
                <w:szCs w:val="21"/>
              </w:rPr>
              <w:t>001596</w:t>
            </w:r>
          </w:p>
        </w:tc>
        <w:tc>
          <w:tcPr>
            <w:tcW w:w="3292" w:type="dxa"/>
            <w:tcBorders>
              <w:top w:val="single" w:sz="4" w:space="0" w:color="000000"/>
              <w:left w:val="single" w:sz="4" w:space="0" w:color="000000"/>
              <w:bottom w:val="single" w:sz="4" w:space="0" w:color="000000"/>
              <w:right w:val="single" w:sz="4" w:space="0" w:color="000000"/>
            </w:tcBorders>
            <w:vAlign w:val="center"/>
            <w:hideMark/>
          </w:tcPr>
          <w:p w:rsidR="00D46409" w:rsidRDefault="00D46409">
            <w:pPr>
              <w:jc w:val="left"/>
              <w:rPr>
                <w:rFonts w:ascii="宋体" w:hAnsi="宋体" w:hint="eastAsia"/>
                <w:szCs w:val="21"/>
              </w:rPr>
            </w:pPr>
            <w:r>
              <w:rPr>
                <w:rFonts w:ascii="宋体" w:hAnsi="宋体" w:hint="eastAsia"/>
                <w:szCs w:val="21"/>
              </w:rPr>
              <w:t>002177</w:t>
            </w:r>
          </w:p>
        </w:tc>
      </w:tr>
      <w:tr w:rsidR="00D46409" w:rsidRPr="009002B5">
        <w:trPr>
          <w:trHeight w:val="119"/>
        </w:trPr>
        <w:tc>
          <w:tcPr>
            <w:tcW w:w="2518" w:type="dxa"/>
            <w:tcBorders>
              <w:top w:val="single" w:sz="4" w:space="0" w:color="000000"/>
              <w:left w:val="single" w:sz="4" w:space="0" w:color="000000"/>
              <w:bottom w:val="single" w:sz="4" w:space="0" w:color="000000"/>
              <w:right w:val="single" w:sz="4" w:space="0" w:color="000000"/>
            </w:tcBorders>
            <w:vAlign w:val="center"/>
            <w:hideMark/>
          </w:tcPr>
          <w:p w:rsidR="00D46409" w:rsidRDefault="00D46409">
            <w:pPr>
              <w:rPr>
                <w:rFonts w:ascii="宋体" w:hAnsi="宋体" w:hint="eastAsia"/>
                <w:color w:val="000000"/>
                <w:szCs w:val="21"/>
              </w:rPr>
            </w:pPr>
            <w:r>
              <w:rPr>
                <w:rFonts w:ascii="宋体" w:hAnsi="宋体" w:hint="eastAsia"/>
                <w:color w:val="000000"/>
                <w:szCs w:val="21"/>
              </w:rPr>
              <w:t>该分级基金是否开放定期定额投资</w:t>
            </w:r>
          </w:p>
        </w:tc>
        <w:tc>
          <w:tcPr>
            <w:tcW w:w="2712" w:type="dxa"/>
            <w:tcBorders>
              <w:top w:val="single" w:sz="4" w:space="0" w:color="000000"/>
              <w:left w:val="single" w:sz="4" w:space="0" w:color="000000"/>
              <w:bottom w:val="single" w:sz="4" w:space="0" w:color="000000"/>
              <w:right w:val="single" w:sz="4" w:space="0" w:color="000000"/>
            </w:tcBorders>
            <w:vAlign w:val="center"/>
            <w:hideMark/>
          </w:tcPr>
          <w:p w:rsidR="00D46409" w:rsidRDefault="00D46409">
            <w:pPr>
              <w:ind w:right="210"/>
              <w:jc w:val="left"/>
              <w:rPr>
                <w:rFonts w:ascii="宋体" w:hAnsi="宋体" w:hint="eastAsia"/>
                <w:color w:val="000000"/>
                <w:szCs w:val="21"/>
              </w:rPr>
            </w:pPr>
            <w:r>
              <w:rPr>
                <w:rFonts w:ascii="宋体" w:hAnsi="宋体" w:hint="eastAsia"/>
                <w:szCs w:val="21"/>
              </w:rPr>
              <w:t>是</w:t>
            </w:r>
          </w:p>
        </w:tc>
        <w:tc>
          <w:tcPr>
            <w:tcW w:w="3292" w:type="dxa"/>
            <w:tcBorders>
              <w:top w:val="single" w:sz="4" w:space="0" w:color="000000"/>
              <w:left w:val="single" w:sz="4" w:space="0" w:color="000000"/>
              <w:bottom w:val="single" w:sz="4" w:space="0" w:color="000000"/>
              <w:right w:val="single" w:sz="4" w:space="0" w:color="000000"/>
            </w:tcBorders>
            <w:vAlign w:val="center"/>
            <w:hideMark/>
          </w:tcPr>
          <w:p w:rsidR="00D46409" w:rsidRDefault="00D46409">
            <w:pPr>
              <w:ind w:right="210"/>
              <w:jc w:val="left"/>
              <w:rPr>
                <w:rFonts w:ascii="宋体" w:hAnsi="宋体" w:hint="eastAsia"/>
                <w:color w:val="000000"/>
                <w:szCs w:val="21"/>
              </w:rPr>
            </w:pPr>
            <w:r>
              <w:rPr>
                <w:rFonts w:ascii="宋体" w:hAnsi="宋体" w:hint="eastAsia"/>
                <w:szCs w:val="21"/>
              </w:rPr>
              <w:t>是</w:t>
            </w:r>
            <w:bookmarkStart w:id="10" w:name="FJH_2_JS_1"/>
            <w:bookmarkStart w:id="11" w:name="DYBG_1_BG2_JS"/>
            <w:bookmarkEnd w:id="10"/>
            <w:bookmarkEnd w:id="11"/>
          </w:p>
        </w:tc>
      </w:tr>
    </w:tbl>
    <w:p w:rsidR="00D46409" w:rsidRDefault="00D46409">
      <w:pPr>
        <w:pStyle w:val="10"/>
        <w:spacing w:before="312"/>
        <w:ind w:left="0"/>
        <w:rPr>
          <w:rFonts w:hint="eastAsia"/>
        </w:rPr>
      </w:pPr>
      <w:bookmarkStart w:id="12" w:name="ZJ_2_KS"/>
      <w:bookmarkEnd w:id="12"/>
      <w:r>
        <w:rPr>
          <w:rFonts w:hint="eastAsia"/>
        </w:rPr>
        <w:t>日常申购、赎回（转换、定期定额投资）业务的办理时间</w:t>
      </w:r>
    </w:p>
    <w:p w:rsidR="00D46409" w:rsidRDefault="00D46409">
      <w:pPr>
        <w:ind w:firstLineChars="100" w:firstLine="210"/>
        <w:jc w:val="left"/>
        <w:rPr>
          <w:rFonts w:ascii="宋体" w:hAnsi="宋体"/>
          <w:szCs w:val="21"/>
        </w:rPr>
      </w:pPr>
      <w:bookmarkStart w:id="13" w:name="WB_2_WB1"/>
      <w:bookmarkEnd w:id="13"/>
      <w:r>
        <w:rPr>
          <w:rFonts w:ascii="宋体" w:hAnsi="宋体" w:hint="eastAsia"/>
          <w:szCs w:val="21"/>
        </w:rPr>
        <w:t>  投资人在开放日办理信诚新泽回报灵活配置混合型证券投资基金（以下简称“本基金”）基金份额的定期定额投资业务，具体办理时间为上海证券交易所、深圳证券交易所的正常交易日的交易时间，但基金管理人根据法律法规、中国证监会的要求或基金合同的规定公告暂停申购、赎回时除外。</w:t>
      </w:r>
      <w:r>
        <w:rPr>
          <w:rFonts w:ascii="宋体" w:hAnsi="宋体" w:hint="eastAsia"/>
          <w:szCs w:val="21"/>
        </w:rPr>
        <w:br/>
        <w:t>  基金合同生效后，若出现新的证券/期货交易市场、证券/期货交易所交易时间变更或其他特殊情况，基金管理人将视情况对前述开放日及开放时间进行相应的调整，但应在实施日前依照《公开募集证券投资基金信息披露管理办法》的有关规定在指定媒介上公告。</w:t>
      </w:r>
      <w:r>
        <w:rPr>
          <w:rFonts w:ascii="宋体" w:hAnsi="宋体" w:hint="eastAsia"/>
          <w:szCs w:val="21"/>
        </w:rPr>
        <w:br/>
        <w:t>  基金管理人不得在基金合同约定之外的日期或者时间办理基金份额的申购、赎回或者转换。投资人在基金合同约定之外的日期和时间提出申购、赎回或转换申请且登记机构确认接受的，其基金份额申购、赎回价格为下一开放日基金份额申购、赎回的价格。</w:t>
      </w:r>
      <w:bookmarkStart w:id="14" w:name="ZJ_2_JS"/>
      <w:bookmarkEnd w:id="14"/>
    </w:p>
    <w:p w:rsidR="00D46409" w:rsidRDefault="00D46409">
      <w:pPr>
        <w:pStyle w:val="10"/>
        <w:spacing w:before="312"/>
        <w:ind w:left="0"/>
        <w:rPr>
          <w:rFonts w:hint="eastAsia"/>
          <w:szCs w:val="21"/>
        </w:rPr>
      </w:pPr>
      <w:bookmarkStart w:id="15" w:name="ZJ_6_KS"/>
      <w:bookmarkEnd w:id="15"/>
      <w:r>
        <w:rPr>
          <w:rFonts w:hint="eastAsia"/>
          <w:szCs w:val="21"/>
        </w:rPr>
        <w:lastRenderedPageBreak/>
        <w:t>定期定额投资业务</w:t>
      </w:r>
    </w:p>
    <w:p w:rsidR="00D46409" w:rsidRDefault="00D46409">
      <w:pPr>
        <w:ind w:firstLineChars="100" w:firstLine="210"/>
        <w:jc w:val="left"/>
        <w:rPr>
          <w:rFonts w:ascii="宋体" w:hAnsi="宋体"/>
          <w:szCs w:val="21"/>
        </w:rPr>
      </w:pPr>
      <w:bookmarkStart w:id="16" w:name="WB_6_WB1"/>
      <w:bookmarkEnd w:id="16"/>
      <w:r>
        <w:rPr>
          <w:rFonts w:ascii="宋体" w:hAnsi="宋体" w:hint="eastAsia"/>
          <w:szCs w:val="21"/>
        </w:rPr>
        <w:t>（1）投资者可以与本公司直销渠道或代销机构约定固定扣款金额。</w:t>
      </w:r>
      <w:r>
        <w:rPr>
          <w:rFonts w:ascii="宋体" w:hAnsi="宋体" w:hint="eastAsia"/>
          <w:szCs w:val="21"/>
        </w:rPr>
        <w:br/>
        <w:t>（2）本基金在所有代销机构均开通定期定额投资业务，并参加代销机构各种电子渠道基金定期定额投资申购费率优惠活动。代销机构名单见本公司官网。</w:t>
      </w:r>
      <w:r>
        <w:rPr>
          <w:rFonts w:ascii="宋体" w:hAnsi="宋体" w:hint="eastAsia"/>
          <w:szCs w:val="21"/>
        </w:rPr>
        <w:br/>
        <w:t>（3）有关定期定额投资的具体业务规则请查询2008年10月6日刊登在《中国证券报》、《上海证券报》、《证券时报》及本公司网站的《信诚基金管理有限公司关于旗下基金定期定额投资业务规则的公告》。</w:t>
      </w:r>
      <w:bookmarkStart w:id="17" w:name="ZJ_6_JS"/>
      <w:bookmarkEnd w:id="17"/>
    </w:p>
    <w:p w:rsidR="00D46409" w:rsidRDefault="00D46409">
      <w:pPr>
        <w:pStyle w:val="10"/>
        <w:spacing w:before="312"/>
        <w:ind w:left="0"/>
        <w:rPr>
          <w:rFonts w:hint="eastAsia"/>
          <w:szCs w:val="21"/>
        </w:rPr>
      </w:pPr>
      <w:bookmarkStart w:id="18" w:name="ZJ_7_KS"/>
      <w:bookmarkEnd w:id="18"/>
      <w:r>
        <w:rPr>
          <w:rFonts w:hint="eastAsia"/>
          <w:szCs w:val="21"/>
        </w:rPr>
        <w:t>基金销售机构</w:t>
      </w:r>
    </w:p>
    <w:p w:rsidR="00D46409" w:rsidRDefault="00D46409">
      <w:pPr>
        <w:pStyle w:val="2"/>
        <w:spacing w:before="312"/>
        <w:ind w:left="422" w:hanging="422"/>
      </w:pPr>
      <w:bookmarkStart w:id="19" w:name="ZJ_7_1_KS"/>
      <w:bookmarkEnd w:id="19"/>
      <w:r>
        <w:rPr>
          <w:rFonts w:hint="eastAsia"/>
        </w:rPr>
        <w:t>场外销售机构</w:t>
      </w:r>
    </w:p>
    <w:p w:rsidR="00D46409" w:rsidRDefault="00D46409">
      <w:pPr>
        <w:pStyle w:val="3"/>
        <w:spacing w:before="312"/>
        <w:ind w:left="737" w:hanging="170"/>
      </w:pPr>
      <w:bookmarkStart w:id="20" w:name="ZJ_7_1_1_KS"/>
      <w:bookmarkEnd w:id="20"/>
      <w:r>
        <w:rPr>
          <w:rFonts w:hint="eastAsia"/>
        </w:rPr>
        <w:t>直销机构</w:t>
      </w:r>
    </w:p>
    <w:p w:rsidR="00D46409" w:rsidRDefault="00D46409">
      <w:pPr>
        <w:ind w:firstLineChars="100" w:firstLine="210"/>
        <w:jc w:val="left"/>
        <w:rPr>
          <w:rFonts w:ascii="宋体" w:hAnsi="宋体" w:hint="eastAsia"/>
          <w:szCs w:val="21"/>
        </w:rPr>
      </w:pPr>
      <w:bookmarkStart w:id="21" w:name="WB_7_1_1_WB1"/>
      <w:bookmarkEnd w:id="21"/>
      <w:r>
        <w:rPr>
          <w:rFonts w:ascii="宋体" w:hAnsi="宋体" w:hint="eastAsia"/>
          <w:szCs w:val="21"/>
        </w:rPr>
        <w:t>中信保诚基金管理有限公司直销柜台:上海市浦东新区世纪大道8号上海国金中心汇丰银行大楼9层，邮编200120，直销传真:021-50120895，客服热线:400-666-0066。</w:t>
      </w:r>
      <w:bookmarkStart w:id="22" w:name="ZJ_7_1_1_JS"/>
      <w:bookmarkEnd w:id="22"/>
    </w:p>
    <w:p w:rsidR="00D46409" w:rsidRDefault="00D46409">
      <w:pPr>
        <w:pStyle w:val="3"/>
        <w:spacing w:before="312"/>
        <w:ind w:left="737" w:hanging="170"/>
        <w:rPr>
          <w:rFonts w:hint="eastAsia"/>
        </w:rPr>
      </w:pPr>
      <w:bookmarkStart w:id="23" w:name="ZJ_7_1_2_KS"/>
      <w:bookmarkEnd w:id="23"/>
      <w:r>
        <w:rPr>
          <w:rFonts w:hint="eastAsia"/>
        </w:rPr>
        <w:t>非直销机构</w:t>
      </w:r>
    </w:p>
    <w:p w:rsidR="00D46409" w:rsidRDefault="00D46409">
      <w:pPr>
        <w:ind w:firstLineChars="100" w:firstLine="210"/>
        <w:rPr>
          <w:rFonts w:ascii="宋体" w:hAnsi="宋体" w:hint="eastAsia"/>
          <w:szCs w:val="21"/>
        </w:rPr>
      </w:pPr>
      <w:bookmarkStart w:id="24" w:name="WB_7_1_2_WB1"/>
      <w:bookmarkEnd w:id="24"/>
      <w:r>
        <w:rPr>
          <w:rFonts w:ascii="宋体" w:hAnsi="宋体" w:hint="eastAsia"/>
          <w:szCs w:val="21"/>
        </w:rPr>
        <w:t>具体名单详见基金管理人网站公示。</w:t>
      </w:r>
      <w:r>
        <w:rPr>
          <w:rFonts w:ascii="宋体" w:hAnsi="宋体" w:hint="eastAsia"/>
          <w:szCs w:val="21"/>
        </w:rPr>
        <w:br/>
        <w:t>基金管理人可根据有关法律法规要求，根据实情，选择其他符合要求的机构销售本基金或变更上述销售机构。</w:t>
      </w:r>
      <w:bookmarkStart w:id="25" w:name="ZJ_7_1_2_JS"/>
      <w:bookmarkStart w:id="26" w:name="ZJ_7_1_JS"/>
      <w:bookmarkEnd w:id="25"/>
      <w:bookmarkEnd w:id="26"/>
    </w:p>
    <w:p w:rsidR="00D46409" w:rsidRDefault="00D46409">
      <w:pPr>
        <w:pStyle w:val="10"/>
        <w:spacing w:before="312"/>
        <w:ind w:left="0"/>
        <w:rPr>
          <w:rFonts w:hint="eastAsia"/>
          <w:szCs w:val="21"/>
        </w:rPr>
      </w:pPr>
      <w:bookmarkStart w:id="27" w:name="ZJ_9_KS"/>
      <w:bookmarkEnd w:id="27"/>
      <w:r>
        <w:rPr>
          <w:rFonts w:hint="eastAsia"/>
          <w:szCs w:val="21"/>
        </w:rPr>
        <w:t>其他需要提示的事项</w:t>
      </w:r>
    </w:p>
    <w:p w:rsidR="00D46409" w:rsidRDefault="00D46409">
      <w:pPr>
        <w:ind w:firstLineChars="100" w:firstLine="210"/>
        <w:jc w:val="left"/>
        <w:rPr>
          <w:rFonts w:ascii="宋体" w:hAnsi="宋体"/>
          <w:szCs w:val="21"/>
        </w:rPr>
      </w:pPr>
      <w:bookmarkStart w:id="28" w:name="WB_9_WB1"/>
      <w:bookmarkEnd w:id="28"/>
      <w:r>
        <w:rPr>
          <w:rFonts w:ascii="宋体" w:hAnsi="宋体" w:hint="eastAsia"/>
          <w:szCs w:val="21"/>
        </w:rPr>
        <w:t>（1）基金管理人可以在基金合同约定的范围内调整费率或收费方式，并最迟应于新的费率或收费方式实施日前依照《公开募集证券投资基金信息披露管理办法》的有关规定在规定媒介上公告。</w:t>
      </w:r>
      <w:r>
        <w:rPr>
          <w:rFonts w:ascii="宋体" w:hAnsi="宋体" w:hint="eastAsia"/>
          <w:szCs w:val="21"/>
        </w:rPr>
        <w:br/>
        <w:t>（2）基金管理人可以在不违反法律法规规定及基金合同约定的情形下根据市场情况制定基金促销计划，针对投资人定期或不定期地开展基金促销活动。在基金促销活动期间，按相关监管部门要求履行必要手续后，基金管理人可以适当调低基金申购费率和赎回费率。</w:t>
      </w:r>
      <w:r>
        <w:rPr>
          <w:rFonts w:ascii="宋体" w:hAnsi="宋体" w:hint="eastAsia"/>
          <w:szCs w:val="21"/>
        </w:rPr>
        <w:br/>
        <w:t>（3）有关本基金开放定期定额投资业务的具体规定若有变化，本公司将另行公告。</w:t>
      </w:r>
      <w:r>
        <w:rPr>
          <w:rFonts w:ascii="宋体" w:hAnsi="宋体" w:hint="eastAsia"/>
          <w:szCs w:val="21"/>
        </w:rPr>
        <w:br/>
        <w:t>（4）本公告仅对本基金的开放定期定额投资业务的有关事项予以说明。投资者欲了解本基金的详细情况，可通过本公司网站或销售机构查阅《信诚新泽回报灵活配置混合型证券投资基金基金合同》和《信诚新泽回报灵活配置混合型证券投资基金招募说明书》等相关资料，投资者亦可致电中信保诚基金管理有限公司客户服务电话400-666-0066，或登录本公司网站http://www.citicprufunds.com.cn进行查询。</w:t>
      </w:r>
      <w:r>
        <w:rPr>
          <w:rFonts w:ascii="宋体" w:hAnsi="宋体" w:hint="eastAsia"/>
          <w:szCs w:val="21"/>
        </w:rPr>
        <w:br/>
        <w:t>  （5）基金管理人承诺依照恪尽职守、诚实信用、谨慎勤勉的原则管理和运用基金资产，但不保证本基金一定盈利，也不保证最低收益。本基金的过往业绩及其净值高低并不预示其未来业绩表现，基金管理人管理的其他基金的业绩也不构成对本基金业绩表现的保证。基金管理人提醒投资人基金投资的“买者自负”原则，在做出投资决策后，基金运营状况与基金净值变化引致的投资风险，由投资人自行负担。投资人应当认真阅读基金合同、招募说明书等基金信息披露文件，了解本基金的风险收益特征，并根据自身的投资目的、投资期限、投资经验、资产状况等判断基金是否和投资人的风险承受能力相适应，自主判断基金的投资价值，自主做出投资决策，自行承担投资风险。</w:t>
      </w:r>
      <w:r>
        <w:rPr>
          <w:rFonts w:ascii="宋体" w:hAnsi="宋体" w:hint="eastAsia"/>
          <w:szCs w:val="21"/>
        </w:rPr>
        <w:br/>
        <w:t>  </w:t>
      </w:r>
      <w:r>
        <w:rPr>
          <w:rFonts w:ascii="宋体" w:hAnsi="宋体" w:hint="eastAsia"/>
          <w:szCs w:val="21"/>
        </w:rPr>
        <w:br/>
        <w:t>  特此公告。</w:t>
      </w:r>
      <w:r>
        <w:rPr>
          <w:rFonts w:ascii="宋体" w:hAnsi="宋体" w:hint="eastAsia"/>
          <w:szCs w:val="21"/>
        </w:rPr>
        <w:br/>
      </w:r>
      <w:r>
        <w:rPr>
          <w:rFonts w:ascii="宋体" w:hAnsi="宋体" w:hint="eastAsia"/>
          <w:szCs w:val="21"/>
        </w:rPr>
        <w:lastRenderedPageBreak/>
        <w:t> </w:t>
      </w:r>
      <w:r>
        <w:rPr>
          <w:rFonts w:ascii="宋体" w:hAnsi="宋体" w:hint="eastAsia"/>
          <w:szCs w:val="21"/>
        </w:rPr>
        <w:br/>
        <w:t>                         中信保诚基金管理有限公司</w:t>
      </w:r>
      <w:r>
        <w:rPr>
          <w:rFonts w:ascii="宋体" w:hAnsi="宋体" w:hint="eastAsia"/>
          <w:szCs w:val="21"/>
        </w:rPr>
        <w:br/>
        <w:t>                         2020年11月09日</w:t>
      </w:r>
      <w:bookmarkStart w:id="29" w:name="ZJ_9_JS"/>
      <w:bookmarkEnd w:id="29"/>
    </w:p>
    <w:sectPr w:rsidR="00D46409">
      <w:headerReference w:type="default" r:id="rId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6409" w:rsidRDefault="00D46409">
      <w:r>
        <w:separator/>
      </w:r>
    </w:p>
  </w:endnote>
  <w:endnote w:type="continuationSeparator" w:id="0">
    <w:p w:rsidR="00D46409" w:rsidRDefault="00D464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409" w:rsidRPr="009002B5" w:rsidRDefault="00D46409">
    <w:pPr>
      <w:pStyle w:val="a7"/>
      <w:jc w:val="center"/>
      <w:rPr>
        <w:rFonts w:hint="eastAsia"/>
      </w:rPr>
    </w:pPr>
    <w:fldSimple w:instr="PAGE   \* MERGEFORMAT">
      <w:r w:rsidR="00CD1AF6" w:rsidRPr="00CD1AF6">
        <w:rPr>
          <w:noProof/>
          <w:lang w:val="zh-CN"/>
        </w:rPr>
        <w:t>1</w:t>
      </w:r>
    </w:fldSimple>
  </w:p>
  <w:p w:rsidR="00D46409" w:rsidRDefault="00D46409">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6409" w:rsidRDefault="00D46409">
      <w:r>
        <w:separator/>
      </w:r>
    </w:p>
  </w:footnote>
  <w:footnote w:type="continuationSeparator" w:id="0">
    <w:p w:rsidR="00D46409" w:rsidRDefault="00D4640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409" w:rsidRDefault="00D46409">
    <w:pPr>
      <w:pStyle w:val="a5"/>
      <w:pBdr>
        <w:bottom w:val="single" w:sz="6" w:space="0" w:color="auto"/>
      </w:pBdr>
      <w:spacing w:line="240" w:lineRule="atLeast"/>
      <w:jc w:val="right"/>
      <w:rPr>
        <w:rFonts w:ascii="宋体" w:hAnsi="宋体"/>
      </w:rPr>
    </w:pPr>
    <w:r>
      <w:rPr>
        <w:rFonts w:ascii="宋体" w:hAnsi="宋体" w:hint="eastAsia"/>
      </w:rPr>
      <w:t>信诚新泽回报灵活配置混合型证券投资基金开放日常定期定额投资业务的公告</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94033C"/>
    <w:multiLevelType w:val="multilevel"/>
    <w:tmpl w:val="E506D0BE"/>
    <w:lvl w:ilvl="0">
      <w:start w:val="1"/>
      <w:numFmt w:val="chineseCountingThousand"/>
      <w:pStyle w:val="CharCharCharCharCharCharCharCharChar"/>
      <w:suff w:val="space"/>
      <w:lvlText w:val="%1、"/>
      <w:lvlJc w:val="left"/>
      <w:pPr>
        <w:ind w:left="0" w:firstLine="0"/>
      </w:pPr>
    </w:lvl>
    <w:lvl w:ilvl="1">
      <w:start w:val="1"/>
      <w:numFmt w:val="chineseCountingThousand"/>
      <w:suff w:val="nothing"/>
      <w:lvlText w:val="%2、"/>
      <w:lvlJc w:val="left"/>
      <w:pPr>
        <w:ind w:left="0" w:firstLine="0"/>
      </w:pPr>
    </w:lvl>
    <w:lvl w:ilvl="2">
      <w:start w:val="1"/>
      <w:numFmt w:val="decimal"/>
      <w:suff w:val="space"/>
      <w:lvlText w:val="%3."/>
      <w:lvlJc w:val="left"/>
      <w:pPr>
        <w:ind w:left="0" w:firstLine="0"/>
      </w:pPr>
    </w:lvl>
    <w:lvl w:ilvl="3">
      <w:start w:val="1"/>
      <w:numFmt w:val="none"/>
      <w:suff w:val="nothing"/>
      <w:lvlText w:val=""/>
      <w:lvlJc w:val="left"/>
      <w:pPr>
        <w:ind w:left="851" w:firstLine="0"/>
      </w:pPr>
    </w:lvl>
    <w:lvl w:ilvl="4">
      <w:start w:val="1"/>
      <w:numFmt w:val="none"/>
      <w:suff w:val="nothing"/>
      <w:lvlText w:val=""/>
      <w:lvlJc w:val="left"/>
      <w:pPr>
        <w:ind w:left="851" w:firstLine="0"/>
      </w:pPr>
    </w:lvl>
    <w:lvl w:ilvl="5">
      <w:start w:val="1"/>
      <w:numFmt w:val="none"/>
      <w:suff w:val="nothing"/>
      <w:lvlText w:val=""/>
      <w:lvlJc w:val="left"/>
      <w:pPr>
        <w:ind w:left="851" w:firstLine="0"/>
      </w:pPr>
    </w:lvl>
    <w:lvl w:ilvl="6">
      <w:start w:val="1"/>
      <w:numFmt w:val="none"/>
      <w:suff w:val="nothing"/>
      <w:lvlText w:val=""/>
      <w:lvlJc w:val="left"/>
      <w:pPr>
        <w:ind w:left="851" w:firstLine="0"/>
      </w:pPr>
    </w:lvl>
    <w:lvl w:ilvl="7">
      <w:start w:val="1"/>
      <w:numFmt w:val="none"/>
      <w:suff w:val="nothing"/>
      <w:lvlText w:val=""/>
      <w:lvlJc w:val="left"/>
      <w:pPr>
        <w:ind w:left="851" w:firstLine="0"/>
      </w:pPr>
    </w:lvl>
    <w:lvl w:ilvl="8">
      <w:start w:val="1"/>
      <w:numFmt w:val="none"/>
      <w:suff w:val="nothing"/>
      <w:lvlText w:val=""/>
      <w:lvlJc w:val="left"/>
      <w:pPr>
        <w:ind w:left="851" w:firstLine="0"/>
      </w:pPr>
    </w:lvl>
  </w:abstractNum>
  <w:abstractNum w:abstractNumId="1">
    <w:nsid w:val="3EF343A9"/>
    <w:multiLevelType w:val="multilevel"/>
    <w:tmpl w:val="E5EC3510"/>
    <w:styleLink w:val="1"/>
    <w:lvl w:ilvl="0">
      <w:start w:val="1"/>
      <w:numFmt w:val="decimal"/>
      <w:pStyle w:val="10"/>
      <w:lvlText w:val="%1"/>
      <w:lvlJc w:val="left"/>
      <w:pPr>
        <w:ind w:left="425" w:hanging="425"/>
      </w:pPr>
    </w:lvl>
    <w:lvl w:ilvl="1">
      <w:start w:val="1"/>
      <w:numFmt w:val="decimal"/>
      <w:pStyle w:val="2"/>
      <w:lvlText w:val="%1.%2"/>
      <w:lvlJc w:val="left"/>
      <w:pPr>
        <w:ind w:left="992" w:hanging="567"/>
      </w:pPr>
    </w:lvl>
    <w:lvl w:ilvl="2">
      <w:start w:val="1"/>
      <w:numFmt w:val="decimal"/>
      <w:pStyle w:val="3"/>
      <w:lvlText w:val="%1.%2.%3"/>
      <w:lvlJc w:val="left"/>
      <w:pPr>
        <w:ind w:left="1418" w:hanging="567"/>
      </w:pPr>
      <w:rPr>
        <w:rFonts w:ascii="宋体" w:eastAsia="宋体" w:hAnsi="宋体" w:hint="eastAsia"/>
        <w:sz w:val="21"/>
      </w:r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
    <w:nsid w:val="71727B15"/>
    <w:multiLevelType w:val="multilevel"/>
    <w:tmpl w:val="7A52163A"/>
    <w:lvl w:ilvl="0">
      <w:start w:val="1"/>
      <w:numFmt w:val="decimal"/>
      <w:lvlText w:val="%1."/>
      <w:lvlJc w:val="left"/>
      <w:pPr>
        <w:snapToGrid w:val="0"/>
        <w:ind w:left="0" w:firstLine="288"/>
      </w:pPr>
      <w:rPr>
        <w:b w:val="0"/>
        <w:bCs w:val="0"/>
        <w:i w:val="0"/>
        <w:iCs w:val="0"/>
        <w:caps w:val="0"/>
        <w:smallCaps w:val="0"/>
        <w:strike w:val="0"/>
        <w:dstrike w:val="0"/>
        <w:noProof w:val="0"/>
        <w:vanish w:val="0"/>
        <w:webHidden w:val="0"/>
        <w:color w:val="000000"/>
        <w:spacing w:val="0"/>
        <w:w w:val="1"/>
        <w:kern w:val="0"/>
        <w:position w:val="0"/>
        <w:szCs w:val="2"/>
        <w:u w:val="none"/>
        <w:effect w:val="none"/>
        <w:vertAlign w:val="baseline"/>
        <w:em w:val="none"/>
        <w:specVanish w:val="0"/>
      </w:rPr>
    </w:lvl>
    <w:lvl w:ilvl="1">
      <w:start w:val="1"/>
      <w:numFmt w:val="decimal"/>
      <w:suff w:val="space"/>
      <w:lvlText w:val="%1.%2"/>
      <w:lvlJc w:val="left"/>
      <w:pPr>
        <w:ind w:left="0" w:firstLine="0"/>
      </w:pPr>
      <w:rPr>
        <w:rFonts w:ascii="宋体" w:eastAsia="宋体" w:hAnsi="宋体" w:hint="eastAsia"/>
        <w:b/>
        <w:i w:val="0"/>
        <w:color w:val="auto"/>
        <w:sz w:val="21"/>
      </w:rPr>
    </w:lvl>
    <w:lvl w:ilvl="2">
      <w:start w:val="1"/>
      <w:numFmt w:val="decimal"/>
      <w:suff w:val="space"/>
      <w:lvlText w:val="%1.%2.%3"/>
      <w:lvlJc w:val="left"/>
      <w:pPr>
        <w:ind w:left="0" w:firstLine="0"/>
      </w:pPr>
      <w:rPr>
        <w:rFonts w:ascii="Times New Roman" w:eastAsia="宋体" w:hAnsi="Times New Roman" w:hint="eastAsia"/>
        <w:b/>
        <w:i w:val="0"/>
        <w:sz w:val="21"/>
      </w:rPr>
    </w:lvl>
    <w:lvl w:ilvl="3">
      <w:start w:val="1"/>
      <w:numFmt w:val="decimal"/>
      <w:pStyle w:val="4"/>
      <w:suff w:val="nothing"/>
      <w:lvlText w:val="%1.%2.%3.%4"/>
      <w:lvlJc w:val="left"/>
      <w:pPr>
        <w:ind w:left="0" w:firstLine="0"/>
      </w:pPr>
      <w:rPr>
        <w:rFonts w:ascii="Times New Roman" w:eastAsia="宋体" w:hAnsi="Times New Roman" w:hint="eastAsia"/>
        <w:b/>
        <w:i w:val="0"/>
        <w:sz w:val="24"/>
      </w:r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num w:numId="1">
    <w:abstractNumId w:val="1"/>
  </w:num>
  <w:num w:numId="2">
    <w:abstractNumId w:val="1"/>
    <w:lvlOverride w:ilvl="0">
      <w:lvl w:ilvl="0">
        <w:start w:val="1"/>
        <w:numFmt w:val="decimal"/>
        <w:pStyle w:val="10"/>
        <w:lvlText w:val="%1"/>
        <w:lvlJc w:val="left"/>
        <w:pPr>
          <w:ind w:left="425" w:hanging="425"/>
        </w:pPr>
        <w:rPr>
          <w:rFonts w:ascii="宋体" w:eastAsia="宋体" w:hAnsi="宋体" w:hint="eastAsia"/>
        </w:rPr>
      </w:lvl>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002B5"/>
    <w:rsid w:val="009002B5"/>
    <w:rsid w:val="00CD1AF6"/>
    <w:rsid w:val="00D4640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10">
    <w:name w:val="heading 1"/>
    <w:basedOn w:val="a"/>
    <w:next w:val="a"/>
    <w:link w:val="11"/>
    <w:uiPriority w:val="9"/>
    <w:qFormat/>
    <w:pPr>
      <w:keepNext/>
      <w:keepLines/>
      <w:numPr>
        <w:numId w:val="2"/>
      </w:numPr>
      <w:spacing w:beforeLines="100"/>
      <w:ind w:firstLine="0"/>
      <w:outlineLvl w:val="0"/>
    </w:pPr>
    <w:rPr>
      <w:b/>
      <w:bCs/>
      <w:kern w:val="44"/>
      <w:szCs w:val="44"/>
    </w:rPr>
  </w:style>
  <w:style w:type="paragraph" w:styleId="2">
    <w:name w:val="heading 2"/>
    <w:basedOn w:val="a"/>
    <w:next w:val="a"/>
    <w:link w:val="21"/>
    <w:semiHidden/>
    <w:unhideWhenUsed/>
    <w:qFormat/>
    <w:pPr>
      <w:widowControl/>
      <w:numPr>
        <w:ilvl w:val="1"/>
        <w:numId w:val="2"/>
      </w:numPr>
      <w:spacing w:beforeLines="100"/>
      <w:ind w:left="1305" w:hangingChars="200" w:hanging="200"/>
      <w:jc w:val="left"/>
      <w:outlineLvl w:val="1"/>
    </w:pPr>
    <w:rPr>
      <w:rFonts w:ascii="Arial" w:hAnsi="Arial"/>
      <w:b/>
    </w:rPr>
  </w:style>
  <w:style w:type="paragraph" w:styleId="3">
    <w:name w:val="heading 3"/>
    <w:basedOn w:val="a"/>
    <w:next w:val="a"/>
    <w:link w:val="31"/>
    <w:uiPriority w:val="9"/>
    <w:semiHidden/>
    <w:unhideWhenUsed/>
    <w:qFormat/>
    <w:pPr>
      <w:widowControl/>
      <w:numPr>
        <w:ilvl w:val="2"/>
        <w:numId w:val="2"/>
      </w:numPr>
      <w:spacing w:beforeLines="100"/>
      <w:ind w:left="1872" w:hanging="227"/>
      <w:jc w:val="left"/>
      <w:outlineLvl w:val="2"/>
    </w:pPr>
    <w:rPr>
      <w:rFonts w:ascii="宋体" w:hAnsi="宋体"/>
      <w:b/>
      <w:bCs/>
      <w:kern w:val="0"/>
      <w:lang w:eastAsia="en-US" w:bidi="en-US"/>
    </w:rPr>
  </w:style>
  <w:style w:type="paragraph" w:styleId="4">
    <w:name w:val="heading 4"/>
    <w:basedOn w:val="a"/>
    <w:next w:val="a"/>
    <w:link w:val="41"/>
    <w:uiPriority w:val="9"/>
    <w:semiHidden/>
    <w:unhideWhenUsed/>
    <w:qFormat/>
    <w:pPr>
      <w:widowControl/>
      <w:numPr>
        <w:ilvl w:val="3"/>
        <w:numId w:val="4"/>
      </w:numPr>
      <w:jc w:val="left"/>
      <w:outlineLvl w:val="3"/>
    </w:pPr>
    <w:rPr>
      <w:rFonts w:ascii="宋体" w:hAnsi="Cambria"/>
      <w:b/>
      <w:bCs/>
      <w:iCs/>
      <w:kern w:val="0"/>
      <w:lang w:eastAsia="en-US" w:bidi="en-US"/>
    </w:rPr>
  </w:style>
  <w:style w:type="paragraph" w:styleId="7">
    <w:name w:val="heading 7"/>
    <w:basedOn w:val="a"/>
    <w:next w:val="a"/>
    <w:link w:val="71"/>
    <w:uiPriority w:val="9"/>
    <w:semiHidden/>
    <w:unhideWhenUsed/>
    <w:qFormat/>
    <w:pPr>
      <w:keepNext/>
      <w:keepLines/>
      <w:spacing w:before="240" w:after="64" w:line="319" w:lineRule="auto"/>
      <w:outlineLvl w:val="6"/>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标题 1 字符"/>
    <w:link w:val="10"/>
    <w:uiPriority w:val="9"/>
    <w:rPr>
      <w:rFonts w:eastAsia="宋体" w:cs="Times New Roman"/>
      <w:b/>
      <w:bCs/>
      <w:kern w:val="44"/>
      <w:sz w:val="44"/>
      <w:szCs w:val="44"/>
    </w:rPr>
  </w:style>
  <w:style w:type="character" w:customStyle="1" w:styleId="20">
    <w:name w:val="标题 2 字符"/>
    <w:link w:val="2"/>
    <w:semiHidden/>
    <w:rPr>
      <w:rFonts w:ascii="Cambria" w:eastAsia="宋体" w:hAnsi="Cambria" w:cs="Times New Roman"/>
      <w:b/>
      <w:bCs/>
      <w:kern w:val="2"/>
      <w:sz w:val="32"/>
      <w:szCs w:val="32"/>
    </w:rPr>
  </w:style>
  <w:style w:type="character" w:customStyle="1" w:styleId="30">
    <w:name w:val="标题 3 字符"/>
    <w:link w:val="3"/>
    <w:uiPriority w:val="9"/>
    <w:semiHidden/>
    <w:rPr>
      <w:rFonts w:eastAsia="宋体" w:cs="Times New Roman"/>
      <w:b/>
      <w:bCs/>
      <w:kern w:val="2"/>
      <w:sz w:val="32"/>
      <w:szCs w:val="32"/>
    </w:rPr>
  </w:style>
  <w:style w:type="character" w:customStyle="1" w:styleId="40">
    <w:name w:val="标题 4 字符"/>
    <w:link w:val="4"/>
    <w:uiPriority w:val="9"/>
    <w:semiHidden/>
    <w:rPr>
      <w:rFonts w:ascii="Cambria" w:eastAsia="宋体" w:hAnsi="Cambria" w:cs="Times New Roman"/>
      <w:b/>
      <w:bCs/>
      <w:kern w:val="2"/>
      <w:sz w:val="28"/>
      <w:szCs w:val="28"/>
    </w:rPr>
  </w:style>
  <w:style w:type="paragraph" w:customStyle="1" w:styleId="msonormal0">
    <w:name w:val="msonormal"/>
    <w:basedOn w:val="a"/>
    <w:pPr>
      <w:widowControl/>
      <w:spacing w:before="100" w:beforeAutospacing="1" w:after="100" w:afterAutospacing="1"/>
      <w:jc w:val="left"/>
    </w:pPr>
    <w:rPr>
      <w:rFonts w:ascii="宋体" w:hAnsi="宋体" w:cs="宋体"/>
      <w:kern w:val="0"/>
      <w:sz w:val="24"/>
      <w:szCs w:val="24"/>
    </w:rPr>
  </w:style>
  <w:style w:type="character" w:customStyle="1" w:styleId="70">
    <w:name w:val="标题 7 字符"/>
    <w:link w:val="7"/>
    <w:uiPriority w:val="9"/>
    <w:semiHidden/>
    <w:rPr>
      <w:rFonts w:eastAsia="宋体" w:cs="Times New Roman"/>
      <w:b/>
      <w:bCs/>
      <w:kern w:val="2"/>
      <w:sz w:val="24"/>
      <w:szCs w:val="24"/>
    </w:rPr>
  </w:style>
  <w:style w:type="paragraph" w:styleId="a3">
    <w:name w:val="footnote text"/>
    <w:basedOn w:val="a"/>
    <w:link w:val="13"/>
    <w:semiHidden/>
    <w:unhideWhenUsed/>
    <w:pPr>
      <w:snapToGrid w:val="0"/>
      <w:jc w:val="left"/>
    </w:pPr>
    <w:rPr>
      <w:rFonts w:ascii="Times New Roman" w:hAnsi="Times New Roman"/>
      <w:sz w:val="18"/>
      <w:szCs w:val="20"/>
    </w:rPr>
  </w:style>
  <w:style w:type="character" w:customStyle="1" w:styleId="a4">
    <w:name w:val="脚注文本 字符"/>
    <w:link w:val="a3"/>
    <w:semiHidden/>
    <w:rPr>
      <w:rFonts w:eastAsia="宋体" w:cs="Times New Roman"/>
      <w:kern w:val="2"/>
      <w:sz w:val="18"/>
      <w:szCs w:val="18"/>
    </w:rPr>
  </w:style>
  <w:style w:type="paragraph" w:styleId="a5">
    <w:name w:val="header"/>
    <w:basedOn w:val="a"/>
    <w:link w:val="14"/>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a6">
    <w:name w:val="页眉 字符"/>
    <w:link w:val="a5"/>
    <w:uiPriority w:val="99"/>
    <w:semiHidden/>
    <w:rPr>
      <w:rFonts w:eastAsia="宋体" w:cs="Times New Roman"/>
      <w:kern w:val="2"/>
      <w:sz w:val="18"/>
      <w:szCs w:val="18"/>
    </w:rPr>
  </w:style>
  <w:style w:type="paragraph" w:styleId="a7">
    <w:name w:val="footer"/>
    <w:basedOn w:val="a"/>
    <w:link w:val="15"/>
    <w:uiPriority w:val="99"/>
    <w:unhideWhenUsed/>
    <w:pPr>
      <w:tabs>
        <w:tab w:val="center" w:pos="4153"/>
        <w:tab w:val="right" w:pos="8306"/>
      </w:tabs>
      <w:snapToGrid w:val="0"/>
      <w:jc w:val="left"/>
    </w:pPr>
    <w:rPr>
      <w:sz w:val="18"/>
      <w:szCs w:val="18"/>
    </w:rPr>
  </w:style>
  <w:style w:type="character" w:customStyle="1" w:styleId="a8">
    <w:name w:val="页脚 字符"/>
    <w:link w:val="a7"/>
    <w:uiPriority w:val="99"/>
    <w:semiHidden/>
    <w:rPr>
      <w:rFonts w:eastAsia="宋体" w:cs="Times New Roman"/>
      <w:kern w:val="2"/>
      <w:sz w:val="18"/>
      <w:szCs w:val="18"/>
    </w:rPr>
  </w:style>
  <w:style w:type="paragraph" w:styleId="a9">
    <w:name w:val="Balloon Text"/>
    <w:basedOn w:val="a"/>
    <w:link w:val="16"/>
    <w:uiPriority w:val="99"/>
    <w:semiHidden/>
    <w:unhideWhenUsed/>
    <w:rPr>
      <w:sz w:val="18"/>
      <w:szCs w:val="18"/>
    </w:rPr>
  </w:style>
  <w:style w:type="character" w:customStyle="1" w:styleId="aa">
    <w:name w:val="批注框文本 字符"/>
    <w:link w:val="a9"/>
    <w:uiPriority w:val="99"/>
    <w:semiHidden/>
    <w:rPr>
      <w:rFonts w:eastAsia="宋体" w:cs="Times New Roman"/>
      <w:kern w:val="2"/>
      <w:sz w:val="18"/>
      <w:szCs w:val="18"/>
    </w:rPr>
  </w:style>
  <w:style w:type="paragraph" w:styleId="ab">
    <w:name w:val="List Paragraph"/>
    <w:basedOn w:val="a"/>
    <w:uiPriority w:val="34"/>
    <w:qFormat/>
    <w:pPr>
      <w:spacing w:line="240" w:lineRule="atLeast"/>
      <w:ind w:firstLineChars="200" w:firstLine="420"/>
    </w:pPr>
    <w:rPr>
      <w:rFonts w:ascii="Times New Roman" w:hAnsi="Times New Roman"/>
      <w:sz w:val="24"/>
      <w:szCs w:val="20"/>
    </w:rPr>
  </w:style>
  <w:style w:type="paragraph" w:customStyle="1" w:styleId="CharCharCharCharCharCharCharCharChar">
    <w:name w:val="Char Char Char Char Char Char Char Char Char"/>
    <w:basedOn w:val="a"/>
    <w:pPr>
      <w:numPr>
        <w:numId w:val="6"/>
      </w:numPr>
      <w:tabs>
        <w:tab w:val="left" w:pos="1320"/>
      </w:tabs>
      <w:spacing w:line="240" w:lineRule="atLeast"/>
    </w:pPr>
    <w:rPr>
      <w:rFonts w:ascii="Times New Roman" w:hAnsi="Times New Roman"/>
      <w:sz w:val="24"/>
      <w:szCs w:val="20"/>
    </w:rPr>
  </w:style>
  <w:style w:type="character" w:styleId="ac">
    <w:name w:val="footnote reference"/>
    <w:semiHidden/>
    <w:unhideWhenUsed/>
    <w:rPr>
      <w:vertAlign w:val="superscript"/>
    </w:rPr>
  </w:style>
  <w:style w:type="character" w:customStyle="1" w:styleId="14">
    <w:name w:val="页眉 字符1"/>
    <w:link w:val="a5"/>
    <w:uiPriority w:val="99"/>
    <w:locked/>
    <w:rPr>
      <w:sz w:val="18"/>
      <w:szCs w:val="18"/>
    </w:rPr>
  </w:style>
  <w:style w:type="character" w:customStyle="1" w:styleId="15">
    <w:name w:val="页脚 字符1"/>
    <w:link w:val="a7"/>
    <w:uiPriority w:val="99"/>
    <w:locked/>
    <w:rPr>
      <w:sz w:val="18"/>
      <w:szCs w:val="18"/>
    </w:rPr>
  </w:style>
  <w:style w:type="character" w:customStyle="1" w:styleId="16">
    <w:name w:val="批注框文本 字符1"/>
    <w:link w:val="a9"/>
    <w:uiPriority w:val="99"/>
    <w:semiHidden/>
    <w:locked/>
    <w:rPr>
      <w:rFonts w:ascii="Calibri" w:eastAsia="宋体" w:hAnsi="Calibri" w:cs="Times New Roman" w:hint="default"/>
      <w:sz w:val="18"/>
      <w:szCs w:val="18"/>
    </w:rPr>
  </w:style>
  <w:style w:type="character" w:customStyle="1" w:styleId="11">
    <w:name w:val="标题 1 字符1"/>
    <w:link w:val="10"/>
    <w:uiPriority w:val="9"/>
    <w:locked/>
    <w:rPr>
      <w:rFonts w:ascii="Calibri" w:eastAsia="宋体" w:hAnsi="Calibri" w:cs="Times New Roman" w:hint="default"/>
      <w:b/>
      <w:bCs/>
      <w:kern w:val="44"/>
      <w:szCs w:val="44"/>
    </w:rPr>
  </w:style>
  <w:style w:type="character" w:customStyle="1" w:styleId="13">
    <w:name w:val="脚注文本 字符1"/>
    <w:link w:val="a3"/>
    <w:locked/>
    <w:rPr>
      <w:rFonts w:ascii="Times New Roman" w:eastAsia="宋体" w:hAnsi="Times New Roman" w:cs="Times New Roman" w:hint="default"/>
      <w:sz w:val="18"/>
      <w:szCs w:val="20"/>
    </w:rPr>
  </w:style>
  <w:style w:type="character" w:customStyle="1" w:styleId="71">
    <w:name w:val="标题 7 字符1"/>
    <w:link w:val="7"/>
    <w:locked/>
    <w:rPr>
      <w:rFonts w:ascii="Calibri" w:eastAsia="宋体" w:hAnsi="Calibri" w:cs="Times New Roman" w:hint="default"/>
      <w:b/>
      <w:bCs/>
      <w:sz w:val="24"/>
      <w:szCs w:val="24"/>
    </w:rPr>
  </w:style>
  <w:style w:type="character" w:customStyle="1" w:styleId="21">
    <w:name w:val="标题 2 字符1"/>
    <w:link w:val="2"/>
    <w:locked/>
    <w:rPr>
      <w:rFonts w:ascii="Arial" w:eastAsia="宋体" w:hAnsi="Arial" w:cs="Arial" w:hint="default"/>
      <w:b/>
      <w:bCs w:val="0"/>
    </w:rPr>
  </w:style>
  <w:style w:type="character" w:customStyle="1" w:styleId="31">
    <w:name w:val="标题 3 字符1"/>
    <w:link w:val="3"/>
    <w:uiPriority w:val="9"/>
    <w:locked/>
    <w:rPr>
      <w:rFonts w:ascii="宋体" w:eastAsia="宋体" w:hAnsi="宋体" w:cs="Times New Roman" w:hint="eastAsia"/>
      <w:b/>
      <w:bCs/>
      <w:kern w:val="0"/>
      <w:lang w:eastAsia="en-US" w:bidi="en-US"/>
    </w:rPr>
  </w:style>
  <w:style w:type="character" w:customStyle="1" w:styleId="41">
    <w:name w:val="标题 4 字符1"/>
    <w:link w:val="4"/>
    <w:uiPriority w:val="9"/>
    <w:locked/>
    <w:rPr>
      <w:rFonts w:ascii="宋体" w:eastAsia="宋体" w:hAnsi="Cambria" w:cs="Times New Roman" w:hint="eastAsia"/>
      <w:b/>
      <w:bCs/>
      <w:iCs/>
      <w:kern w:val="0"/>
      <w:lang w:eastAsia="en-US" w:bidi="en-US"/>
    </w:rPr>
  </w:style>
  <w:style w:type="table" w:styleId="ad">
    <w:name w:val="Table Grid"/>
    <w:basedOn w:val="a1"/>
    <w:uiPriority w:val="5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样式1"/>
    <w:uiPriority w:val="99"/>
    <w:pPr>
      <w:numPr>
        <w:numId w:val="1"/>
      </w:numPr>
    </w:pPr>
  </w:style>
  <w:style w:type="character" w:customStyle="1" w:styleId="Char">
    <w:name w:val="页眉 Char"/>
    <w:uiPriority w:val="99"/>
    <w:locked/>
    <w:rPr>
      <w:sz w:val="18"/>
      <w:szCs w:val="18"/>
    </w:rPr>
  </w:style>
  <w:style w:type="character" w:customStyle="1" w:styleId="Char0">
    <w:name w:val="页脚 Char"/>
    <w:uiPriority w:val="99"/>
    <w:locked/>
    <w:rPr>
      <w:sz w:val="18"/>
      <w:szCs w:val="18"/>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C8E5D9-BBCE-439F-BF34-6D64A9260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298</Words>
  <Characters>1702</Characters>
  <Application>Microsoft Office Word</Application>
  <DocSecurity>4</DocSecurity>
  <Lines>14</Lines>
  <Paragraphs>3</Paragraphs>
  <ScaleCrop>false</ScaleCrop>
  <Company/>
  <LinksUpToDate>false</LinksUpToDate>
  <CharactersWithSpaces>1997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陈海平</dc:creator>
  <cp:keywords/>
  <dc:description/>
  <cp:lastModifiedBy>ZHONGM</cp:lastModifiedBy>
  <cp:revision>2</cp:revision>
  <dcterms:created xsi:type="dcterms:W3CDTF">2020-11-08T16:02:00Z</dcterms:created>
  <dcterms:modified xsi:type="dcterms:W3CDTF">2020-11-08T16:02:00Z</dcterms:modified>
</cp:coreProperties>
</file>