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4" w:rsidRPr="00AD5672" w:rsidRDefault="00BB52C4" w:rsidP="00BB52C4">
      <w:pPr>
        <w:widowControl/>
        <w:spacing w:before="345" w:after="100" w:afterAutospacing="1" w:line="432" w:lineRule="auto"/>
        <w:jc w:val="center"/>
        <w:rPr>
          <w:rFonts w:asciiTheme="majorEastAsia" w:eastAsiaTheme="majorEastAsia" w:hAnsiTheme="majorEastAsia"/>
          <w:b/>
          <w:color w:val="000000"/>
          <w:kern w:val="36"/>
          <w:sz w:val="24"/>
          <w:szCs w:val="39"/>
        </w:rPr>
      </w:pPr>
      <w:r w:rsidRPr="00AD5672">
        <w:rPr>
          <w:rFonts w:asciiTheme="majorEastAsia" w:eastAsiaTheme="majorEastAsia" w:hAnsiTheme="majorEastAsia" w:hint="eastAsia"/>
          <w:b/>
          <w:color w:val="000000"/>
          <w:kern w:val="36"/>
          <w:sz w:val="24"/>
          <w:szCs w:val="39"/>
        </w:rPr>
        <w:t>浦银安盛基金管理有限公司</w:t>
      </w:r>
    </w:p>
    <w:p w:rsidR="00BB52C4" w:rsidRPr="00AD5672" w:rsidRDefault="00BB52C4" w:rsidP="00AD5672">
      <w:pPr>
        <w:widowControl/>
        <w:spacing w:before="345" w:after="100" w:afterAutospacing="1" w:line="432" w:lineRule="auto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15"/>
          <w:szCs w:val="21"/>
        </w:rPr>
      </w:pPr>
      <w:r w:rsidRPr="00AD5672">
        <w:rPr>
          <w:rFonts w:asciiTheme="majorEastAsia" w:eastAsiaTheme="majorEastAsia" w:hAnsiTheme="majorEastAsia" w:hint="eastAsia"/>
          <w:b/>
          <w:color w:val="000000"/>
          <w:kern w:val="36"/>
          <w:sz w:val="24"/>
          <w:szCs w:val="39"/>
        </w:rPr>
        <w:t>关于调整长期停牌股票估值方法的公告</w:t>
      </w:r>
    </w:p>
    <w:p w:rsidR="0065027A" w:rsidRDefault="003E3F78" w:rsidP="0065027A">
      <w:pPr>
        <w:widowControl/>
        <w:spacing w:before="345" w:after="100" w:afterAutospacing="1" w:line="432" w:lineRule="auto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根据中国证券监督管理委员会</w:t>
      </w:r>
      <w:r w:rsidR="000825FA" w:rsidRPr="00C35CA7">
        <w:rPr>
          <w:rFonts w:ascii="宋体" w:eastAsia="宋体" w:hAnsi="宋体" w:cs="宋体" w:hint="eastAsia"/>
          <w:color w:val="333333"/>
          <w:kern w:val="0"/>
          <w:szCs w:val="21"/>
        </w:rPr>
        <w:t>《关于证券投资基金估值业务的指导意见》（中国证券监督管理委员会公告[2017]13号）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以及浦银安盛基金管理有限公司（以下简称“本公司”）关于长期停牌股票的估值政策和程序的相关规定，</w:t>
      </w:r>
      <w:r w:rsidR="00BB52C4" w:rsidRPr="00A46A58">
        <w:rPr>
          <w:rFonts w:ascii="宋体" w:eastAsia="宋体" w:hAnsi="宋体" w:cs="宋体" w:hint="eastAsia"/>
          <w:color w:val="333333"/>
          <w:kern w:val="0"/>
          <w:szCs w:val="21"/>
        </w:rPr>
        <w:t>经</w:t>
      </w:r>
      <w:r w:rsidR="0092458C" w:rsidRPr="00A46A58">
        <w:rPr>
          <w:rFonts w:ascii="宋体" w:eastAsia="宋体" w:hAnsi="宋体" w:cs="宋体" w:hint="eastAsia"/>
          <w:color w:val="333333"/>
          <w:kern w:val="0"/>
          <w:szCs w:val="21"/>
        </w:rPr>
        <w:t>与</w:t>
      </w:r>
      <w:r w:rsidR="001D1D07" w:rsidRPr="00A46A58">
        <w:rPr>
          <w:rFonts w:ascii="宋体" w:eastAsia="宋体" w:hAnsi="宋体" w:cs="宋体" w:hint="eastAsia"/>
          <w:color w:val="333333"/>
          <w:kern w:val="0"/>
          <w:szCs w:val="21"/>
        </w:rPr>
        <w:t>相关</w:t>
      </w:r>
      <w:r w:rsidR="0092458C" w:rsidRPr="00A46A58">
        <w:rPr>
          <w:rFonts w:ascii="宋体" w:eastAsia="宋体" w:hAnsi="宋体" w:cs="宋体" w:hint="eastAsia"/>
          <w:color w:val="333333"/>
          <w:kern w:val="0"/>
          <w:szCs w:val="21"/>
        </w:rPr>
        <w:t>托管</w:t>
      </w:r>
      <w:hyperlink r:id="rId6" w:tgtFrame="_blank" w:history="1">
        <w:r w:rsidR="0092458C" w:rsidRPr="00A46A58">
          <w:rPr>
            <w:rFonts w:ascii="宋体" w:eastAsia="宋体" w:hAnsi="宋体" w:cs="宋体" w:hint="eastAsia"/>
            <w:color w:val="333333"/>
            <w:kern w:val="0"/>
            <w:szCs w:val="21"/>
          </w:rPr>
          <w:t>银行</w:t>
        </w:r>
      </w:hyperlink>
      <w:r w:rsidR="0092458C" w:rsidRPr="00A46A58">
        <w:rPr>
          <w:rFonts w:ascii="宋体" w:eastAsia="宋体" w:hAnsi="宋体" w:cs="宋体" w:hint="eastAsia"/>
          <w:color w:val="333333"/>
          <w:kern w:val="0"/>
          <w:szCs w:val="21"/>
        </w:rPr>
        <w:t>商定，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本公司</w:t>
      </w:r>
      <w:r w:rsidR="00CD1BE7">
        <w:rPr>
          <w:rFonts w:ascii="宋体" w:eastAsia="宋体" w:hAnsi="宋体" w:cs="宋体" w:hint="eastAsia"/>
          <w:color w:val="333333"/>
          <w:kern w:val="0"/>
          <w:szCs w:val="21"/>
        </w:rPr>
        <w:t>决定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自</w:t>
      </w:r>
      <w:r w:rsidR="00B6643B">
        <w:rPr>
          <w:rFonts w:ascii="宋体" w:eastAsia="宋体" w:hAnsi="宋体" w:cs="宋体" w:hint="eastAsia"/>
          <w:color w:val="333333"/>
          <w:kern w:val="0"/>
          <w:szCs w:val="21"/>
        </w:rPr>
        <w:t>2020</w:t>
      </w:r>
      <w:r w:rsidR="00B6643B" w:rsidRPr="003E3F78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B6643B">
        <w:rPr>
          <w:rFonts w:ascii="宋体" w:eastAsia="宋体" w:hAnsi="宋体" w:cs="宋体" w:hint="eastAsia"/>
          <w:color w:val="333333"/>
          <w:kern w:val="0"/>
          <w:szCs w:val="21"/>
        </w:rPr>
        <w:t>11</w:t>
      </w:r>
      <w:r w:rsidR="00B6643B" w:rsidRPr="003E3F78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B6643B">
        <w:rPr>
          <w:rFonts w:ascii="宋体" w:eastAsia="宋体" w:hAnsi="宋体" w:cs="宋体" w:hint="eastAsia"/>
          <w:color w:val="333333"/>
          <w:kern w:val="0"/>
          <w:szCs w:val="21"/>
        </w:rPr>
        <w:t>05</w:t>
      </w:r>
      <w:r w:rsidR="00B6643B" w:rsidRPr="003E3F78"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起对旗</w:t>
      </w:r>
      <w:r w:rsidRPr="007C798B">
        <w:rPr>
          <w:rFonts w:ascii="宋体" w:eastAsia="宋体" w:hAnsi="宋体" w:cs="宋体" w:hint="eastAsia"/>
          <w:color w:val="333333"/>
          <w:kern w:val="0"/>
          <w:szCs w:val="21"/>
        </w:rPr>
        <w:t>下</w:t>
      </w:r>
      <w:r w:rsidR="00C3600C" w:rsidRPr="00A46A58">
        <w:rPr>
          <w:rFonts w:ascii="宋体" w:eastAsia="宋体" w:hAnsi="宋体" w:cs="宋体" w:hint="eastAsia"/>
          <w:color w:val="333333"/>
          <w:kern w:val="0"/>
          <w:szCs w:val="21"/>
        </w:rPr>
        <w:t>基金</w:t>
      </w:r>
      <w:r w:rsidR="00E021B4">
        <w:rPr>
          <w:rFonts w:ascii="宋体" w:eastAsia="宋体" w:hAnsi="宋体" w:cs="宋体" w:hint="eastAsia"/>
          <w:color w:val="333333"/>
          <w:kern w:val="0"/>
          <w:szCs w:val="21"/>
        </w:rPr>
        <w:t>（ETF基金除外）</w:t>
      </w:r>
      <w:r w:rsidR="00FD56F1">
        <w:rPr>
          <w:rFonts w:ascii="宋体" w:eastAsia="宋体" w:hAnsi="宋体" w:cs="宋体" w:hint="eastAsia"/>
          <w:color w:val="333333"/>
          <w:kern w:val="0"/>
          <w:szCs w:val="21"/>
        </w:rPr>
        <w:t>所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持有的</w:t>
      </w:r>
      <w:r w:rsidR="00BB52C4">
        <w:rPr>
          <w:rFonts w:ascii="宋体" w:eastAsia="宋体" w:hAnsi="宋体" w:cs="宋体" w:hint="eastAsia"/>
          <w:color w:val="333333"/>
          <w:kern w:val="0"/>
          <w:szCs w:val="21"/>
        </w:rPr>
        <w:t>股票</w:t>
      </w:r>
      <w:r w:rsidR="00B6643B" w:rsidRPr="0090458D">
        <w:rPr>
          <w:rFonts w:ascii="宋体" w:eastAsia="宋体" w:hAnsi="宋体" w:cs="宋体" w:hint="eastAsia"/>
          <w:color w:val="333333"/>
          <w:kern w:val="0"/>
          <w:szCs w:val="21"/>
        </w:rPr>
        <w:t>扬农化工</w:t>
      </w:r>
      <w:r w:rsidR="00B6643B" w:rsidRPr="00735C10">
        <w:rPr>
          <w:rFonts w:ascii="宋体" w:eastAsia="宋体" w:hAnsi="宋体" w:cs="宋体" w:hint="eastAsia"/>
          <w:color w:val="333333"/>
          <w:kern w:val="0"/>
          <w:szCs w:val="21"/>
        </w:rPr>
        <w:t>（股票代码</w:t>
      </w:r>
      <w:r w:rsidR="00B6643B">
        <w:rPr>
          <w:rFonts w:ascii="宋体" w:eastAsia="宋体" w:hAnsi="宋体" w:cs="宋体" w:hint="eastAsia"/>
          <w:color w:val="333333"/>
          <w:kern w:val="0"/>
          <w:szCs w:val="21"/>
        </w:rPr>
        <w:t>：600486</w:t>
      </w:r>
      <w:r w:rsidR="00B6643B" w:rsidRPr="00735C10">
        <w:rPr>
          <w:rFonts w:ascii="宋体" w:eastAsia="宋体" w:hAnsi="宋体" w:cs="宋体" w:hint="eastAsia"/>
          <w:color w:val="333333"/>
          <w:kern w:val="0"/>
          <w:szCs w:val="21"/>
        </w:rPr>
        <w:t>）</w:t>
      </w:r>
      <w:r w:rsidR="00616D0D">
        <w:rPr>
          <w:rFonts w:ascii="宋体" w:eastAsia="宋体" w:hAnsi="宋体" w:cs="宋体" w:hint="eastAsia"/>
          <w:color w:val="333333"/>
          <w:kern w:val="0"/>
          <w:szCs w:val="21"/>
        </w:rPr>
        <w:t>进行估值调整</w:t>
      </w:r>
      <w:r w:rsidR="00BA72BB">
        <w:rPr>
          <w:rFonts w:ascii="宋体" w:eastAsia="宋体" w:hAnsi="宋体" w:cs="宋体" w:hint="eastAsia"/>
          <w:color w:val="333333"/>
          <w:kern w:val="0"/>
          <w:szCs w:val="21"/>
        </w:rPr>
        <w:t>，采用</w:t>
      </w:r>
      <w:r w:rsidR="00F03195">
        <w:rPr>
          <w:rFonts w:ascii="宋体" w:eastAsia="宋体" w:hAnsi="宋体" w:cs="宋体" w:hint="eastAsia"/>
          <w:color w:val="333333"/>
          <w:kern w:val="0"/>
          <w:szCs w:val="21"/>
        </w:rPr>
        <w:t>指数收益</w:t>
      </w:r>
      <w:r w:rsidR="00BA72BB">
        <w:rPr>
          <w:rFonts w:ascii="宋体" w:eastAsia="宋体" w:hAnsi="宋体" w:cs="宋体" w:hint="eastAsia"/>
          <w:color w:val="333333"/>
          <w:kern w:val="0"/>
          <w:szCs w:val="21"/>
        </w:rPr>
        <w:t>法进行估值</w:t>
      </w:r>
      <w:r w:rsidR="0065027A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92458C" w:rsidRPr="00082E55" w:rsidRDefault="00082E55" w:rsidP="00082E55">
      <w:pPr>
        <w:widowControl/>
        <w:spacing w:before="345" w:after="100" w:afterAutospacing="1" w:line="432" w:lineRule="auto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>本基金管理人将在该股票复牌且其交易体现活跃市场交易特征后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>对其恢复收盘价估值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 xml:space="preserve"> 届时不再另行公告。</w:t>
      </w:r>
    </w:p>
    <w:p w:rsidR="0092458C" w:rsidRPr="0092458C" w:rsidRDefault="0092458C" w:rsidP="0092458C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52C4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特此公告。</w:t>
      </w:r>
    </w:p>
    <w:p w:rsidR="004B059A" w:rsidRDefault="003E3F78" w:rsidP="004B059A">
      <w:pPr>
        <w:widowControl/>
        <w:spacing w:before="345" w:after="100" w:afterAutospacing="1" w:line="432" w:lineRule="auto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 xml:space="preserve">         </w:t>
      </w:r>
    </w:p>
    <w:p w:rsidR="003E3F78" w:rsidRPr="003E3F78" w:rsidRDefault="003E3F78" w:rsidP="004B059A">
      <w:pPr>
        <w:widowControl/>
        <w:spacing w:before="345" w:after="100" w:afterAutospacing="1" w:line="432" w:lineRule="auto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 xml:space="preserve">浦银安盛基金管理有限公司 </w:t>
      </w:r>
    </w:p>
    <w:p w:rsidR="003E3F78" w:rsidRPr="003E3F78" w:rsidRDefault="00B6643B" w:rsidP="004B059A">
      <w:pPr>
        <w:widowControl/>
        <w:spacing w:before="345" w:after="100" w:afterAutospacing="1" w:line="432" w:lineRule="auto"/>
        <w:ind w:right="105"/>
        <w:jc w:val="righ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2020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11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06</w:t>
      </w:r>
      <w:bookmarkStart w:id="0" w:name="_GoBack"/>
      <w:bookmarkEnd w:id="0"/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</w:p>
    <w:p w:rsidR="00BD58A7" w:rsidRDefault="00BD58A7"/>
    <w:sectPr w:rsidR="00BD58A7" w:rsidSect="00BD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12" w:rsidRDefault="00273312" w:rsidP="003E3F78">
      <w:r>
        <w:separator/>
      </w:r>
    </w:p>
  </w:endnote>
  <w:endnote w:type="continuationSeparator" w:id="0">
    <w:p w:rsidR="00273312" w:rsidRDefault="00273312" w:rsidP="003E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12" w:rsidRDefault="00273312" w:rsidP="003E3F78">
      <w:r>
        <w:separator/>
      </w:r>
    </w:p>
  </w:footnote>
  <w:footnote w:type="continuationSeparator" w:id="0">
    <w:p w:rsidR="00273312" w:rsidRDefault="00273312" w:rsidP="003E3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F78"/>
    <w:rsid w:val="00023771"/>
    <w:rsid w:val="0003036D"/>
    <w:rsid w:val="00030E6E"/>
    <w:rsid w:val="0004292C"/>
    <w:rsid w:val="0004328A"/>
    <w:rsid w:val="00060B5A"/>
    <w:rsid w:val="00080AE0"/>
    <w:rsid w:val="000825FA"/>
    <w:rsid w:val="00082E55"/>
    <w:rsid w:val="000900FA"/>
    <w:rsid w:val="00090DDA"/>
    <w:rsid w:val="00095292"/>
    <w:rsid w:val="000A15CA"/>
    <w:rsid w:val="000B413D"/>
    <w:rsid w:val="000C30A2"/>
    <w:rsid w:val="000D54BA"/>
    <w:rsid w:val="001223CC"/>
    <w:rsid w:val="001304A9"/>
    <w:rsid w:val="00132BFC"/>
    <w:rsid w:val="0013366C"/>
    <w:rsid w:val="00134819"/>
    <w:rsid w:val="00134C23"/>
    <w:rsid w:val="00173A15"/>
    <w:rsid w:val="00181566"/>
    <w:rsid w:val="00197339"/>
    <w:rsid w:val="001B2CB1"/>
    <w:rsid w:val="001B4616"/>
    <w:rsid w:val="001B6FF6"/>
    <w:rsid w:val="001C0F6C"/>
    <w:rsid w:val="001C6FAA"/>
    <w:rsid w:val="001D1D07"/>
    <w:rsid w:val="001D4ADD"/>
    <w:rsid w:val="001E7973"/>
    <w:rsid w:val="001E7974"/>
    <w:rsid w:val="00206B7B"/>
    <w:rsid w:val="00243F6B"/>
    <w:rsid w:val="00256A0E"/>
    <w:rsid w:val="00256B1B"/>
    <w:rsid w:val="00261081"/>
    <w:rsid w:val="00265A2C"/>
    <w:rsid w:val="00273312"/>
    <w:rsid w:val="00280F76"/>
    <w:rsid w:val="0028362A"/>
    <w:rsid w:val="00296316"/>
    <w:rsid w:val="002A0638"/>
    <w:rsid w:val="002A59C6"/>
    <w:rsid w:val="002B5E09"/>
    <w:rsid w:val="002B7CFE"/>
    <w:rsid w:val="002D0355"/>
    <w:rsid w:val="002D43F4"/>
    <w:rsid w:val="0030428F"/>
    <w:rsid w:val="003050D0"/>
    <w:rsid w:val="0030693B"/>
    <w:rsid w:val="00306E45"/>
    <w:rsid w:val="0031382A"/>
    <w:rsid w:val="00321DC6"/>
    <w:rsid w:val="00331B18"/>
    <w:rsid w:val="00333A10"/>
    <w:rsid w:val="00342489"/>
    <w:rsid w:val="0036259C"/>
    <w:rsid w:val="003639DA"/>
    <w:rsid w:val="0036510B"/>
    <w:rsid w:val="00381646"/>
    <w:rsid w:val="00397866"/>
    <w:rsid w:val="003A29F2"/>
    <w:rsid w:val="003A4E7D"/>
    <w:rsid w:val="003B0358"/>
    <w:rsid w:val="003B2BAB"/>
    <w:rsid w:val="003D6EB6"/>
    <w:rsid w:val="003E3F78"/>
    <w:rsid w:val="003E599E"/>
    <w:rsid w:val="003F007A"/>
    <w:rsid w:val="003F629A"/>
    <w:rsid w:val="003F7995"/>
    <w:rsid w:val="0041140B"/>
    <w:rsid w:val="00412664"/>
    <w:rsid w:val="0041780F"/>
    <w:rsid w:val="00422C19"/>
    <w:rsid w:val="00452DCB"/>
    <w:rsid w:val="00462F6C"/>
    <w:rsid w:val="00465B11"/>
    <w:rsid w:val="00467578"/>
    <w:rsid w:val="00480ECE"/>
    <w:rsid w:val="00493C50"/>
    <w:rsid w:val="00494752"/>
    <w:rsid w:val="00496928"/>
    <w:rsid w:val="004A5A6D"/>
    <w:rsid w:val="004B059A"/>
    <w:rsid w:val="004B4F88"/>
    <w:rsid w:val="004B5175"/>
    <w:rsid w:val="004C3D80"/>
    <w:rsid w:val="004F1EA7"/>
    <w:rsid w:val="00512552"/>
    <w:rsid w:val="0051766E"/>
    <w:rsid w:val="00524256"/>
    <w:rsid w:val="0052602A"/>
    <w:rsid w:val="00545D11"/>
    <w:rsid w:val="005461C1"/>
    <w:rsid w:val="00555E38"/>
    <w:rsid w:val="0056286B"/>
    <w:rsid w:val="00564770"/>
    <w:rsid w:val="005913E3"/>
    <w:rsid w:val="005942F7"/>
    <w:rsid w:val="005A1A08"/>
    <w:rsid w:val="005A4A87"/>
    <w:rsid w:val="005B2857"/>
    <w:rsid w:val="005C4EF6"/>
    <w:rsid w:val="005E2802"/>
    <w:rsid w:val="005E2D66"/>
    <w:rsid w:val="005E434A"/>
    <w:rsid w:val="005E5C99"/>
    <w:rsid w:val="006003BD"/>
    <w:rsid w:val="00603EB0"/>
    <w:rsid w:val="00610791"/>
    <w:rsid w:val="00616D0D"/>
    <w:rsid w:val="00631852"/>
    <w:rsid w:val="00633874"/>
    <w:rsid w:val="0065027A"/>
    <w:rsid w:val="00676895"/>
    <w:rsid w:val="00676D6D"/>
    <w:rsid w:val="00684175"/>
    <w:rsid w:val="00686A8E"/>
    <w:rsid w:val="006A602B"/>
    <w:rsid w:val="006C70FE"/>
    <w:rsid w:val="006D354D"/>
    <w:rsid w:val="006D551E"/>
    <w:rsid w:val="006E305D"/>
    <w:rsid w:val="006E6AF6"/>
    <w:rsid w:val="006F4B2C"/>
    <w:rsid w:val="00714D53"/>
    <w:rsid w:val="00721E67"/>
    <w:rsid w:val="00731E1A"/>
    <w:rsid w:val="00735C10"/>
    <w:rsid w:val="00746324"/>
    <w:rsid w:val="00746A5A"/>
    <w:rsid w:val="00746F38"/>
    <w:rsid w:val="00753DD9"/>
    <w:rsid w:val="00761BA4"/>
    <w:rsid w:val="00766EF5"/>
    <w:rsid w:val="00783170"/>
    <w:rsid w:val="0078364D"/>
    <w:rsid w:val="00787A31"/>
    <w:rsid w:val="007C798B"/>
    <w:rsid w:val="007E2357"/>
    <w:rsid w:val="007F1F8C"/>
    <w:rsid w:val="0080344F"/>
    <w:rsid w:val="00810C0D"/>
    <w:rsid w:val="00816EC1"/>
    <w:rsid w:val="0082329F"/>
    <w:rsid w:val="00823FDA"/>
    <w:rsid w:val="00830A39"/>
    <w:rsid w:val="008325A0"/>
    <w:rsid w:val="00841EB2"/>
    <w:rsid w:val="0084441D"/>
    <w:rsid w:val="008528E6"/>
    <w:rsid w:val="00854C33"/>
    <w:rsid w:val="00874B41"/>
    <w:rsid w:val="00885CC1"/>
    <w:rsid w:val="0089032B"/>
    <w:rsid w:val="008A016E"/>
    <w:rsid w:val="008A4E2B"/>
    <w:rsid w:val="008B1CF1"/>
    <w:rsid w:val="008C37B2"/>
    <w:rsid w:val="008D2B51"/>
    <w:rsid w:val="008F31D2"/>
    <w:rsid w:val="008F6488"/>
    <w:rsid w:val="0090372D"/>
    <w:rsid w:val="0090602A"/>
    <w:rsid w:val="009067DC"/>
    <w:rsid w:val="009134CD"/>
    <w:rsid w:val="00914843"/>
    <w:rsid w:val="00914854"/>
    <w:rsid w:val="00920A6C"/>
    <w:rsid w:val="0092458C"/>
    <w:rsid w:val="00924C04"/>
    <w:rsid w:val="00925014"/>
    <w:rsid w:val="00930AB1"/>
    <w:rsid w:val="0093339D"/>
    <w:rsid w:val="00937710"/>
    <w:rsid w:val="00942291"/>
    <w:rsid w:val="0094701B"/>
    <w:rsid w:val="00955CF6"/>
    <w:rsid w:val="00973DF3"/>
    <w:rsid w:val="00975FAF"/>
    <w:rsid w:val="0097789B"/>
    <w:rsid w:val="009A05A0"/>
    <w:rsid w:val="009B4505"/>
    <w:rsid w:val="009C3991"/>
    <w:rsid w:val="009C590E"/>
    <w:rsid w:val="009D3E72"/>
    <w:rsid w:val="009D48D6"/>
    <w:rsid w:val="009D5DB7"/>
    <w:rsid w:val="009F5623"/>
    <w:rsid w:val="009F5C91"/>
    <w:rsid w:val="009F670C"/>
    <w:rsid w:val="00A07403"/>
    <w:rsid w:val="00A111CE"/>
    <w:rsid w:val="00A17231"/>
    <w:rsid w:val="00A320B3"/>
    <w:rsid w:val="00A326F6"/>
    <w:rsid w:val="00A4352E"/>
    <w:rsid w:val="00A46A58"/>
    <w:rsid w:val="00A50521"/>
    <w:rsid w:val="00A6519D"/>
    <w:rsid w:val="00A71455"/>
    <w:rsid w:val="00A760BC"/>
    <w:rsid w:val="00A76536"/>
    <w:rsid w:val="00AB0F64"/>
    <w:rsid w:val="00AC17BF"/>
    <w:rsid w:val="00AC5D99"/>
    <w:rsid w:val="00AD5672"/>
    <w:rsid w:val="00AF3AEC"/>
    <w:rsid w:val="00B010B4"/>
    <w:rsid w:val="00B1552C"/>
    <w:rsid w:val="00B159CD"/>
    <w:rsid w:val="00B178E0"/>
    <w:rsid w:val="00B20080"/>
    <w:rsid w:val="00B21856"/>
    <w:rsid w:val="00B23CB6"/>
    <w:rsid w:val="00B333AF"/>
    <w:rsid w:val="00B6643B"/>
    <w:rsid w:val="00B80C07"/>
    <w:rsid w:val="00B8519E"/>
    <w:rsid w:val="00B96893"/>
    <w:rsid w:val="00BA622B"/>
    <w:rsid w:val="00BA72BB"/>
    <w:rsid w:val="00BA7530"/>
    <w:rsid w:val="00BB52C4"/>
    <w:rsid w:val="00BD005C"/>
    <w:rsid w:val="00BD4596"/>
    <w:rsid w:val="00BD58A7"/>
    <w:rsid w:val="00BE4D45"/>
    <w:rsid w:val="00BE7B77"/>
    <w:rsid w:val="00BE7DA1"/>
    <w:rsid w:val="00BF1C61"/>
    <w:rsid w:val="00BF4653"/>
    <w:rsid w:val="00BF67E5"/>
    <w:rsid w:val="00C0018C"/>
    <w:rsid w:val="00C00880"/>
    <w:rsid w:val="00C1449E"/>
    <w:rsid w:val="00C27AF2"/>
    <w:rsid w:val="00C35CA7"/>
    <w:rsid w:val="00C3600C"/>
    <w:rsid w:val="00C4331E"/>
    <w:rsid w:val="00C43E13"/>
    <w:rsid w:val="00C522B9"/>
    <w:rsid w:val="00C53CBE"/>
    <w:rsid w:val="00C66C42"/>
    <w:rsid w:val="00C77582"/>
    <w:rsid w:val="00C81F5D"/>
    <w:rsid w:val="00C9116B"/>
    <w:rsid w:val="00CA3E70"/>
    <w:rsid w:val="00CB0134"/>
    <w:rsid w:val="00CD1BE7"/>
    <w:rsid w:val="00CD5187"/>
    <w:rsid w:val="00CE3847"/>
    <w:rsid w:val="00CF3B8F"/>
    <w:rsid w:val="00CF5F83"/>
    <w:rsid w:val="00D019EB"/>
    <w:rsid w:val="00D13581"/>
    <w:rsid w:val="00D14099"/>
    <w:rsid w:val="00D14875"/>
    <w:rsid w:val="00D15CF8"/>
    <w:rsid w:val="00D27CBF"/>
    <w:rsid w:val="00D301E1"/>
    <w:rsid w:val="00D6187F"/>
    <w:rsid w:val="00D61AFA"/>
    <w:rsid w:val="00D70CB9"/>
    <w:rsid w:val="00D7109F"/>
    <w:rsid w:val="00D73721"/>
    <w:rsid w:val="00D82269"/>
    <w:rsid w:val="00D82A96"/>
    <w:rsid w:val="00DA58E3"/>
    <w:rsid w:val="00DC6A7A"/>
    <w:rsid w:val="00DC6BB8"/>
    <w:rsid w:val="00DE0EE7"/>
    <w:rsid w:val="00DE4D09"/>
    <w:rsid w:val="00DE735A"/>
    <w:rsid w:val="00DF279C"/>
    <w:rsid w:val="00E021B4"/>
    <w:rsid w:val="00E0637A"/>
    <w:rsid w:val="00E14E6F"/>
    <w:rsid w:val="00E21BDA"/>
    <w:rsid w:val="00E30CB3"/>
    <w:rsid w:val="00E3490C"/>
    <w:rsid w:val="00E4711C"/>
    <w:rsid w:val="00E52D10"/>
    <w:rsid w:val="00E56586"/>
    <w:rsid w:val="00E635E5"/>
    <w:rsid w:val="00E65A25"/>
    <w:rsid w:val="00E70B5D"/>
    <w:rsid w:val="00E80ED9"/>
    <w:rsid w:val="00E8492F"/>
    <w:rsid w:val="00E85112"/>
    <w:rsid w:val="00E85A78"/>
    <w:rsid w:val="00E920EE"/>
    <w:rsid w:val="00EA128B"/>
    <w:rsid w:val="00EA4B5D"/>
    <w:rsid w:val="00EA5E3F"/>
    <w:rsid w:val="00EA6308"/>
    <w:rsid w:val="00EC4E89"/>
    <w:rsid w:val="00EE2A3B"/>
    <w:rsid w:val="00F03195"/>
    <w:rsid w:val="00F04DCD"/>
    <w:rsid w:val="00F15018"/>
    <w:rsid w:val="00F230B2"/>
    <w:rsid w:val="00F26500"/>
    <w:rsid w:val="00F316C0"/>
    <w:rsid w:val="00F34779"/>
    <w:rsid w:val="00F46CAC"/>
    <w:rsid w:val="00F52BBE"/>
    <w:rsid w:val="00F55789"/>
    <w:rsid w:val="00F5705C"/>
    <w:rsid w:val="00F97DDE"/>
    <w:rsid w:val="00FA34DD"/>
    <w:rsid w:val="00FA62DD"/>
    <w:rsid w:val="00FD317A"/>
    <w:rsid w:val="00FD3675"/>
    <w:rsid w:val="00FD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F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F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F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922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ance.qq.com/money/ban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Company>Lenovo (Beijing) Limited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liub</dc:creator>
  <cp:lastModifiedBy>ZHONGM</cp:lastModifiedBy>
  <cp:revision>2</cp:revision>
  <cp:lastPrinted>2018-04-19T08:30:00Z</cp:lastPrinted>
  <dcterms:created xsi:type="dcterms:W3CDTF">2020-11-05T16:01:00Z</dcterms:created>
  <dcterms:modified xsi:type="dcterms:W3CDTF">2020-11-05T16:01:00Z</dcterms:modified>
</cp:coreProperties>
</file>