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BC" w:rsidRDefault="007C50E1" w:rsidP="002507BC">
      <w:pPr>
        <w:widowControl/>
        <w:shd w:val="clear" w:color="auto" w:fill="FFFFFF"/>
        <w:spacing w:line="510" w:lineRule="atLeast"/>
        <w:jc w:val="center"/>
        <w:rPr>
          <w:rFonts w:ascii="微软雅黑" w:eastAsia="微软雅黑" w:hAnsi="微软雅黑" w:cs="宋体"/>
          <w:b/>
          <w:bCs/>
          <w:color w:val="333333"/>
          <w:kern w:val="0"/>
          <w:sz w:val="32"/>
          <w:szCs w:val="32"/>
        </w:rPr>
      </w:pPr>
      <w:r w:rsidRPr="002507BC">
        <w:rPr>
          <w:rFonts w:ascii="微软雅黑" w:eastAsia="微软雅黑" w:hAnsi="微软雅黑" w:cs="宋体" w:hint="eastAsia"/>
          <w:b/>
          <w:bCs/>
          <w:color w:val="333333"/>
          <w:kern w:val="0"/>
          <w:sz w:val="32"/>
          <w:szCs w:val="32"/>
        </w:rPr>
        <w:t>招商</w:t>
      </w:r>
      <w:r w:rsidRPr="007C50E1">
        <w:rPr>
          <w:rFonts w:ascii="微软雅黑" w:eastAsia="微软雅黑" w:hAnsi="微软雅黑" w:cs="宋体" w:hint="eastAsia"/>
          <w:b/>
          <w:bCs/>
          <w:color w:val="333333"/>
          <w:kern w:val="0"/>
          <w:sz w:val="32"/>
          <w:szCs w:val="32"/>
        </w:rPr>
        <w:t>基金管理有限公司关于旗下基金投资关联方</w:t>
      </w:r>
    </w:p>
    <w:p w:rsidR="007C50E1" w:rsidRPr="007C50E1" w:rsidRDefault="007C50E1" w:rsidP="002507BC">
      <w:pPr>
        <w:widowControl/>
        <w:shd w:val="clear" w:color="auto" w:fill="FFFFFF"/>
        <w:spacing w:line="510" w:lineRule="atLeast"/>
        <w:jc w:val="center"/>
        <w:rPr>
          <w:rFonts w:ascii="微软雅黑" w:eastAsia="微软雅黑" w:hAnsi="微软雅黑" w:cs="宋体"/>
          <w:b/>
          <w:bCs/>
          <w:color w:val="333333"/>
          <w:kern w:val="0"/>
          <w:sz w:val="32"/>
          <w:szCs w:val="32"/>
        </w:rPr>
      </w:pPr>
      <w:r w:rsidRPr="007C50E1">
        <w:rPr>
          <w:rFonts w:ascii="微软雅黑" w:eastAsia="微软雅黑" w:hAnsi="微软雅黑" w:cs="宋体" w:hint="eastAsia"/>
          <w:b/>
          <w:bCs/>
          <w:color w:val="333333"/>
          <w:kern w:val="0"/>
          <w:sz w:val="32"/>
          <w:szCs w:val="32"/>
        </w:rPr>
        <w:t>承销期内承销证券的公告</w:t>
      </w:r>
    </w:p>
    <w:p w:rsidR="00701730" w:rsidRDefault="00701730" w:rsidP="00437C56">
      <w:pPr>
        <w:widowControl/>
        <w:shd w:val="clear" w:color="auto" w:fill="FFFFFF"/>
        <w:spacing w:line="510" w:lineRule="atLeast"/>
        <w:ind w:firstLineChars="177" w:firstLine="425"/>
        <w:rPr>
          <w:rFonts w:asciiTheme="minorEastAsia" w:hAnsiTheme="minorEastAsia" w:cs="宋体"/>
          <w:color w:val="333333"/>
          <w:kern w:val="0"/>
          <w:sz w:val="24"/>
          <w:szCs w:val="24"/>
        </w:rPr>
      </w:pPr>
      <w:r w:rsidRPr="00701730">
        <w:rPr>
          <w:rFonts w:asciiTheme="minorEastAsia" w:hAnsiTheme="minorEastAsia" w:cs="宋体" w:hint="eastAsia"/>
          <w:color w:val="333333"/>
          <w:kern w:val="0"/>
          <w:sz w:val="24"/>
          <w:szCs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蚂蚁科技集团股份有限公司（以下简称“蚂蚁集团”）首次公开发行人民币普通股（A股）战略配售、网下申购。蚂蚁集团本次发行的联席主承销商中银国际证券股份有限公司，为本公司旗下部分</w:t>
      </w:r>
      <w:r w:rsidR="00CC29E0">
        <w:rPr>
          <w:rFonts w:asciiTheme="minorEastAsia" w:hAnsiTheme="minorEastAsia" w:cs="宋体" w:hint="eastAsia"/>
          <w:color w:val="333333"/>
          <w:kern w:val="0"/>
          <w:sz w:val="24"/>
          <w:szCs w:val="24"/>
        </w:rPr>
        <w:t>公募基金托管人中国银行股份有限公司（以下简称“中国银行”）的</w:t>
      </w:r>
      <w:r w:rsidRPr="00701730">
        <w:rPr>
          <w:rFonts w:asciiTheme="minorEastAsia" w:hAnsiTheme="minorEastAsia" w:cs="宋体" w:hint="eastAsia"/>
          <w:color w:val="333333"/>
          <w:kern w:val="0"/>
          <w:sz w:val="24"/>
          <w:szCs w:val="24"/>
        </w:rPr>
        <w:t>关联方。蚂蚁集团发行价格为人民币68.80元/股，由发行人和联席主承销商根据初步询价结果，综合考虑发行人基本面、</w:t>
      </w:r>
      <w:r>
        <w:rPr>
          <w:rFonts w:asciiTheme="minorEastAsia" w:hAnsiTheme="minorEastAsia" w:cs="宋体" w:hint="eastAsia"/>
          <w:color w:val="333333"/>
          <w:kern w:val="0"/>
          <w:sz w:val="24"/>
          <w:szCs w:val="24"/>
        </w:rPr>
        <w:t>市场情况、同行业上市公司估值水</w:t>
      </w:r>
      <w:bookmarkStart w:id="0" w:name="_GoBack"/>
      <w:bookmarkEnd w:id="0"/>
      <w:r>
        <w:rPr>
          <w:rFonts w:asciiTheme="minorEastAsia" w:hAnsiTheme="minorEastAsia" w:cs="宋体" w:hint="eastAsia"/>
          <w:color w:val="333333"/>
          <w:kern w:val="0"/>
          <w:sz w:val="24"/>
          <w:szCs w:val="24"/>
        </w:rPr>
        <w:t>平、募集资金需求及承销风险等因素</w:t>
      </w:r>
      <w:r w:rsidRPr="00701730">
        <w:rPr>
          <w:rFonts w:asciiTheme="minorEastAsia" w:hAnsiTheme="minorEastAsia" w:cs="宋体" w:hint="eastAsia"/>
          <w:color w:val="333333"/>
          <w:kern w:val="0"/>
          <w:sz w:val="24"/>
          <w:szCs w:val="24"/>
        </w:rPr>
        <w:t>协商确定。</w:t>
      </w:r>
    </w:p>
    <w:p w:rsidR="004C482B" w:rsidRDefault="004C482B" w:rsidP="00437C56">
      <w:pPr>
        <w:widowControl/>
        <w:shd w:val="clear" w:color="auto" w:fill="FFFFFF"/>
        <w:spacing w:line="510" w:lineRule="atLeast"/>
        <w:ind w:firstLineChars="177" w:firstLine="425"/>
        <w:rPr>
          <w:rFonts w:ascii="微软雅黑" w:eastAsia="微软雅黑" w:hAnsi="微软雅黑" w:cs="宋体"/>
          <w:color w:val="333333"/>
          <w:kern w:val="0"/>
          <w:sz w:val="24"/>
          <w:szCs w:val="24"/>
        </w:rPr>
      </w:pPr>
      <w:r w:rsidRPr="004A02B7">
        <w:rPr>
          <w:rFonts w:asciiTheme="minorEastAsia" w:hAnsiTheme="minorEastAsia" w:cs="宋体" w:hint="eastAsia"/>
          <w:color w:val="333333"/>
          <w:kern w:val="0"/>
          <w:sz w:val="24"/>
          <w:szCs w:val="24"/>
        </w:rPr>
        <w:t>根据法律法规、基金合同及</w:t>
      </w:r>
      <w:r w:rsidR="00133A00" w:rsidRPr="004A02B7">
        <w:rPr>
          <w:rFonts w:asciiTheme="minorEastAsia" w:hAnsiTheme="minorEastAsia" w:cs="宋体" w:hint="eastAsia"/>
          <w:color w:val="333333"/>
          <w:kern w:val="0"/>
          <w:sz w:val="24"/>
          <w:szCs w:val="24"/>
        </w:rPr>
        <w:t>蚂蚁集团</w:t>
      </w:r>
      <w:r w:rsidRPr="004A02B7">
        <w:rPr>
          <w:rFonts w:asciiTheme="minorEastAsia" w:hAnsiTheme="minorEastAsia" w:cs="宋体" w:hint="eastAsia"/>
          <w:color w:val="333333"/>
          <w:kern w:val="0"/>
          <w:sz w:val="24"/>
          <w:szCs w:val="24"/>
        </w:rPr>
        <w:t>于</w:t>
      </w:r>
      <w:r w:rsidR="00133A00" w:rsidRPr="004A02B7">
        <w:rPr>
          <w:rFonts w:asciiTheme="minorEastAsia" w:hAnsiTheme="minorEastAsia" w:cs="宋体" w:hint="eastAsia"/>
          <w:color w:val="333333"/>
          <w:kern w:val="0"/>
          <w:sz w:val="24"/>
          <w:szCs w:val="24"/>
        </w:rPr>
        <w:t>202</w:t>
      </w:r>
      <w:r w:rsidR="00133A00" w:rsidRPr="004A02B7">
        <w:rPr>
          <w:rFonts w:asciiTheme="minorEastAsia" w:hAnsiTheme="minorEastAsia" w:cs="宋体"/>
          <w:color w:val="333333"/>
          <w:kern w:val="0"/>
          <w:sz w:val="24"/>
          <w:szCs w:val="24"/>
        </w:rPr>
        <w:t>0</w:t>
      </w:r>
      <w:r w:rsidRPr="004A02B7">
        <w:rPr>
          <w:rFonts w:asciiTheme="minorEastAsia" w:hAnsiTheme="minorEastAsia" w:cs="宋体" w:hint="eastAsia"/>
          <w:color w:val="333333"/>
          <w:kern w:val="0"/>
          <w:sz w:val="24"/>
          <w:szCs w:val="24"/>
        </w:rPr>
        <w:t>年</w:t>
      </w:r>
      <w:r w:rsidR="00133A00" w:rsidRPr="004A02B7">
        <w:rPr>
          <w:rFonts w:asciiTheme="minorEastAsia" w:hAnsiTheme="minorEastAsia" w:cs="宋体"/>
          <w:color w:val="333333"/>
          <w:kern w:val="0"/>
          <w:sz w:val="24"/>
          <w:szCs w:val="24"/>
        </w:rPr>
        <w:t>11</w:t>
      </w:r>
      <w:r w:rsidRPr="004A02B7">
        <w:rPr>
          <w:rFonts w:asciiTheme="minorEastAsia" w:hAnsiTheme="minorEastAsia" w:cs="宋体" w:hint="eastAsia"/>
          <w:color w:val="333333"/>
          <w:kern w:val="0"/>
          <w:sz w:val="24"/>
          <w:szCs w:val="24"/>
        </w:rPr>
        <w:t>月</w:t>
      </w:r>
      <w:r w:rsidR="00133A00" w:rsidRPr="004A02B7">
        <w:rPr>
          <w:rFonts w:asciiTheme="minorEastAsia" w:hAnsiTheme="minorEastAsia" w:cs="宋体"/>
          <w:color w:val="333333"/>
          <w:kern w:val="0"/>
          <w:sz w:val="24"/>
          <w:szCs w:val="24"/>
        </w:rPr>
        <w:t>2</w:t>
      </w:r>
      <w:r w:rsidRPr="004A02B7">
        <w:rPr>
          <w:rFonts w:asciiTheme="minorEastAsia" w:hAnsiTheme="minorEastAsia" w:cs="宋体" w:hint="eastAsia"/>
          <w:color w:val="333333"/>
          <w:kern w:val="0"/>
          <w:sz w:val="24"/>
          <w:szCs w:val="24"/>
        </w:rPr>
        <w:t>日发布的《</w:t>
      </w:r>
      <w:r w:rsidR="00133A00" w:rsidRPr="004A02B7">
        <w:rPr>
          <w:rFonts w:asciiTheme="minorEastAsia" w:hAnsiTheme="minorEastAsia" w:cs="宋体" w:hint="eastAsia"/>
          <w:color w:val="333333"/>
          <w:kern w:val="0"/>
          <w:sz w:val="24"/>
          <w:szCs w:val="24"/>
        </w:rPr>
        <w:t>蚂蚁科技集团股份有限公司首次公开发行股票并在科创板上市网下初步配售结果及网上中签结果公告</w:t>
      </w:r>
      <w:r w:rsidRPr="004A02B7">
        <w:rPr>
          <w:rFonts w:asciiTheme="minorEastAsia" w:hAnsiTheme="minorEastAsia" w:cs="宋体" w:hint="eastAsia"/>
          <w:color w:val="333333"/>
          <w:kern w:val="0"/>
          <w:sz w:val="24"/>
          <w:szCs w:val="24"/>
        </w:rPr>
        <w:t>》，现将本公司托管在中国银行</w:t>
      </w:r>
      <w:r w:rsidR="002507BC" w:rsidRPr="004A02B7">
        <w:rPr>
          <w:rFonts w:asciiTheme="minorEastAsia" w:hAnsiTheme="minorEastAsia" w:cs="宋体" w:hint="eastAsia"/>
          <w:color w:val="333333"/>
          <w:kern w:val="0"/>
          <w:sz w:val="24"/>
          <w:szCs w:val="24"/>
        </w:rPr>
        <w:t>公募</w:t>
      </w:r>
      <w:r w:rsidRPr="004A02B7">
        <w:rPr>
          <w:rFonts w:asciiTheme="minorEastAsia" w:hAnsiTheme="minorEastAsia" w:cs="宋体" w:hint="eastAsia"/>
          <w:color w:val="333333"/>
          <w:kern w:val="0"/>
          <w:sz w:val="24"/>
          <w:szCs w:val="24"/>
        </w:rPr>
        <w:t>基金获配信息公告如下</w:t>
      </w:r>
      <w:r w:rsidRPr="007C50E1">
        <w:rPr>
          <w:rFonts w:ascii="微软雅黑" w:eastAsia="微软雅黑" w:hAnsi="微软雅黑" w:cs="宋体" w:hint="eastAsia"/>
          <w:color w:val="333333"/>
          <w:kern w:val="0"/>
          <w:sz w:val="24"/>
          <w:szCs w:val="24"/>
        </w:rPr>
        <w:t>：</w:t>
      </w:r>
    </w:p>
    <w:tbl>
      <w:tblPr>
        <w:tblW w:w="8620" w:type="dxa"/>
        <w:jc w:val="center"/>
        <w:tblLook w:val="04A0"/>
      </w:tblPr>
      <w:tblGrid>
        <w:gridCol w:w="2405"/>
        <w:gridCol w:w="1349"/>
        <w:gridCol w:w="1770"/>
        <w:gridCol w:w="1398"/>
        <w:gridCol w:w="1698"/>
      </w:tblGrid>
      <w:tr w:rsidR="00A815C8" w:rsidRPr="00A815C8" w:rsidTr="00701730">
        <w:trPr>
          <w:trHeight w:val="4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5C8" w:rsidRPr="00A815C8" w:rsidRDefault="00A815C8" w:rsidP="00A815C8">
            <w:pPr>
              <w:widowControl/>
              <w:jc w:val="center"/>
              <w:rPr>
                <w:rFonts w:ascii="宋体" w:eastAsia="宋体" w:hAnsi="宋体" w:cs="Arial"/>
                <w:b/>
                <w:bCs/>
                <w:color w:val="000000"/>
                <w:kern w:val="0"/>
                <w:sz w:val="20"/>
                <w:szCs w:val="20"/>
              </w:rPr>
            </w:pPr>
            <w:r w:rsidRPr="00A815C8">
              <w:rPr>
                <w:rFonts w:ascii="宋体" w:eastAsia="宋体" w:hAnsi="宋体" w:cs="Arial" w:hint="eastAsia"/>
                <w:b/>
                <w:bCs/>
                <w:color w:val="000000"/>
                <w:kern w:val="0"/>
                <w:sz w:val="20"/>
                <w:szCs w:val="20"/>
              </w:rPr>
              <w:t>基金名称</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A815C8" w:rsidRPr="00A815C8" w:rsidRDefault="00A815C8" w:rsidP="00A815C8">
            <w:pPr>
              <w:widowControl/>
              <w:jc w:val="center"/>
              <w:rPr>
                <w:rFonts w:ascii="宋体" w:eastAsia="宋体" w:hAnsi="宋体" w:cs="Arial"/>
                <w:b/>
                <w:bCs/>
                <w:color w:val="000000"/>
                <w:kern w:val="0"/>
                <w:sz w:val="20"/>
                <w:szCs w:val="20"/>
              </w:rPr>
            </w:pPr>
            <w:r w:rsidRPr="00A815C8">
              <w:rPr>
                <w:rFonts w:ascii="宋体" w:eastAsia="宋体" w:hAnsi="宋体" w:cs="Arial" w:hint="eastAsia"/>
                <w:b/>
                <w:bCs/>
                <w:color w:val="000000"/>
                <w:kern w:val="0"/>
                <w:sz w:val="20"/>
                <w:szCs w:val="20"/>
              </w:rPr>
              <w:t>配售数量</w:t>
            </w:r>
            <w:r w:rsidR="0063694B">
              <w:rPr>
                <w:rFonts w:ascii="宋体" w:eastAsia="宋体" w:hAnsi="宋体" w:cs="Arial" w:hint="eastAsia"/>
                <w:b/>
                <w:bCs/>
                <w:color w:val="000000"/>
                <w:kern w:val="0"/>
                <w:sz w:val="20"/>
                <w:szCs w:val="20"/>
              </w:rPr>
              <w:t>（股）</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A815C8" w:rsidRPr="00A815C8" w:rsidRDefault="00A815C8" w:rsidP="00A815C8">
            <w:pPr>
              <w:widowControl/>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获配金</w:t>
            </w:r>
            <w:r w:rsidR="00701730">
              <w:rPr>
                <w:rFonts w:ascii="宋体" w:eastAsia="宋体" w:hAnsi="宋体" w:cs="Arial" w:hint="eastAsia"/>
                <w:b/>
                <w:bCs/>
                <w:color w:val="000000"/>
                <w:kern w:val="0"/>
                <w:sz w:val="20"/>
                <w:szCs w:val="20"/>
              </w:rPr>
              <w:t>额</w:t>
            </w:r>
            <w:r w:rsidRPr="00A815C8">
              <w:rPr>
                <w:rFonts w:ascii="宋体" w:eastAsia="宋体" w:hAnsi="宋体" w:cs="Arial" w:hint="eastAsia"/>
                <w:b/>
                <w:bCs/>
                <w:color w:val="000000"/>
                <w:kern w:val="0"/>
                <w:sz w:val="20"/>
                <w:szCs w:val="20"/>
              </w:rPr>
              <w:t xml:space="preserve">（元，不含佣金）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A815C8" w:rsidRPr="00A815C8" w:rsidRDefault="00A815C8" w:rsidP="00A815C8">
            <w:pPr>
              <w:widowControl/>
              <w:jc w:val="center"/>
              <w:rPr>
                <w:rFonts w:ascii="宋体" w:eastAsia="宋体" w:hAnsi="宋体" w:cs="Arial"/>
                <w:b/>
                <w:bCs/>
                <w:color w:val="000000"/>
                <w:kern w:val="0"/>
                <w:sz w:val="20"/>
                <w:szCs w:val="20"/>
              </w:rPr>
            </w:pPr>
            <w:r w:rsidRPr="00A815C8">
              <w:rPr>
                <w:rFonts w:ascii="宋体" w:eastAsia="宋体" w:hAnsi="宋体" w:cs="Arial" w:hint="eastAsia"/>
                <w:b/>
                <w:bCs/>
                <w:color w:val="000000"/>
                <w:kern w:val="0"/>
                <w:sz w:val="20"/>
                <w:szCs w:val="20"/>
              </w:rPr>
              <w:t xml:space="preserve">经纪佣金（元）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A815C8" w:rsidRPr="00A815C8" w:rsidRDefault="00A815C8" w:rsidP="00A815C8">
            <w:pPr>
              <w:widowControl/>
              <w:jc w:val="center"/>
              <w:rPr>
                <w:rFonts w:ascii="宋体" w:eastAsia="宋体" w:hAnsi="宋体" w:cs="Arial"/>
                <w:b/>
                <w:bCs/>
                <w:color w:val="000000"/>
                <w:kern w:val="0"/>
                <w:sz w:val="20"/>
                <w:szCs w:val="20"/>
              </w:rPr>
            </w:pPr>
            <w:r w:rsidRPr="00A815C8">
              <w:rPr>
                <w:rFonts w:ascii="宋体" w:eastAsia="宋体" w:hAnsi="宋体" w:cs="Arial" w:hint="eastAsia"/>
                <w:b/>
                <w:bCs/>
                <w:color w:val="000000"/>
                <w:kern w:val="0"/>
                <w:sz w:val="20"/>
                <w:szCs w:val="20"/>
              </w:rPr>
              <w:t xml:space="preserve">总金额（元） </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3F51D4" w:rsidP="00F50337">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招商安润灵活配置</w:t>
            </w:r>
            <w:r w:rsidR="00A815C8" w:rsidRPr="00A815C8">
              <w:rPr>
                <w:rFonts w:ascii="宋体" w:eastAsia="宋体" w:hAnsi="宋体" w:cs="Arial" w:hint="eastAsia"/>
                <w:color w:val="000000"/>
                <w:kern w:val="0"/>
                <w:sz w:val="20"/>
                <w:szCs w:val="20"/>
              </w:rP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16,041</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1,103,620.80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5,518.10</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1,109,138.90</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招商瑞丰灵活配置混合型发起式证券投资基金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50,796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3,494,764.80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17,473.82</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3,512,238.62</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招商行业精选股票型证券投资基金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100,256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6,897,612.80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34,488.06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6,932,100.86</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招商医药健康产业股票型证券投资基金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100,256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6,897,612.80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34,488.06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6,932,100.86</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招商国企改革主题</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18,046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1,241,564.80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6,207.82</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1,247,772.62</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招商丰泽灵活配置</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42,776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2,942,988.80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14,714.94</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2,957,703.74</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招商中国机遇股票</w:t>
            </w:r>
            <w:r w:rsidRPr="00A815C8">
              <w:rPr>
                <w:rFonts w:ascii="宋体" w:eastAsia="宋体" w:hAnsi="宋体" w:cs="Arial" w:hint="eastAsia"/>
                <w:color w:val="000000"/>
                <w:kern w:val="0"/>
                <w:sz w:val="20"/>
                <w:szCs w:val="20"/>
              </w:rPr>
              <w:br/>
              <w:t>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15,038</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1,034,614.40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5,173.07</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1,039,787.47</w:t>
            </w:r>
          </w:p>
        </w:tc>
      </w:tr>
      <w:tr w:rsidR="00A815C8" w:rsidRPr="00A815C8" w:rsidTr="00701730">
        <w:trPr>
          <w:trHeight w:val="72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招商制造业转型灵</w:t>
            </w:r>
            <w:r w:rsidRPr="00A815C8">
              <w:rPr>
                <w:rFonts w:ascii="宋体" w:eastAsia="宋体" w:hAnsi="宋体" w:cs="Arial" w:hint="eastAsia"/>
                <w:color w:val="000000"/>
                <w:kern w:val="0"/>
                <w:sz w:val="20"/>
                <w:szCs w:val="20"/>
              </w:rPr>
              <w:br/>
              <w:t>活配置混合型证券</w:t>
            </w:r>
            <w:r w:rsidRPr="00A815C8">
              <w:rPr>
                <w:rFonts w:ascii="宋体" w:eastAsia="宋体" w:hAnsi="宋体" w:cs="Arial" w:hint="eastAsia"/>
                <w:color w:val="000000"/>
                <w:kern w:val="0"/>
                <w:sz w:val="20"/>
                <w:szCs w:val="20"/>
              </w:rPr>
              <w:br/>
            </w:r>
            <w:r w:rsidRPr="00A815C8">
              <w:rPr>
                <w:rFonts w:ascii="宋体" w:eastAsia="宋体" w:hAnsi="宋体" w:cs="Arial" w:hint="eastAsia"/>
                <w:color w:val="000000"/>
                <w:kern w:val="0"/>
                <w:sz w:val="20"/>
                <w:szCs w:val="20"/>
              </w:rPr>
              <w:lastRenderedPageBreak/>
              <w:t>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lastRenderedPageBreak/>
              <w:t>46,786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3,218,876.80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16,094.38</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3,234,971.18</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lastRenderedPageBreak/>
              <w:t>招商量化精选股票</w:t>
            </w:r>
            <w:r w:rsidRPr="00A815C8">
              <w:rPr>
                <w:rFonts w:ascii="宋体" w:eastAsia="宋体" w:hAnsi="宋体" w:cs="Arial" w:hint="eastAsia"/>
                <w:color w:val="000000"/>
                <w:kern w:val="0"/>
                <w:sz w:val="20"/>
                <w:szCs w:val="20"/>
              </w:rPr>
              <w:br/>
              <w:t>型发起式证券投资基金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6,683</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459,790.40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2,298.95</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462,089.35</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招商睿逸稳健配置</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18,380</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1,264,544.00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6,322.72</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1,270,866.72</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5C0221" w:rsidP="00F50337">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招商安德灵活配置</w:t>
            </w:r>
            <w:r w:rsidR="00A815C8" w:rsidRPr="00A815C8">
              <w:rPr>
                <w:rFonts w:ascii="宋体" w:eastAsia="宋体" w:hAnsi="宋体" w:cs="Arial" w:hint="eastAsia"/>
                <w:color w:val="000000"/>
                <w:kern w:val="0"/>
                <w:sz w:val="20"/>
                <w:szCs w:val="20"/>
              </w:rPr>
              <w:t>混合</w:t>
            </w:r>
            <w:r w:rsidR="00A815C8" w:rsidRPr="00A815C8">
              <w:rPr>
                <w:rFonts w:ascii="宋体" w:eastAsia="宋体" w:hAnsi="宋体" w:cs="Arial" w:hint="eastAsia"/>
                <w:color w:val="000000"/>
                <w:kern w:val="0"/>
                <w:sz w:val="20"/>
                <w:szCs w:val="20"/>
              </w:rPr>
              <w:br/>
              <w:t>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39,768</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2,736,038.40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13,680.19</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2,749,718.59</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5C0221" w:rsidP="00F50337">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招商安元灵活配置</w:t>
            </w:r>
            <w:r w:rsidR="00A815C8" w:rsidRPr="00A815C8">
              <w:rPr>
                <w:rFonts w:ascii="宋体" w:eastAsia="宋体" w:hAnsi="宋体" w:cs="Arial" w:hint="eastAsia"/>
                <w:color w:val="000000"/>
                <w:kern w:val="0"/>
                <w:sz w:val="20"/>
                <w:szCs w:val="20"/>
              </w:rPr>
              <w:t>混合</w:t>
            </w:r>
            <w:r w:rsidR="00A815C8" w:rsidRPr="00A815C8">
              <w:rPr>
                <w:rFonts w:ascii="宋体" w:eastAsia="宋体" w:hAnsi="宋体" w:cs="Arial" w:hint="eastAsia"/>
                <w:color w:val="000000"/>
                <w:kern w:val="0"/>
                <w:sz w:val="20"/>
                <w:szCs w:val="20"/>
              </w:rPr>
              <w:br/>
              <w:t>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29,074</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2,000,291.20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10,001.46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2,010,292.66</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招商丰凯灵活配置</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18,380</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1,264,544.00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6,322.72</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1,270,866.72</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0B3BF9" w:rsidP="00F50337">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招商安博灵活配置</w:t>
            </w:r>
            <w:r w:rsidR="00A815C8" w:rsidRPr="00A815C8">
              <w:rPr>
                <w:rFonts w:ascii="宋体" w:eastAsia="宋体" w:hAnsi="宋体" w:cs="Arial" w:hint="eastAsia"/>
                <w:color w:val="000000"/>
                <w:kern w:val="0"/>
                <w:sz w:val="20"/>
                <w:szCs w:val="20"/>
              </w:rP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16,041</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1,103,620.80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5,518.10</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1,109,138.90</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招商丰美灵活配置</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23,727</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1,632,417.60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8,162.09</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1,640,579.69</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招商盛合灵活配置</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29,742</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2,046,249.60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10,231.25</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2,056,480.85</w:t>
            </w:r>
          </w:p>
        </w:tc>
      </w:tr>
      <w:tr w:rsidR="00A815C8" w:rsidRPr="00A815C8" w:rsidTr="00701730">
        <w:trPr>
          <w:trHeight w:val="49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招商沪深</w:t>
            </w:r>
            <w:r w:rsidR="00357609">
              <w:rPr>
                <w:rFonts w:ascii="Times New Roman" w:eastAsia="宋体" w:hAnsi="Times New Roman" w:cs="Times New Roman"/>
                <w:color w:val="000000"/>
                <w:kern w:val="0"/>
                <w:sz w:val="20"/>
                <w:szCs w:val="20"/>
              </w:rPr>
              <w:t>300</w:t>
            </w:r>
            <w:r w:rsidRPr="00A815C8">
              <w:rPr>
                <w:rFonts w:ascii="宋体" w:eastAsia="宋体" w:hAnsi="宋体" w:cs="Arial" w:hint="eastAsia"/>
                <w:color w:val="000000"/>
                <w:kern w:val="0"/>
                <w:sz w:val="20"/>
                <w:szCs w:val="20"/>
              </w:rPr>
              <w:t>指数</w:t>
            </w:r>
            <w:r w:rsidRPr="00A815C8">
              <w:rPr>
                <w:rFonts w:ascii="宋体" w:eastAsia="宋体" w:hAnsi="宋体" w:cs="Arial" w:hint="eastAsia"/>
                <w:color w:val="000000"/>
                <w:kern w:val="0"/>
                <w:sz w:val="20"/>
                <w:szCs w:val="20"/>
              </w:rPr>
              <w:br/>
              <w:t>增强型证券投资基金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27,737</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1,908,305.60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9,541.53</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1,917,847.13</w:t>
            </w:r>
          </w:p>
        </w:tc>
      </w:tr>
      <w:tr w:rsidR="00A815C8" w:rsidRPr="00A815C8" w:rsidTr="00701730">
        <w:trPr>
          <w:trHeight w:val="49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招商中证</w:t>
            </w:r>
            <w:r w:rsidR="00357609">
              <w:rPr>
                <w:rFonts w:ascii="Times New Roman" w:eastAsia="宋体" w:hAnsi="Times New Roman" w:cs="Times New Roman"/>
                <w:color w:val="000000"/>
                <w:kern w:val="0"/>
                <w:sz w:val="20"/>
                <w:szCs w:val="20"/>
              </w:rPr>
              <w:t>500</w:t>
            </w:r>
            <w:r w:rsidRPr="00A815C8">
              <w:rPr>
                <w:rFonts w:ascii="宋体" w:eastAsia="宋体" w:hAnsi="宋体" w:cs="Arial" w:hint="eastAsia"/>
                <w:color w:val="000000"/>
                <w:kern w:val="0"/>
                <w:sz w:val="20"/>
                <w:szCs w:val="20"/>
              </w:rPr>
              <w:t>指数</w:t>
            </w:r>
            <w:r w:rsidRPr="00A815C8">
              <w:rPr>
                <w:rFonts w:ascii="宋体" w:eastAsia="宋体" w:hAnsi="宋体" w:cs="Arial" w:hint="eastAsia"/>
                <w:color w:val="000000"/>
                <w:kern w:val="0"/>
                <w:sz w:val="20"/>
                <w:szCs w:val="20"/>
              </w:rPr>
              <w:br/>
              <w:t>增强型证券投资基金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4,010</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275,888.00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1,379.44</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277,267.44</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招商丰拓灵活配置</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32,416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2,230,220.80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11,151.10</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2,241,371.90</w:t>
            </w:r>
          </w:p>
        </w:tc>
      </w:tr>
      <w:tr w:rsidR="00A815C8" w:rsidRPr="00A815C8" w:rsidTr="00701730">
        <w:trPr>
          <w:trHeight w:val="73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招商和悦稳健养老</w:t>
            </w:r>
            <w:r w:rsidRPr="00A815C8">
              <w:rPr>
                <w:rFonts w:ascii="宋体" w:eastAsia="宋体" w:hAnsi="宋体" w:cs="Arial" w:hint="eastAsia"/>
                <w:color w:val="000000"/>
                <w:kern w:val="0"/>
                <w:sz w:val="20"/>
                <w:szCs w:val="20"/>
              </w:rPr>
              <w:br/>
              <w:t>目标一年持有期混</w:t>
            </w:r>
            <w:r w:rsidRPr="00A815C8">
              <w:rPr>
                <w:rFonts w:ascii="宋体" w:eastAsia="宋体" w:hAnsi="宋体" w:cs="Arial" w:hint="eastAsia"/>
                <w:color w:val="000000"/>
                <w:kern w:val="0"/>
                <w:sz w:val="20"/>
                <w:szCs w:val="20"/>
              </w:rPr>
              <w:br/>
              <w:t>合型基金中基金（</w:t>
            </w:r>
            <w:r w:rsidRPr="00A815C8">
              <w:rPr>
                <w:rFonts w:ascii="Times New Roman" w:eastAsia="宋体" w:hAnsi="Times New Roman" w:cs="Times New Roman"/>
                <w:color w:val="000000"/>
                <w:kern w:val="0"/>
                <w:sz w:val="20"/>
                <w:szCs w:val="20"/>
              </w:rPr>
              <w:t>FOF</w:t>
            </w:r>
            <w:r w:rsidRPr="00A815C8">
              <w:rPr>
                <w:rFonts w:ascii="宋体" w:eastAsia="宋体" w:hAnsi="宋体" w:cs="Arial" w:hint="eastAsia"/>
                <w:color w:val="000000"/>
                <w:kern w:val="0"/>
                <w:sz w:val="20"/>
                <w:szCs w:val="20"/>
              </w:rPr>
              <w:t>）</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33,418</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2,299,158.40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11,495.79</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2,310,654.19</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招商瑞文混合型证</w:t>
            </w:r>
            <w:r w:rsidRPr="00A815C8">
              <w:rPr>
                <w:rFonts w:ascii="宋体" w:eastAsia="宋体" w:hAnsi="宋体" w:cs="Arial" w:hint="eastAsia"/>
                <w:color w:val="000000"/>
                <w:kern w:val="0"/>
                <w:sz w:val="20"/>
                <w:szCs w:val="20"/>
              </w:rPr>
              <w:br/>
              <w:t>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91,233</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6,276,830.40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31,384.15</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6,308,214.55</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招商核心优选股票</w:t>
            </w:r>
            <w:r w:rsidRPr="00A815C8">
              <w:rPr>
                <w:rFonts w:ascii="宋体" w:eastAsia="宋体" w:hAnsi="宋体" w:cs="Arial" w:hint="eastAsia"/>
                <w:color w:val="000000"/>
                <w:kern w:val="0"/>
                <w:sz w:val="20"/>
                <w:szCs w:val="20"/>
              </w:rPr>
              <w:br/>
              <w:t>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72,519</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4,989,307.20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24,946.54</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5,014,253.74</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招商创新增长混合</w:t>
            </w:r>
            <w:r w:rsidRPr="00A815C8">
              <w:rPr>
                <w:rFonts w:ascii="宋体" w:eastAsia="宋体" w:hAnsi="宋体" w:cs="Arial" w:hint="eastAsia"/>
                <w:color w:val="000000"/>
                <w:kern w:val="0"/>
                <w:sz w:val="20"/>
                <w:szCs w:val="20"/>
              </w:rPr>
              <w:br/>
              <w:t>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100,256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6,897,612.80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34,488.06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6,932,100.86</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招商丰盈积极配置</w:t>
            </w:r>
            <w:r w:rsidRPr="00A815C8">
              <w:rPr>
                <w:rFonts w:ascii="宋体" w:eastAsia="宋体" w:hAnsi="宋体" w:cs="Arial" w:hint="eastAsia"/>
                <w:color w:val="000000"/>
                <w:kern w:val="0"/>
                <w:sz w:val="20"/>
                <w:szCs w:val="20"/>
              </w:rPr>
              <w:br/>
              <w:t>混合型证券投资基金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100,256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6,897,612.80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34,488.06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6,932,100.86</w:t>
            </w:r>
          </w:p>
        </w:tc>
      </w:tr>
      <w:tr w:rsidR="00A815C8" w:rsidRPr="00A815C8" w:rsidTr="00701730">
        <w:trPr>
          <w:trHeight w:val="72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招商成长精选一年</w:t>
            </w:r>
            <w:r w:rsidRPr="00A815C8">
              <w:rPr>
                <w:rFonts w:ascii="宋体" w:eastAsia="宋体" w:hAnsi="宋体" w:cs="Arial" w:hint="eastAsia"/>
                <w:color w:val="000000"/>
                <w:kern w:val="0"/>
                <w:sz w:val="20"/>
                <w:szCs w:val="20"/>
              </w:rPr>
              <w:br/>
              <w:t>定期开放混合型发</w:t>
            </w:r>
            <w:r w:rsidRPr="00A815C8">
              <w:rPr>
                <w:rFonts w:ascii="宋体" w:eastAsia="宋体" w:hAnsi="宋体" w:cs="Arial" w:hint="eastAsia"/>
                <w:color w:val="000000"/>
                <w:kern w:val="0"/>
                <w:sz w:val="20"/>
                <w:szCs w:val="20"/>
              </w:rPr>
              <w:br/>
              <w:t>起式证券投资基金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48,457</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3,333,841.60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16,669.21</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3,350,510.81</w:t>
            </w:r>
          </w:p>
        </w:tc>
      </w:tr>
      <w:tr w:rsidR="00A815C8" w:rsidRPr="00A815C8" w:rsidTr="00701730">
        <w:trPr>
          <w:trHeight w:val="72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招商中证全指证券</w:t>
            </w:r>
            <w:r w:rsidRPr="00A815C8">
              <w:rPr>
                <w:rFonts w:ascii="宋体" w:eastAsia="宋体" w:hAnsi="宋体" w:cs="Arial" w:hint="eastAsia"/>
                <w:color w:val="000000"/>
                <w:kern w:val="0"/>
                <w:sz w:val="20"/>
                <w:szCs w:val="20"/>
              </w:rPr>
              <w:br/>
              <w:t>公司指数分级证券</w:t>
            </w:r>
            <w:r w:rsidRPr="00A815C8">
              <w:rPr>
                <w:rFonts w:ascii="宋体" w:eastAsia="宋体" w:hAnsi="宋体" w:cs="Arial" w:hint="eastAsia"/>
                <w:color w:val="000000"/>
                <w:kern w:val="0"/>
                <w:sz w:val="20"/>
                <w:szCs w:val="20"/>
              </w:rPr>
              <w:br/>
              <w:t>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100,256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6,897,612.80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34,488.06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6,932,100.86</w:t>
            </w:r>
          </w:p>
        </w:tc>
      </w:tr>
      <w:tr w:rsidR="00A815C8" w:rsidRPr="00A815C8" w:rsidTr="00701730">
        <w:trPr>
          <w:trHeight w:val="73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招商沪深</w:t>
            </w:r>
            <w:r w:rsidRPr="00A815C8">
              <w:rPr>
                <w:rFonts w:ascii="Times New Roman" w:eastAsia="宋体" w:hAnsi="Times New Roman" w:cs="Times New Roman"/>
                <w:color w:val="000000"/>
                <w:kern w:val="0"/>
                <w:sz w:val="20"/>
                <w:szCs w:val="20"/>
              </w:rPr>
              <w:t xml:space="preserve">300 </w:t>
            </w:r>
            <w:r w:rsidRPr="00A815C8">
              <w:rPr>
                <w:rFonts w:ascii="宋体" w:eastAsia="宋体" w:hAnsi="宋体" w:cs="Arial" w:hint="eastAsia"/>
                <w:color w:val="000000"/>
                <w:kern w:val="0"/>
                <w:sz w:val="20"/>
                <w:szCs w:val="20"/>
              </w:rPr>
              <w:t>地产</w:t>
            </w:r>
            <w:r w:rsidRPr="00A815C8">
              <w:rPr>
                <w:rFonts w:ascii="宋体" w:eastAsia="宋体" w:hAnsi="宋体" w:cs="Arial" w:hint="eastAsia"/>
                <w:color w:val="000000"/>
                <w:kern w:val="0"/>
                <w:sz w:val="20"/>
                <w:szCs w:val="20"/>
              </w:rPr>
              <w:br/>
              <w:t>等权重指数分级证</w:t>
            </w:r>
            <w:r w:rsidRPr="00A815C8">
              <w:rPr>
                <w:rFonts w:ascii="宋体" w:eastAsia="宋体" w:hAnsi="宋体" w:cs="Arial" w:hint="eastAsia"/>
                <w:color w:val="000000"/>
                <w:kern w:val="0"/>
                <w:sz w:val="20"/>
                <w:szCs w:val="20"/>
              </w:rPr>
              <w:br/>
            </w:r>
            <w:r w:rsidRPr="00A815C8">
              <w:rPr>
                <w:rFonts w:ascii="宋体" w:eastAsia="宋体" w:hAnsi="宋体" w:cs="Arial" w:hint="eastAsia"/>
                <w:color w:val="000000"/>
                <w:kern w:val="0"/>
                <w:sz w:val="20"/>
                <w:szCs w:val="20"/>
              </w:rPr>
              <w:lastRenderedPageBreak/>
              <w:t>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lastRenderedPageBreak/>
              <w:t>18,046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1,241,564.80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6,207.82</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1,247,772.62</w:t>
            </w:r>
          </w:p>
        </w:tc>
      </w:tr>
      <w:tr w:rsidR="00A815C8" w:rsidRPr="00A815C8" w:rsidTr="00701730">
        <w:trPr>
          <w:trHeight w:val="73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lastRenderedPageBreak/>
              <w:t>招商丰泰灵活配置</w:t>
            </w:r>
            <w:r w:rsidRPr="00A815C8">
              <w:rPr>
                <w:rFonts w:ascii="宋体" w:eastAsia="宋体" w:hAnsi="宋体" w:cs="Arial" w:hint="eastAsia"/>
                <w:color w:val="000000"/>
                <w:kern w:val="0"/>
                <w:sz w:val="20"/>
                <w:szCs w:val="20"/>
              </w:rPr>
              <w:br/>
              <w:t>混合型证券投资基</w:t>
            </w:r>
            <w:r w:rsidRPr="00A815C8">
              <w:rPr>
                <w:rFonts w:ascii="宋体" w:eastAsia="宋体" w:hAnsi="宋体" w:cs="Arial" w:hint="eastAsia"/>
                <w:color w:val="000000"/>
                <w:kern w:val="0"/>
                <w:sz w:val="20"/>
                <w:szCs w:val="20"/>
              </w:rPr>
              <w:br/>
              <w:t>金</w:t>
            </w:r>
            <w:r w:rsidR="00A47008" w:rsidRPr="00A815C8">
              <w:rPr>
                <w:rFonts w:ascii="宋体" w:eastAsia="宋体" w:hAnsi="宋体" w:cs="Arial" w:hint="eastAsia"/>
                <w:color w:val="000000"/>
                <w:kern w:val="0"/>
                <w:sz w:val="20"/>
                <w:szCs w:val="20"/>
              </w:rPr>
              <w:t>（LOF）</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25,398</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1,747,382.40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8,736.91</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1,756,119.31</w:t>
            </w:r>
          </w:p>
        </w:tc>
      </w:tr>
      <w:tr w:rsidR="00A815C8" w:rsidRPr="00A815C8" w:rsidTr="00701730">
        <w:trPr>
          <w:trHeight w:val="72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招商中证煤炭等权</w:t>
            </w:r>
            <w:r w:rsidRPr="00A815C8">
              <w:rPr>
                <w:rFonts w:ascii="宋体" w:eastAsia="宋体" w:hAnsi="宋体" w:cs="Arial" w:hint="eastAsia"/>
                <w:color w:val="000000"/>
                <w:kern w:val="0"/>
                <w:sz w:val="20"/>
                <w:szCs w:val="20"/>
              </w:rPr>
              <w:br/>
              <w:t>指数分级证券投资</w:t>
            </w:r>
            <w:r w:rsidRPr="00A815C8">
              <w:rPr>
                <w:rFonts w:ascii="宋体" w:eastAsia="宋体" w:hAnsi="宋体" w:cs="Arial" w:hint="eastAsia"/>
                <w:color w:val="000000"/>
                <w:kern w:val="0"/>
                <w:sz w:val="20"/>
                <w:szCs w:val="20"/>
              </w:rPr>
              <w:br/>
              <w:t>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18,714</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1,287,523.20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6,437.62</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1,293,960.82</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招商中证白酒指数</w:t>
            </w:r>
            <w:r w:rsidRPr="00A815C8">
              <w:rPr>
                <w:rFonts w:ascii="宋体" w:eastAsia="宋体" w:hAnsi="宋体" w:cs="Arial" w:hint="eastAsia"/>
                <w:color w:val="000000"/>
                <w:kern w:val="0"/>
                <w:sz w:val="20"/>
                <w:szCs w:val="20"/>
              </w:rPr>
              <w:br/>
              <w:t>分级证券投资基金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100,256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6,897,612.80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34,488.06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6,932,100.86</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招商国证生物医药</w:t>
            </w:r>
            <w:r w:rsidRPr="00A815C8">
              <w:rPr>
                <w:rFonts w:ascii="宋体" w:eastAsia="宋体" w:hAnsi="宋体" w:cs="Arial" w:hint="eastAsia"/>
                <w:color w:val="000000"/>
                <w:kern w:val="0"/>
                <w:sz w:val="20"/>
                <w:szCs w:val="20"/>
              </w:rPr>
              <w:br/>
              <w:t>指数分级证券投资基金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100,256</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6,897,612.80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34,488.06</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6,932,100.86</w:t>
            </w:r>
          </w:p>
        </w:tc>
      </w:tr>
      <w:tr w:rsidR="00A815C8" w:rsidRPr="00A815C8" w:rsidTr="00701730">
        <w:trPr>
          <w:trHeight w:val="25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招商先锋证券投资基金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84,884</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5,840,019.20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29,200.10</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5,869,219.30</w:t>
            </w:r>
          </w:p>
        </w:tc>
      </w:tr>
      <w:tr w:rsidR="00A815C8" w:rsidRPr="00A815C8" w:rsidTr="00701730">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招商行业领先混合</w:t>
            </w:r>
            <w:r w:rsidRPr="00A815C8">
              <w:rPr>
                <w:rFonts w:ascii="宋体" w:eastAsia="宋体" w:hAnsi="宋体" w:cs="Arial" w:hint="eastAsia"/>
                <w:color w:val="000000"/>
                <w:kern w:val="0"/>
                <w:sz w:val="20"/>
                <w:szCs w:val="20"/>
              </w:rPr>
              <w:br/>
              <w:t>型证券投资基金</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19,048</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1,310,502.40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6,552.51</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1,317,054.91</w:t>
            </w:r>
          </w:p>
        </w:tc>
      </w:tr>
      <w:tr w:rsidR="00A815C8" w:rsidRPr="00A815C8" w:rsidTr="00701730">
        <w:trPr>
          <w:trHeight w:val="72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宋体" w:eastAsia="宋体" w:hAnsi="宋体" w:cs="Arial"/>
                <w:color w:val="000000"/>
                <w:kern w:val="0"/>
                <w:sz w:val="20"/>
                <w:szCs w:val="20"/>
              </w:rPr>
            </w:pPr>
            <w:r w:rsidRPr="00A815C8">
              <w:rPr>
                <w:rFonts w:ascii="宋体" w:eastAsia="宋体" w:hAnsi="宋体" w:cs="Arial" w:hint="eastAsia"/>
                <w:color w:val="000000"/>
                <w:kern w:val="0"/>
                <w:sz w:val="20"/>
                <w:szCs w:val="20"/>
              </w:rPr>
              <w:t>招商3年封闭运作战略配售灵活配置混合型证券投资基金（LOF）</w:t>
            </w:r>
          </w:p>
        </w:tc>
        <w:tc>
          <w:tcPr>
            <w:tcW w:w="1349"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20,344,244</w:t>
            </w:r>
          </w:p>
        </w:tc>
        <w:tc>
          <w:tcPr>
            <w:tcW w:w="1770"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1,399,683,987.20</w:t>
            </w:r>
          </w:p>
        </w:tc>
        <w:tc>
          <w:tcPr>
            <w:tcW w:w="13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6,998,419.94</w:t>
            </w:r>
          </w:p>
        </w:tc>
        <w:tc>
          <w:tcPr>
            <w:tcW w:w="1698" w:type="dxa"/>
            <w:tcBorders>
              <w:top w:val="nil"/>
              <w:left w:val="nil"/>
              <w:bottom w:val="single" w:sz="4" w:space="0" w:color="auto"/>
              <w:right w:val="single" w:sz="4" w:space="0" w:color="auto"/>
            </w:tcBorders>
            <w:shd w:val="clear" w:color="auto" w:fill="auto"/>
            <w:vAlign w:val="center"/>
            <w:hideMark/>
          </w:tcPr>
          <w:p w:rsidR="00A815C8" w:rsidRPr="00A815C8" w:rsidRDefault="00A815C8" w:rsidP="00F50337">
            <w:pPr>
              <w:widowControl/>
              <w:jc w:val="center"/>
              <w:rPr>
                <w:rFonts w:ascii="Times New Roman" w:eastAsia="宋体" w:hAnsi="Times New Roman" w:cs="Times New Roman"/>
                <w:color w:val="000000"/>
                <w:kern w:val="0"/>
                <w:sz w:val="20"/>
                <w:szCs w:val="20"/>
              </w:rPr>
            </w:pPr>
            <w:r w:rsidRPr="00A815C8">
              <w:rPr>
                <w:rFonts w:ascii="Times New Roman" w:eastAsia="宋体" w:hAnsi="Times New Roman" w:cs="Times New Roman"/>
                <w:color w:val="000000"/>
                <w:kern w:val="0"/>
                <w:sz w:val="20"/>
                <w:szCs w:val="20"/>
              </w:rPr>
              <w:t>1,406,682,407.14</w:t>
            </w:r>
          </w:p>
        </w:tc>
      </w:tr>
    </w:tbl>
    <w:p w:rsidR="00EA3C07" w:rsidRPr="004A02B7" w:rsidRDefault="0063694B" w:rsidP="002507BC">
      <w:pPr>
        <w:widowControl/>
        <w:shd w:val="clear" w:color="auto" w:fill="FFFFFF"/>
        <w:spacing w:line="510" w:lineRule="atLeast"/>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xml:space="preserve">    </w:t>
      </w:r>
      <w:r w:rsidRPr="0063694B">
        <w:rPr>
          <w:rFonts w:asciiTheme="minorEastAsia" w:hAnsiTheme="minorEastAsia" w:cs="宋体"/>
          <w:color w:val="333333"/>
          <w:kern w:val="0"/>
          <w:sz w:val="24"/>
          <w:szCs w:val="24"/>
        </w:rPr>
        <w:t xml:space="preserve">注：上述基金新股配售经纪佣金费率为其获配金额的0.5%。 </w:t>
      </w:r>
      <w:r>
        <w:rPr>
          <w:rFonts w:asciiTheme="minorEastAsia" w:hAnsiTheme="minorEastAsia" w:cs="宋体"/>
          <w:color w:val="333333"/>
          <w:kern w:val="0"/>
          <w:sz w:val="24"/>
          <w:szCs w:val="24"/>
        </w:rPr>
        <w:t xml:space="preserve"> </w:t>
      </w:r>
    </w:p>
    <w:p w:rsidR="00EA3C07" w:rsidRPr="004A02B7" w:rsidRDefault="00EA3C07" w:rsidP="007317A3">
      <w:pPr>
        <w:widowControl/>
        <w:shd w:val="clear" w:color="auto" w:fill="FFFFFF"/>
        <w:spacing w:line="510" w:lineRule="atLeast"/>
        <w:ind w:firstLineChars="177" w:firstLine="425"/>
        <w:rPr>
          <w:rFonts w:asciiTheme="minorEastAsia" w:hAnsiTheme="minorEastAsia" w:cs="宋体"/>
          <w:color w:val="333333"/>
          <w:kern w:val="0"/>
          <w:sz w:val="24"/>
          <w:szCs w:val="24"/>
        </w:rPr>
      </w:pPr>
      <w:r w:rsidRPr="004A02B7">
        <w:rPr>
          <w:rFonts w:asciiTheme="minorEastAsia" w:hAnsiTheme="minorEastAsia" w:cs="宋体" w:hint="eastAsia"/>
          <w:color w:val="333333"/>
          <w:kern w:val="0"/>
          <w:sz w:val="24"/>
          <w:szCs w:val="24"/>
        </w:rPr>
        <w:t>如有疑问，请拨打客户服务热线：400-887-9555（免长途话费），或登陆网站www.cmfchina.com获取相关信息。</w:t>
      </w:r>
    </w:p>
    <w:p w:rsidR="00EA3C07" w:rsidRPr="004A02B7" w:rsidRDefault="00EA3C07" w:rsidP="008D5C4A">
      <w:pPr>
        <w:widowControl/>
        <w:shd w:val="clear" w:color="auto" w:fill="FFFFFF"/>
        <w:spacing w:line="510" w:lineRule="atLeast"/>
        <w:ind w:firstLineChars="177" w:firstLine="425"/>
        <w:rPr>
          <w:rFonts w:asciiTheme="minorEastAsia" w:hAnsiTheme="minorEastAsia" w:cs="宋体"/>
          <w:color w:val="333333"/>
          <w:kern w:val="0"/>
          <w:sz w:val="24"/>
          <w:szCs w:val="24"/>
        </w:rPr>
      </w:pPr>
      <w:r w:rsidRPr="004A02B7">
        <w:rPr>
          <w:rFonts w:asciiTheme="minorEastAsia" w:hAnsiTheme="minorEastAsia" w:cs="宋体" w:hint="eastAsia"/>
          <w:color w:val="333333"/>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2507BC" w:rsidRPr="004A02B7" w:rsidRDefault="002507BC" w:rsidP="00D86B3B">
      <w:pPr>
        <w:widowControl/>
        <w:shd w:val="clear" w:color="auto" w:fill="FFFFFF"/>
        <w:spacing w:line="510" w:lineRule="atLeast"/>
        <w:ind w:firstLineChars="200" w:firstLine="480"/>
        <w:jc w:val="left"/>
        <w:rPr>
          <w:rFonts w:asciiTheme="minorEastAsia" w:hAnsiTheme="minorEastAsia" w:cs="宋体"/>
          <w:color w:val="333333"/>
          <w:kern w:val="0"/>
          <w:sz w:val="24"/>
          <w:szCs w:val="24"/>
        </w:rPr>
      </w:pPr>
      <w:r w:rsidRPr="004A02B7">
        <w:rPr>
          <w:rFonts w:asciiTheme="minorEastAsia" w:hAnsiTheme="minorEastAsia" w:cs="宋体" w:hint="eastAsia"/>
          <w:color w:val="333333"/>
          <w:kern w:val="0"/>
          <w:sz w:val="24"/>
          <w:szCs w:val="24"/>
        </w:rPr>
        <w:t>特此公告</w:t>
      </w:r>
      <w:r w:rsidR="00D86B3B">
        <w:rPr>
          <w:rFonts w:asciiTheme="minorEastAsia" w:hAnsiTheme="minorEastAsia" w:cs="宋体" w:hint="eastAsia"/>
          <w:color w:val="333333"/>
          <w:kern w:val="0"/>
          <w:sz w:val="24"/>
          <w:szCs w:val="24"/>
        </w:rPr>
        <w:t>。</w:t>
      </w:r>
    </w:p>
    <w:p w:rsidR="002507BC" w:rsidRPr="004A02B7" w:rsidRDefault="002507BC" w:rsidP="002507BC">
      <w:pPr>
        <w:widowControl/>
        <w:shd w:val="clear" w:color="auto" w:fill="FFFFFF"/>
        <w:spacing w:before="750" w:line="420" w:lineRule="atLeast"/>
        <w:jc w:val="right"/>
        <w:rPr>
          <w:rFonts w:asciiTheme="minorEastAsia" w:hAnsiTheme="minorEastAsia" w:cs="宋体"/>
          <w:color w:val="333333"/>
          <w:kern w:val="0"/>
          <w:sz w:val="24"/>
          <w:szCs w:val="24"/>
        </w:rPr>
      </w:pPr>
      <w:r w:rsidRPr="004A02B7">
        <w:rPr>
          <w:rFonts w:asciiTheme="minorEastAsia" w:hAnsiTheme="minorEastAsia" w:cs="宋体" w:hint="eastAsia"/>
          <w:color w:val="333333"/>
          <w:kern w:val="0"/>
          <w:sz w:val="24"/>
          <w:szCs w:val="24"/>
        </w:rPr>
        <w:t>招商基金管理有限公司</w:t>
      </w:r>
    </w:p>
    <w:p w:rsidR="004C482B" w:rsidRPr="004A02B7" w:rsidRDefault="00EA3C07" w:rsidP="00EA3C07">
      <w:pPr>
        <w:widowControl/>
        <w:shd w:val="clear" w:color="auto" w:fill="FFFFFF"/>
        <w:spacing w:before="240" w:line="420" w:lineRule="atLeast"/>
        <w:jc w:val="right"/>
        <w:rPr>
          <w:rFonts w:asciiTheme="minorEastAsia" w:hAnsiTheme="minorEastAsia" w:cs="宋体"/>
          <w:color w:val="333333"/>
          <w:kern w:val="0"/>
          <w:sz w:val="24"/>
          <w:szCs w:val="24"/>
        </w:rPr>
      </w:pPr>
      <w:r w:rsidRPr="004A02B7">
        <w:rPr>
          <w:rFonts w:asciiTheme="minorEastAsia" w:hAnsiTheme="minorEastAsia" w:cs="宋体" w:hint="eastAsia"/>
          <w:color w:val="333333"/>
          <w:kern w:val="0"/>
          <w:sz w:val="24"/>
          <w:szCs w:val="24"/>
        </w:rPr>
        <w:t>2</w:t>
      </w:r>
      <w:r w:rsidRPr="004A02B7">
        <w:rPr>
          <w:rFonts w:asciiTheme="minorEastAsia" w:hAnsiTheme="minorEastAsia" w:cs="宋体"/>
          <w:color w:val="333333"/>
          <w:kern w:val="0"/>
          <w:sz w:val="24"/>
          <w:szCs w:val="24"/>
        </w:rPr>
        <w:t>020</w:t>
      </w:r>
      <w:r w:rsidR="002507BC" w:rsidRPr="004A02B7">
        <w:rPr>
          <w:rFonts w:asciiTheme="minorEastAsia" w:hAnsiTheme="minorEastAsia" w:cs="宋体" w:hint="eastAsia"/>
          <w:color w:val="333333"/>
          <w:kern w:val="0"/>
          <w:sz w:val="24"/>
          <w:szCs w:val="24"/>
        </w:rPr>
        <w:t>年</w:t>
      </w:r>
      <w:r w:rsidR="00F805AE" w:rsidRPr="004A02B7">
        <w:rPr>
          <w:rFonts w:asciiTheme="minorEastAsia" w:hAnsiTheme="minorEastAsia" w:cs="宋体"/>
          <w:color w:val="333333"/>
          <w:kern w:val="0"/>
          <w:sz w:val="24"/>
          <w:szCs w:val="24"/>
        </w:rPr>
        <w:t>11</w:t>
      </w:r>
      <w:r w:rsidR="002507BC" w:rsidRPr="004A02B7">
        <w:rPr>
          <w:rFonts w:asciiTheme="minorEastAsia" w:hAnsiTheme="minorEastAsia" w:cs="宋体" w:hint="eastAsia"/>
          <w:color w:val="333333"/>
          <w:kern w:val="0"/>
          <w:sz w:val="24"/>
          <w:szCs w:val="24"/>
        </w:rPr>
        <w:t>月</w:t>
      </w:r>
      <w:r w:rsidR="00A25071">
        <w:rPr>
          <w:rFonts w:asciiTheme="minorEastAsia" w:hAnsiTheme="minorEastAsia" w:cs="宋体"/>
          <w:color w:val="333333"/>
          <w:kern w:val="0"/>
          <w:sz w:val="24"/>
          <w:szCs w:val="24"/>
        </w:rPr>
        <w:t>4</w:t>
      </w:r>
      <w:r w:rsidR="002507BC" w:rsidRPr="004A02B7">
        <w:rPr>
          <w:rFonts w:asciiTheme="minorEastAsia" w:hAnsiTheme="minorEastAsia" w:cs="宋体" w:hint="eastAsia"/>
          <w:color w:val="333333"/>
          <w:kern w:val="0"/>
          <w:sz w:val="24"/>
          <w:szCs w:val="24"/>
        </w:rPr>
        <w:t>日</w:t>
      </w:r>
    </w:p>
    <w:sectPr w:rsidR="004C482B" w:rsidRPr="004A02B7" w:rsidSect="002D4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96" w:rsidRDefault="00BA2C96" w:rsidP="009B041F">
      <w:r>
        <w:separator/>
      </w:r>
    </w:p>
  </w:endnote>
  <w:endnote w:type="continuationSeparator" w:id="0">
    <w:p w:rsidR="00BA2C96" w:rsidRDefault="00BA2C96" w:rsidP="009B0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96" w:rsidRDefault="00BA2C96" w:rsidP="009B041F">
      <w:r>
        <w:separator/>
      </w:r>
    </w:p>
  </w:footnote>
  <w:footnote w:type="continuationSeparator" w:id="0">
    <w:p w:rsidR="00BA2C96" w:rsidRDefault="00BA2C96" w:rsidP="009B0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0E1"/>
    <w:rsid w:val="00072498"/>
    <w:rsid w:val="000B3BF9"/>
    <w:rsid w:val="000D2D10"/>
    <w:rsid w:val="00133A00"/>
    <w:rsid w:val="002507BC"/>
    <w:rsid w:val="00255161"/>
    <w:rsid w:val="002D406A"/>
    <w:rsid w:val="00357609"/>
    <w:rsid w:val="003D720B"/>
    <w:rsid w:val="003F51D4"/>
    <w:rsid w:val="00437C56"/>
    <w:rsid w:val="004A02B7"/>
    <w:rsid w:val="004C482B"/>
    <w:rsid w:val="004E5EA3"/>
    <w:rsid w:val="00577EEC"/>
    <w:rsid w:val="005C0221"/>
    <w:rsid w:val="0063694B"/>
    <w:rsid w:val="006C0892"/>
    <w:rsid w:val="00701730"/>
    <w:rsid w:val="007317A3"/>
    <w:rsid w:val="00767B7D"/>
    <w:rsid w:val="007C50E1"/>
    <w:rsid w:val="008D5C4A"/>
    <w:rsid w:val="00904838"/>
    <w:rsid w:val="009B041F"/>
    <w:rsid w:val="00A25071"/>
    <w:rsid w:val="00A47008"/>
    <w:rsid w:val="00A815C8"/>
    <w:rsid w:val="00B97FC9"/>
    <w:rsid w:val="00BA2C96"/>
    <w:rsid w:val="00BB678D"/>
    <w:rsid w:val="00C07288"/>
    <w:rsid w:val="00CC29E0"/>
    <w:rsid w:val="00D86B3B"/>
    <w:rsid w:val="00E91249"/>
    <w:rsid w:val="00EA3C07"/>
    <w:rsid w:val="00F50337"/>
    <w:rsid w:val="00F805AE"/>
    <w:rsid w:val="00FB6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6A"/>
    <w:pPr>
      <w:widowControl w:val="0"/>
      <w:jc w:val="both"/>
    </w:pPr>
  </w:style>
  <w:style w:type="paragraph" w:styleId="5">
    <w:name w:val="heading 5"/>
    <w:basedOn w:val="a"/>
    <w:link w:val="5Char"/>
    <w:uiPriority w:val="9"/>
    <w:qFormat/>
    <w:rsid w:val="007C50E1"/>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7C50E1"/>
    <w:rPr>
      <w:rFonts w:ascii="宋体" w:eastAsia="宋体" w:hAnsi="宋体" w:cs="宋体"/>
      <w:b/>
      <w:bCs/>
      <w:kern w:val="0"/>
      <w:sz w:val="20"/>
      <w:szCs w:val="20"/>
    </w:rPr>
  </w:style>
  <w:style w:type="character" w:customStyle="1" w:styleId="w-annotation">
    <w:name w:val="w-annotation"/>
    <w:basedOn w:val="a0"/>
    <w:rsid w:val="007C50E1"/>
  </w:style>
  <w:style w:type="character" w:styleId="a3">
    <w:name w:val="Hyperlink"/>
    <w:basedOn w:val="a0"/>
    <w:uiPriority w:val="99"/>
    <w:semiHidden/>
    <w:unhideWhenUsed/>
    <w:rsid w:val="007C50E1"/>
    <w:rPr>
      <w:color w:val="0000FF"/>
      <w:u w:val="single"/>
    </w:rPr>
  </w:style>
  <w:style w:type="character" w:customStyle="1" w:styleId="fanyi">
    <w:name w:val="fanyi"/>
    <w:basedOn w:val="a0"/>
    <w:rsid w:val="007C50E1"/>
  </w:style>
  <w:style w:type="paragraph" w:styleId="a4">
    <w:name w:val="Normal (Web)"/>
    <w:basedOn w:val="a"/>
    <w:uiPriority w:val="99"/>
    <w:semiHidden/>
    <w:unhideWhenUsed/>
    <w:rsid w:val="007C50E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B0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B041F"/>
    <w:rPr>
      <w:sz w:val="18"/>
      <w:szCs w:val="18"/>
    </w:rPr>
  </w:style>
  <w:style w:type="paragraph" w:styleId="a6">
    <w:name w:val="footer"/>
    <w:basedOn w:val="a"/>
    <w:link w:val="Char0"/>
    <w:uiPriority w:val="99"/>
    <w:unhideWhenUsed/>
    <w:rsid w:val="009B041F"/>
    <w:pPr>
      <w:tabs>
        <w:tab w:val="center" w:pos="4153"/>
        <w:tab w:val="right" w:pos="8306"/>
      </w:tabs>
      <w:snapToGrid w:val="0"/>
      <w:jc w:val="left"/>
    </w:pPr>
    <w:rPr>
      <w:sz w:val="18"/>
      <w:szCs w:val="18"/>
    </w:rPr>
  </w:style>
  <w:style w:type="character" w:customStyle="1" w:styleId="Char0">
    <w:name w:val="页脚 Char"/>
    <w:basedOn w:val="a0"/>
    <w:link w:val="a6"/>
    <w:uiPriority w:val="99"/>
    <w:rsid w:val="009B041F"/>
    <w:rPr>
      <w:sz w:val="18"/>
      <w:szCs w:val="18"/>
    </w:rPr>
  </w:style>
  <w:style w:type="paragraph" w:styleId="a7">
    <w:name w:val="Balloon Text"/>
    <w:basedOn w:val="a"/>
    <w:link w:val="Char1"/>
    <w:uiPriority w:val="99"/>
    <w:semiHidden/>
    <w:unhideWhenUsed/>
    <w:rsid w:val="009B041F"/>
    <w:rPr>
      <w:sz w:val="18"/>
      <w:szCs w:val="18"/>
    </w:rPr>
  </w:style>
  <w:style w:type="character" w:customStyle="1" w:styleId="Char1">
    <w:name w:val="批注框文本 Char"/>
    <w:basedOn w:val="a0"/>
    <w:link w:val="a7"/>
    <w:uiPriority w:val="99"/>
    <w:semiHidden/>
    <w:rsid w:val="009B041F"/>
    <w:rPr>
      <w:sz w:val="18"/>
      <w:szCs w:val="18"/>
    </w:rPr>
  </w:style>
  <w:style w:type="character" w:customStyle="1" w:styleId="fontstyle01">
    <w:name w:val="fontstyle01"/>
    <w:basedOn w:val="a0"/>
    <w:rsid w:val="0063694B"/>
    <w:rPr>
      <w:rFonts w:ascii="宋体" w:eastAsia="宋体" w:hAnsi="宋体" w:hint="eastAsia"/>
      <w:b w:val="0"/>
      <w:bCs w:val="0"/>
      <w:i w:val="0"/>
      <w:iCs w:val="0"/>
      <w:color w:val="000000"/>
      <w:sz w:val="24"/>
      <w:szCs w:val="24"/>
    </w:rPr>
  </w:style>
  <w:style w:type="character" w:customStyle="1" w:styleId="fontstyle21">
    <w:name w:val="fontstyle21"/>
    <w:basedOn w:val="a0"/>
    <w:rsid w:val="0063694B"/>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14685708">
      <w:bodyDiv w:val="1"/>
      <w:marLeft w:val="0"/>
      <w:marRight w:val="0"/>
      <w:marTop w:val="0"/>
      <w:marBottom w:val="0"/>
      <w:divBdr>
        <w:top w:val="none" w:sz="0" w:space="0" w:color="auto"/>
        <w:left w:val="none" w:sz="0" w:space="0" w:color="auto"/>
        <w:bottom w:val="none" w:sz="0" w:space="0" w:color="auto"/>
        <w:right w:val="none" w:sz="0" w:space="0" w:color="auto"/>
      </w:divBdr>
    </w:div>
    <w:div w:id="857813976">
      <w:bodyDiv w:val="1"/>
      <w:marLeft w:val="0"/>
      <w:marRight w:val="0"/>
      <w:marTop w:val="0"/>
      <w:marBottom w:val="0"/>
      <w:divBdr>
        <w:top w:val="none" w:sz="0" w:space="0" w:color="auto"/>
        <w:left w:val="none" w:sz="0" w:space="0" w:color="auto"/>
        <w:bottom w:val="none" w:sz="0" w:space="0" w:color="auto"/>
        <w:right w:val="none" w:sz="0" w:space="0" w:color="auto"/>
      </w:divBdr>
    </w:div>
    <w:div w:id="879056130">
      <w:bodyDiv w:val="1"/>
      <w:marLeft w:val="0"/>
      <w:marRight w:val="0"/>
      <w:marTop w:val="0"/>
      <w:marBottom w:val="0"/>
      <w:divBdr>
        <w:top w:val="none" w:sz="0" w:space="0" w:color="auto"/>
        <w:left w:val="none" w:sz="0" w:space="0" w:color="auto"/>
        <w:bottom w:val="none" w:sz="0" w:space="0" w:color="auto"/>
        <w:right w:val="none" w:sz="0" w:space="0" w:color="auto"/>
      </w:divBdr>
    </w:div>
    <w:div w:id="979648351">
      <w:bodyDiv w:val="1"/>
      <w:marLeft w:val="0"/>
      <w:marRight w:val="0"/>
      <w:marTop w:val="0"/>
      <w:marBottom w:val="0"/>
      <w:divBdr>
        <w:top w:val="none" w:sz="0" w:space="0" w:color="auto"/>
        <w:left w:val="none" w:sz="0" w:space="0" w:color="auto"/>
        <w:bottom w:val="none" w:sz="0" w:space="0" w:color="auto"/>
        <w:right w:val="none" w:sz="0" w:space="0" w:color="auto"/>
      </w:divBdr>
    </w:div>
    <w:div w:id="1535773527">
      <w:bodyDiv w:val="1"/>
      <w:marLeft w:val="0"/>
      <w:marRight w:val="0"/>
      <w:marTop w:val="0"/>
      <w:marBottom w:val="0"/>
      <w:divBdr>
        <w:top w:val="none" w:sz="0" w:space="0" w:color="auto"/>
        <w:left w:val="none" w:sz="0" w:space="0" w:color="auto"/>
        <w:bottom w:val="none" w:sz="0" w:space="0" w:color="auto"/>
        <w:right w:val="none" w:sz="0" w:space="0" w:color="auto"/>
      </w:divBdr>
      <w:divsChild>
        <w:div w:id="1749186934">
          <w:marLeft w:val="0"/>
          <w:marRight w:val="0"/>
          <w:marTop w:val="0"/>
          <w:marBottom w:val="0"/>
          <w:divBdr>
            <w:top w:val="none" w:sz="0" w:space="0" w:color="auto"/>
            <w:left w:val="none" w:sz="0" w:space="0" w:color="auto"/>
            <w:bottom w:val="single" w:sz="6" w:space="0" w:color="EEEEEE"/>
            <w:right w:val="none" w:sz="0" w:space="0" w:color="auto"/>
          </w:divBdr>
          <w:divsChild>
            <w:div w:id="751660659">
              <w:marLeft w:val="0"/>
              <w:marRight w:val="0"/>
              <w:marTop w:val="0"/>
              <w:marBottom w:val="0"/>
              <w:divBdr>
                <w:top w:val="none" w:sz="0" w:space="0" w:color="auto"/>
                <w:left w:val="none" w:sz="0" w:space="0" w:color="auto"/>
                <w:bottom w:val="none" w:sz="0" w:space="0" w:color="auto"/>
                <w:right w:val="none" w:sz="0" w:space="0" w:color="auto"/>
              </w:divBdr>
            </w:div>
            <w:div w:id="188643529">
              <w:marLeft w:val="0"/>
              <w:marRight w:val="0"/>
              <w:marTop w:val="180"/>
              <w:marBottom w:val="60"/>
              <w:divBdr>
                <w:top w:val="none" w:sz="0" w:space="0" w:color="auto"/>
                <w:left w:val="none" w:sz="0" w:space="0" w:color="auto"/>
                <w:bottom w:val="none" w:sz="0" w:space="0" w:color="auto"/>
                <w:right w:val="none" w:sz="0" w:space="0" w:color="auto"/>
              </w:divBdr>
              <w:divsChild>
                <w:div w:id="1825928690">
                  <w:marLeft w:val="0"/>
                  <w:marRight w:val="0"/>
                  <w:marTop w:val="0"/>
                  <w:marBottom w:val="0"/>
                  <w:divBdr>
                    <w:top w:val="none" w:sz="0" w:space="0" w:color="auto"/>
                    <w:left w:val="none" w:sz="0" w:space="0" w:color="auto"/>
                    <w:bottom w:val="none" w:sz="0" w:space="0" w:color="auto"/>
                    <w:right w:val="none" w:sz="0" w:space="0" w:color="auto"/>
                  </w:divBdr>
                </w:div>
                <w:div w:id="1469546335">
                  <w:marLeft w:val="0"/>
                  <w:marRight w:val="0"/>
                  <w:marTop w:val="0"/>
                  <w:marBottom w:val="0"/>
                  <w:divBdr>
                    <w:top w:val="none" w:sz="0" w:space="0" w:color="auto"/>
                    <w:left w:val="none" w:sz="0" w:space="0" w:color="auto"/>
                    <w:bottom w:val="none" w:sz="0" w:space="0" w:color="auto"/>
                    <w:right w:val="none" w:sz="0" w:space="0" w:color="auto"/>
                  </w:divBdr>
                  <w:divsChild>
                    <w:div w:id="17488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4951">
          <w:marLeft w:val="0"/>
          <w:marRight w:val="0"/>
          <w:marTop w:val="0"/>
          <w:marBottom w:val="0"/>
          <w:divBdr>
            <w:top w:val="none" w:sz="0" w:space="0" w:color="auto"/>
            <w:left w:val="none" w:sz="0" w:space="0" w:color="auto"/>
            <w:bottom w:val="none" w:sz="0" w:space="0" w:color="auto"/>
            <w:right w:val="none" w:sz="0" w:space="0" w:color="auto"/>
          </w:divBdr>
          <w:divsChild>
            <w:div w:id="8097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5301">
      <w:bodyDiv w:val="1"/>
      <w:marLeft w:val="0"/>
      <w:marRight w:val="0"/>
      <w:marTop w:val="0"/>
      <w:marBottom w:val="0"/>
      <w:divBdr>
        <w:top w:val="none" w:sz="0" w:space="0" w:color="auto"/>
        <w:left w:val="none" w:sz="0" w:space="0" w:color="auto"/>
        <w:bottom w:val="none" w:sz="0" w:space="0" w:color="auto"/>
        <w:right w:val="none" w:sz="0" w:space="0" w:color="auto"/>
      </w:divBdr>
    </w:div>
    <w:div w:id="1936748453">
      <w:bodyDiv w:val="1"/>
      <w:marLeft w:val="0"/>
      <w:marRight w:val="0"/>
      <w:marTop w:val="0"/>
      <w:marBottom w:val="0"/>
      <w:divBdr>
        <w:top w:val="none" w:sz="0" w:space="0" w:color="auto"/>
        <w:left w:val="none" w:sz="0" w:space="0" w:color="auto"/>
        <w:bottom w:val="none" w:sz="0" w:space="0" w:color="auto"/>
        <w:right w:val="none" w:sz="0" w:space="0" w:color="auto"/>
      </w:divBdr>
    </w:div>
    <w:div w:id="1966617239">
      <w:bodyDiv w:val="1"/>
      <w:marLeft w:val="0"/>
      <w:marRight w:val="0"/>
      <w:marTop w:val="0"/>
      <w:marBottom w:val="0"/>
      <w:divBdr>
        <w:top w:val="none" w:sz="0" w:space="0" w:color="auto"/>
        <w:left w:val="none" w:sz="0" w:space="0" w:color="auto"/>
        <w:bottom w:val="none" w:sz="0" w:space="0" w:color="auto"/>
        <w:right w:val="none" w:sz="0" w:space="0" w:color="auto"/>
      </w:divBdr>
      <w:divsChild>
        <w:div w:id="1621298350">
          <w:marLeft w:val="0"/>
          <w:marRight w:val="0"/>
          <w:marTop w:val="0"/>
          <w:marBottom w:val="0"/>
          <w:divBdr>
            <w:top w:val="none" w:sz="0" w:space="0" w:color="auto"/>
            <w:left w:val="none" w:sz="0" w:space="0" w:color="auto"/>
            <w:bottom w:val="single" w:sz="6" w:space="0" w:color="EEEEEE"/>
            <w:right w:val="none" w:sz="0" w:space="0" w:color="auto"/>
          </w:divBdr>
          <w:divsChild>
            <w:div w:id="993488001">
              <w:marLeft w:val="0"/>
              <w:marRight w:val="0"/>
              <w:marTop w:val="0"/>
              <w:marBottom w:val="0"/>
              <w:divBdr>
                <w:top w:val="none" w:sz="0" w:space="0" w:color="auto"/>
                <w:left w:val="none" w:sz="0" w:space="0" w:color="auto"/>
                <w:bottom w:val="none" w:sz="0" w:space="0" w:color="auto"/>
                <w:right w:val="none" w:sz="0" w:space="0" w:color="auto"/>
              </w:divBdr>
            </w:div>
            <w:div w:id="2111316927">
              <w:marLeft w:val="0"/>
              <w:marRight w:val="0"/>
              <w:marTop w:val="180"/>
              <w:marBottom w:val="60"/>
              <w:divBdr>
                <w:top w:val="none" w:sz="0" w:space="0" w:color="auto"/>
                <w:left w:val="none" w:sz="0" w:space="0" w:color="auto"/>
                <w:bottom w:val="none" w:sz="0" w:space="0" w:color="auto"/>
                <w:right w:val="none" w:sz="0" w:space="0" w:color="auto"/>
              </w:divBdr>
              <w:divsChild>
                <w:div w:id="892543052">
                  <w:marLeft w:val="0"/>
                  <w:marRight w:val="0"/>
                  <w:marTop w:val="0"/>
                  <w:marBottom w:val="0"/>
                  <w:divBdr>
                    <w:top w:val="none" w:sz="0" w:space="0" w:color="auto"/>
                    <w:left w:val="none" w:sz="0" w:space="0" w:color="auto"/>
                    <w:bottom w:val="none" w:sz="0" w:space="0" w:color="auto"/>
                    <w:right w:val="none" w:sz="0" w:space="0" w:color="auto"/>
                  </w:divBdr>
                </w:div>
                <w:div w:id="1065299194">
                  <w:marLeft w:val="0"/>
                  <w:marRight w:val="0"/>
                  <w:marTop w:val="0"/>
                  <w:marBottom w:val="0"/>
                  <w:divBdr>
                    <w:top w:val="none" w:sz="0" w:space="0" w:color="auto"/>
                    <w:left w:val="none" w:sz="0" w:space="0" w:color="auto"/>
                    <w:bottom w:val="none" w:sz="0" w:space="0" w:color="auto"/>
                    <w:right w:val="none" w:sz="0" w:space="0" w:color="auto"/>
                  </w:divBdr>
                  <w:divsChild>
                    <w:div w:id="1089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7596">
          <w:marLeft w:val="0"/>
          <w:marRight w:val="0"/>
          <w:marTop w:val="0"/>
          <w:marBottom w:val="0"/>
          <w:divBdr>
            <w:top w:val="none" w:sz="0" w:space="0" w:color="auto"/>
            <w:left w:val="none" w:sz="0" w:space="0" w:color="auto"/>
            <w:bottom w:val="none" w:sz="0" w:space="0" w:color="auto"/>
            <w:right w:val="none" w:sz="0" w:space="0" w:color="auto"/>
          </w:divBdr>
          <w:divsChild>
            <w:div w:id="1030644319">
              <w:marLeft w:val="0"/>
              <w:marRight w:val="0"/>
              <w:marTop w:val="0"/>
              <w:marBottom w:val="0"/>
              <w:divBdr>
                <w:top w:val="none" w:sz="0" w:space="0" w:color="auto"/>
                <w:left w:val="none" w:sz="0" w:space="0" w:color="auto"/>
                <w:bottom w:val="none" w:sz="0" w:space="0" w:color="auto"/>
                <w:right w:val="none" w:sz="0" w:space="0" w:color="auto"/>
              </w:divBdr>
            </w:div>
            <w:div w:id="810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2475</Characters>
  <Application>Microsoft Office Word</Application>
  <DocSecurity>4</DocSecurity>
  <Lines>20</Lines>
  <Paragraphs>5</Paragraphs>
  <ScaleCrop>false</ScaleCrop>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周喆</dc:creator>
  <cp:keywords/>
  <dc:description/>
  <cp:lastModifiedBy>ZHONGM</cp:lastModifiedBy>
  <cp:revision>2</cp:revision>
  <cp:lastPrinted>2020-11-02T09:11:00Z</cp:lastPrinted>
  <dcterms:created xsi:type="dcterms:W3CDTF">2020-11-03T16:01:00Z</dcterms:created>
  <dcterms:modified xsi:type="dcterms:W3CDTF">2020-11-03T16:01:00Z</dcterms:modified>
</cp:coreProperties>
</file>