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F9" w:rsidRPr="00D37FFE" w:rsidRDefault="001A0DF9" w:rsidP="00677270">
      <w:pPr>
        <w:pStyle w:val="a3"/>
        <w:shd w:val="clear" w:color="auto" w:fill="FFFFFF"/>
        <w:spacing w:before="240" w:beforeAutospacing="0" w:after="0" w:afterAutospacing="0"/>
        <w:jc w:val="center"/>
        <w:rPr>
          <w:rFonts w:asciiTheme="minorEastAsia" w:eastAsiaTheme="minorEastAsia" w:hAnsiTheme="minorEastAsia"/>
          <w:b/>
          <w:bCs/>
          <w:color w:val="333333"/>
          <w:sz w:val="28"/>
          <w:szCs w:val="28"/>
        </w:rPr>
      </w:pPr>
      <w:r w:rsidRPr="00D37FFE">
        <w:rPr>
          <w:rFonts w:asciiTheme="minorEastAsia" w:eastAsiaTheme="minorEastAsia" w:hAnsiTheme="minorEastAsia" w:hint="eastAsia"/>
          <w:b/>
          <w:bCs/>
          <w:color w:val="333333"/>
          <w:sz w:val="28"/>
          <w:szCs w:val="28"/>
        </w:rPr>
        <w:t>中科沃土基金管理有限公司关于旗下部分基金修订基金合同、托管协议的公告</w:t>
      </w:r>
    </w:p>
    <w:p w:rsidR="001A0DF9" w:rsidRPr="001A0DF9" w:rsidRDefault="001A0DF9" w:rsidP="00D37FFE">
      <w:pPr>
        <w:widowControl/>
        <w:shd w:val="clear" w:color="auto" w:fill="FFFFFF"/>
        <w:spacing w:before="48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根据《中华人民共和国证券投资基金法》《公开募集证券投资基金信息披露管理办法》《存托凭证发行与交易管理办法（试行）》等法律法规及各基金</w:t>
      </w:r>
      <w:r w:rsidR="00281B70">
        <w:rPr>
          <w:rFonts w:asciiTheme="minorEastAsia" w:hAnsiTheme="minorEastAsia" w:cs="宋体" w:hint="eastAsia"/>
          <w:color w:val="333333"/>
          <w:kern w:val="0"/>
          <w:szCs w:val="21"/>
        </w:rPr>
        <w:t>的</w:t>
      </w:r>
      <w:r w:rsidRPr="001A0DF9">
        <w:rPr>
          <w:rFonts w:asciiTheme="minorEastAsia" w:hAnsiTheme="minorEastAsia" w:cs="宋体" w:hint="eastAsia"/>
          <w:color w:val="333333"/>
          <w:kern w:val="0"/>
          <w:szCs w:val="21"/>
        </w:rPr>
        <w:t>基金合同等规定，经与各基金托管人协商一致，并向中国证监会备案，中科沃土基金管理有限公司（以下简称“基金管理人”）旗下4只公募基金就参与存托凭证投资事宜修订基金合同、托管协议等法律文件，包括明确投资范围包含存托凭证、增加存托凭证的投资策略、投资比例限制、估值方法等。本次修订将自2020年1</w:t>
      </w:r>
      <w:r w:rsidR="00281B70">
        <w:rPr>
          <w:rFonts w:asciiTheme="minorEastAsia" w:hAnsiTheme="minorEastAsia" w:cs="宋体" w:hint="eastAsia"/>
          <w:color w:val="333333"/>
          <w:kern w:val="0"/>
          <w:szCs w:val="21"/>
        </w:rPr>
        <w:t>1</w:t>
      </w:r>
      <w:r w:rsidRPr="001A0DF9">
        <w:rPr>
          <w:rFonts w:asciiTheme="minorEastAsia" w:hAnsiTheme="minorEastAsia" w:cs="宋体" w:hint="eastAsia"/>
          <w:color w:val="333333"/>
          <w:kern w:val="0"/>
          <w:szCs w:val="21"/>
        </w:rPr>
        <w:t>月</w:t>
      </w:r>
      <w:r w:rsidR="005C70B0">
        <w:rPr>
          <w:rFonts w:asciiTheme="minorEastAsia" w:hAnsiTheme="minorEastAsia" w:cs="宋体" w:hint="eastAsia"/>
          <w:color w:val="333333"/>
          <w:kern w:val="0"/>
          <w:szCs w:val="21"/>
        </w:rPr>
        <w:t>4</w:t>
      </w:r>
      <w:r w:rsidRPr="001A0DF9">
        <w:rPr>
          <w:rFonts w:asciiTheme="minorEastAsia" w:hAnsiTheme="minorEastAsia" w:cs="宋体" w:hint="eastAsia"/>
          <w:color w:val="333333"/>
          <w:kern w:val="0"/>
          <w:szCs w:val="21"/>
        </w:rPr>
        <w:t>日起正式生效。现将基金合同、托管协议修订情况公告如下：</w:t>
      </w:r>
    </w:p>
    <w:p w:rsidR="001A0DF9" w:rsidRPr="001A0DF9" w:rsidRDefault="001A0DF9" w:rsidP="00677270">
      <w:pPr>
        <w:widowControl/>
        <w:shd w:val="clear" w:color="auto" w:fill="FFFFFF"/>
        <w:spacing w:before="150" w:after="150"/>
        <w:jc w:val="left"/>
        <w:outlineLvl w:val="3"/>
        <w:rPr>
          <w:rFonts w:asciiTheme="minorEastAsia" w:hAnsiTheme="minorEastAsia" w:cs="宋体"/>
          <w:b/>
          <w:bCs/>
          <w:color w:val="333333"/>
          <w:kern w:val="0"/>
          <w:szCs w:val="21"/>
        </w:rPr>
      </w:pPr>
      <w:r w:rsidRPr="001A0DF9">
        <w:rPr>
          <w:rFonts w:asciiTheme="minorEastAsia" w:hAnsiTheme="minorEastAsia" w:cs="宋体" w:hint="eastAsia"/>
          <w:b/>
          <w:bCs/>
          <w:color w:val="333333"/>
          <w:kern w:val="0"/>
          <w:szCs w:val="21"/>
        </w:rPr>
        <w:t>一、本次修订的基金范围</w:t>
      </w:r>
    </w:p>
    <w:p w:rsidR="00281B70"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本次修订涉及基金管理人旗下4只公募基金，详细名单见</w:t>
      </w:r>
      <w:r w:rsidR="00281B70">
        <w:rPr>
          <w:rFonts w:asciiTheme="minorEastAsia" w:hAnsiTheme="minorEastAsia" w:cs="宋体" w:hint="eastAsia"/>
          <w:color w:val="333333"/>
          <w:kern w:val="0"/>
          <w:szCs w:val="21"/>
        </w:rPr>
        <w:t>下</w:t>
      </w:r>
      <w:r w:rsidRPr="001A0DF9">
        <w:rPr>
          <w:rFonts w:asciiTheme="minorEastAsia" w:hAnsiTheme="minorEastAsia" w:cs="宋体" w:hint="eastAsia"/>
          <w:color w:val="333333"/>
          <w:kern w:val="0"/>
          <w:szCs w:val="21"/>
        </w:rPr>
        <w:t>表。</w:t>
      </w:r>
    </w:p>
    <w:tbl>
      <w:tblPr>
        <w:tblW w:w="4471" w:type="pct"/>
        <w:jc w:val="center"/>
        <w:tblLook w:val="04A0"/>
      </w:tblPr>
      <w:tblGrid>
        <w:gridCol w:w="675"/>
        <w:gridCol w:w="6945"/>
      </w:tblGrid>
      <w:tr w:rsidR="00281B70" w:rsidRPr="00281B70" w:rsidTr="00B55F67">
        <w:trPr>
          <w:trHeight w:val="270"/>
          <w:jc w:val="center"/>
        </w:trPr>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b/>
                <w:bCs/>
                <w:color w:val="000000"/>
                <w:kern w:val="0"/>
                <w:szCs w:val="21"/>
              </w:rPr>
            </w:pPr>
            <w:r w:rsidRPr="00281B70">
              <w:rPr>
                <w:rFonts w:ascii="宋体" w:eastAsia="宋体" w:hAnsi="宋体" w:cs="宋体" w:hint="eastAsia"/>
                <w:b/>
                <w:bCs/>
                <w:color w:val="000000"/>
                <w:kern w:val="0"/>
                <w:szCs w:val="21"/>
              </w:rPr>
              <w:t>序号</w:t>
            </w:r>
          </w:p>
        </w:tc>
        <w:tc>
          <w:tcPr>
            <w:tcW w:w="4557" w:type="pct"/>
            <w:tcBorders>
              <w:top w:val="single" w:sz="4" w:space="0" w:color="000000"/>
              <w:left w:val="nil"/>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b/>
                <w:bCs/>
                <w:color w:val="000000"/>
                <w:kern w:val="0"/>
                <w:szCs w:val="21"/>
              </w:rPr>
            </w:pPr>
            <w:r w:rsidRPr="00281B70">
              <w:rPr>
                <w:rFonts w:ascii="宋体" w:eastAsia="宋体" w:hAnsi="宋体" w:cs="宋体" w:hint="eastAsia"/>
                <w:b/>
                <w:bCs/>
                <w:color w:val="000000"/>
                <w:kern w:val="0"/>
                <w:szCs w:val="21"/>
              </w:rPr>
              <w:t>基金全称</w:t>
            </w:r>
          </w:p>
        </w:tc>
      </w:tr>
      <w:tr w:rsidR="00281B70" w:rsidRPr="00281B70" w:rsidTr="00B55F67">
        <w:trPr>
          <w:trHeight w:val="480"/>
          <w:jc w:val="center"/>
        </w:trPr>
        <w:tc>
          <w:tcPr>
            <w:tcW w:w="443" w:type="pct"/>
            <w:tcBorders>
              <w:top w:val="nil"/>
              <w:left w:val="single" w:sz="4" w:space="0" w:color="000000"/>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color w:val="000000"/>
                <w:kern w:val="0"/>
                <w:szCs w:val="21"/>
              </w:rPr>
              <w:t>1</w:t>
            </w:r>
          </w:p>
        </w:tc>
        <w:tc>
          <w:tcPr>
            <w:tcW w:w="4557" w:type="pct"/>
            <w:tcBorders>
              <w:top w:val="nil"/>
              <w:left w:val="nil"/>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中科沃土沃鑫成长精选灵活配置混合型发起式证券投资基金</w:t>
            </w:r>
          </w:p>
        </w:tc>
      </w:tr>
      <w:tr w:rsidR="00281B70" w:rsidRPr="00281B70" w:rsidTr="00B55F67">
        <w:trPr>
          <w:trHeight w:val="480"/>
          <w:jc w:val="center"/>
        </w:trPr>
        <w:tc>
          <w:tcPr>
            <w:tcW w:w="443" w:type="pct"/>
            <w:tcBorders>
              <w:top w:val="nil"/>
              <w:left w:val="single" w:sz="4" w:space="0" w:color="000000"/>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2</w:t>
            </w:r>
          </w:p>
        </w:tc>
        <w:tc>
          <w:tcPr>
            <w:tcW w:w="4557" w:type="pct"/>
            <w:tcBorders>
              <w:top w:val="nil"/>
              <w:left w:val="nil"/>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中科沃土转型升级灵活配置混合型证券投资基金</w:t>
            </w:r>
          </w:p>
        </w:tc>
      </w:tr>
      <w:tr w:rsidR="00281B70" w:rsidRPr="00281B70" w:rsidTr="00B55F67">
        <w:trPr>
          <w:trHeight w:val="480"/>
          <w:jc w:val="center"/>
        </w:trPr>
        <w:tc>
          <w:tcPr>
            <w:tcW w:w="443" w:type="pct"/>
            <w:tcBorders>
              <w:top w:val="nil"/>
              <w:left w:val="single" w:sz="4" w:space="0" w:color="000000"/>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3</w:t>
            </w:r>
          </w:p>
        </w:tc>
        <w:tc>
          <w:tcPr>
            <w:tcW w:w="4557" w:type="pct"/>
            <w:tcBorders>
              <w:top w:val="nil"/>
              <w:left w:val="nil"/>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中科沃土沃嘉灵活配置混合型证券投资基金</w:t>
            </w:r>
          </w:p>
        </w:tc>
      </w:tr>
      <w:tr w:rsidR="00281B70" w:rsidRPr="00281B70" w:rsidTr="00B55F67">
        <w:trPr>
          <w:trHeight w:val="480"/>
          <w:jc w:val="center"/>
        </w:trPr>
        <w:tc>
          <w:tcPr>
            <w:tcW w:w="443" w:type="pct"/>
            <w:tcBorders>
              <w:top w:val="nil"/>
              <w:left w:val="single" w:sz="4" w:space="0" w:color="000000"/>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4</w:t>
            </w:r>
          </w:p>
        </w:tc>
        <w:tc>
          <w:tcPr>
            <w:tcW w:w="4557" w:type="pct"/>
            <w:tcBorders>
              <w:top w:val="nil"/>
              <w:left w:val="nil"/>
              <w:bottom w:val="single" w:sz="4" w:space="0" w:color="000000"/>
              <w:right w:val="single" w:sz="4" w:space="0" w:color="000000"/>
            </w:tcBorders>
            <w:shd w:val="clear" w:color="auto" w:fill="auto"/>
            <w:vAlign w:val="center"/>
            <w:hideMark/>
          </w:tcPr>
          <w:p w:rsidR="00281B70" w:rsidRPr="00281B70" w:rsidRDefault="00281B70" w:rsidP="00677270">
            <w:pPr>
              <w:widowControl/>
              <w:jc w:val="center"/>
              <w:rPr>
                <w:rFonts w:ascii="宋体" w:eastAsia="宋体" w:hAnsi="宋体" w:cs="宋体"/>
                <w:color w:val="000000"/>
                <w:kern w:val="0"/>
                <w:szCs w:val="21"/>
              </w:rPr>
            </w:pPr>
            <w:r w:rsidRPr="00281B70">
              <w:rPr>
                <w:rFonts w:ascii="宋体" w:eastAsia="宋体" w:hAnsi="宋体" w:cs="宋体" w:hint="eastAsia"/>
                <w:color w:val="000000"/>
                <w:kern w:val="0"/>
                <w:szCs w:val="21"/>
              </w:rPr>
              <w:t>中科沃土沃瑞灵活配置混合型发起式证券投资基金</w:t>
            </w:r>
          </w:p>
        </w:tc>
      </w:tr>
    </w:tbl>
    <w:p w:rsidR="00D37FFE" w:rsidRDefault="00D37FFE" w:rsidP="00677270">
      <w:pPr>
        <w:widowControl/>
        <w:shd w:val="clear" w:color="auto" w:fill="FFFFFF"/>
        <w:spacing w:before="150" w:after="150"/>
        <w:jc w:val="left"/>
        <w:outlineLvl w:val="3"/>
        <w:rPr>
          <w:rFonts w:asciiTheme="minorEastAsia" w:hAnsiTheme="minorEastAsia" w:cs="宋体"/>
          <w:b/>
          <w:bCs/>
          <w:color w:val="333333"/>
          <w:kern w:val="0"/>
          <w:szCs w:val="21"/>
        </w:rPr>
      </w:pPr>
    </w:p>
    <w:p w:rsidR="001A0DF9" w:rsidRPr="001A0DF9" w:rsidRDefault="001A0DF9" w:rsidP="00677270">
      <w:pPr>
        <w:widowControl/>
        <w:shd w:val="clear" w:color="auto" w:fill="FFFFFF"/>
        <w:spacing w:before="150" w:after="150"/>
        <w:jc w:val="left"/>
        <w:outlineLvl w:val="3"/>
        <w:rPr>
          <w:rFonts w:asciiTheme="minorEastAsia" w:hAnsiTheme="minorEastAsia" w:cs="宋体"/>
          <w:b/>
          <w:bCs/>
          <w:color w:val="333333"/>
          <w:kern w:val="0"/>
          <w:szCs w:val="21"/>
        </w:rPr>
      </w:pPr>
      <w:r w:rsidRPr="001A0DF9">
        <w:rPr>
          <w:rFonts w:asciiTheme="minorEastAsia" w:hAnsiTheme="minorEastAsia" w:cs="宋体" w:hint="eastAsia"/>
          <w:b/>
          <w:bCs/>
          <w:color w:val="333333"/>
          <w:kern w:val="0"/>
          <w:szCs w:val="21"/>
        </w:rPr>
        <w:t>二、基金合同和托管协议修订内容</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1.基金合同具体修订内容包括：</w:t>
      </w:r>
    </w:p>
    <w:p w:rsidR="00FE7924"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（1）“投资范围”部分明确了“股票”包含存托凭证，以</w:t>
      </w:r>
      <w:r w:rsidR="00FE7924">
        <w:rPr>
          <w:rFonts w:asciiTheme="minorEastAsia" w:hAnsiTheme="minorEastAsia" w:cs="宋体" w:hint="eastAsia"/>
          <w:color w:val="333333"/>
          <w:kern w:val="0"/>
          <w:szCs w:val="21"/>
        </w:rPr>
        <w:t>中科沃土沃鑫成长精选灵活配置混合型发起式证券投资基金</w:t>
      </w:r>
      <w:r w:rsidRPr="001A0DF9">
        <w:rPr>
          <w:rFonts w:asciiTheme="minorEastAsia" w:hAnsiTheme="minorEastAsia" w:cs="宋体" w:hint="eastAsia"/>
          <w:color w:val="333333"/>
          <w:kern w:val="0"/>
          <w:szCs w:val="21"/>
        </w:rPr>
        <w:t>为例，投资范围修改为：“</w:t>
      </w:r>
      <w:r w:rsidR="00C64BE0" w:rsidRPr="003F4C4E">
        <w:rPr>
          <w:rFonts w:asciiTheme="minorEastAsia" w:hAnsiTheme="minorEastAsia" w:cs="宋体"/>
          <w:color w:val="333333"/>
          <w:kern w:val="0"/>
          <w:szCs w:val="21"/>
        </w:rPr>
        <w:t>本基金的投资范围为具有良好流动性的金融工具，包括国内依法发行上市的股票</w:t>
      </w:r>
      <w:r w:rsidR="00C64BE0" w:rsidRPr="003F4C4E">
        <w:rPr>
          <w:rFonts w:asciiTheme="minorEastAsia" w:hAnsiTheme="minorEastAsia" w:cs="宋体" w:hint="eastAsia"/>
          <w:color w:val="333333"/>
          <w:kern w:val="0"/>
          <w:szCs w:val="21"/>
        </w:rPr>
        <w:t>（含主板、中小板、创业板、</w:t>
      </w:r>
      <w:r w:rsidR="00C64BE0" w:rsidRPr="003F4C4E">
        <w:rPr>
          <w:rFonts w:asciiTheme="minorEastAsia" w:hAnsiTheme="minorEastAsia" w:cs="宋体"/>
          <w:color w:val="333333"/>
          <w:kern w:val="0"/>
          <w:szCs w:val="21"/>
        </w:rPr>
        <w:t>存托凭证</w:t>
      </w:r>
      <w:r w:rsidR="00C64BE0" w:rsidRPr="003F4C4E">
        <w:rPr>
          <w:rFonts w:asciiTheme="minorEastAsia" w:hAnsiTheme="minorEastAsia" w:cs="宋体" w:hint="eastAsia"/>
          <w:color w:val="333333"/>
          <w:kern w:val="0"/>
          <w:szCs w:val="21"/>
        </w:rPr>
        <w:t>及其他经中国证监会核准上市的股票等）</w:t>
      </w:r>
      <w:r w:rsidR="00C64BE0" w:rsidRPr="003F4C4E">
        <w:rPr>
          <w:rFonts w:asciiTheme="minorEastAsia" w:hAnsiTheme="minorEastAsia" w:cs="宋体"/>
          <w:color w:val="333333"/>
          <w:kern w:val="0"/>
          <w:szCs w:val="21"/>
        </w:rPr>
        <w:t>、债券（包括国内依法发行和上市交易的国债、金融债、企业债、公司债、次级债、可转换债券、分离交易可转债、中小企业私募债</w:t>
      </w:r>
      <w:r w:rsidR="00C64BE0" w:rsidRPr="003F4C4E">
        <w:rPr>
          <w:rFonts w:asciiTheme="minorEastAsia" w:hAnsiTheme="minorEastAsia" w:cs="宋体" w:hint="eastAsia"/>
          <w:color w:val="333333"/>
          <w:kern w:val="0"/>
          <w:szCs w:val="21"/>
        </w:rPr>
        <w:t>、</w:t>
      </w:r>
      <w:r w:rsidR="00C64BE0" w:rsidRPr="003F4C4E">
        <w:rPr>
          <w:rFonts w:asciiTheme="minorEastAsia" w:hAnsiTheme="minorEastAsia" w:cs="宋体"/>
          <w:color w:val="333333"/>
          <w:kern w:val="0"/>
          <w:szCs w:val="21"/>
        </w:rPr>
        <w:t>央行票据、中期票据、短期融资券以及经法律法规或中国证监会允许投资的其他债券类金融工具）</w:t>
      </w:r>
      <w:r w:rsidR="00C64BE0" w:rsidRPr="003F4C4E">
        <w:rPr>
          <w:rFonts w:asciiTheme="minorEastAsia" w:hAnsiTheme="minorEastAsia" w:cs="宋体" w:hint="eastAsia"/>
          <w:color w:val="333333"/>
          <w:kern w:val="0"/>
          <w:szCs w:val="21"/>
        </w:rPr>
        <w:t>权证、股指期货、国债期货</w:t>
      </w:r>
      <w:r w:rsidR="00C64BE0" w:rsidRPr="003F4C4E">
        <w:rPr>
          <w:rFonts w:asciiTheme="minorEastAsia" w:hAnsiTheme="minorEastAsia" w:cs="宋体"/>
          <w:color w:val="333333"/>
          <w:kern w:val="0"/>
          <w:szCs w:val="21"/>
        </w:rPr>
        <w:t>、</w:t>
      </w:r>
      <w:r w:rsidR="00C64BE0" w:rsidRPr="003F4C4E">
        <w:rPr>
          <w:rFonts w:asciiTheme="minorEastAsia" w:hAnsiTheme="minorEastAsia" w:cs="宋体" w:hint="eastAsia"/>
          <w:color w:val="333333"/>
          <w:kern w:val="0"/>
          <w:szCs w:val="21"/>
        </w:rPr>
        <w:t>资产支持证券、货币市场工具</w:t>
      </w:r>
      <w:r w:rsidR="00C64BE0" w:rsidRPr="003F4C4E">
        <w:rPr>
          <w:rFonts w:asciiTheme="minorEastAsia" w:hAnsiTheme="minorEastAsia" w:cs="宋体"/>
          <w:color w:val="333333"/>
          <w:kern w:val="0"/>
          <w:szCs w:val="21"/>
        </w:rPr>
        <w:t>以及法律法规或中国证监会允许基金投资的其他金融工具</w:t>
      </w:r>
      <w:r w:rsidR="00FE7924">
        <w:rPr>
          <w:rFonts w:asciiTheme="minorEastAsia" w:hAnsiTheme="minorEastAsia" w:cs="宋体" w:hint="eastAsia"/>
          <w:color w:val="333333"/>
          <w:kern w:val="0"/>
          <w:szCs w:val="21"/>
        </w:rPr>
        <w:t xml:space="preserve"> </w:t>
      </w:r>
      <w:r w:rsidRPr="001A0DF9">
        <w:rPr>
          <w:rFonts w:asciiTheme="minorEastAsia" w:hAnsiTheme="minorEastAsia" w:cs="宋体" w:hint="eastAsia"/>
          <w:color w:val="333333"/>
          <w:kern w:val="0"/>
          <w:szCs w:val="21"/>
        </w:rPr>
        <w:t>”</w:t>
      </w:r>
      <w:r w:rsidR="00FE7924">
        <w:rPr>
          <w:rFonts w:asciiTheme="minorEastAsia" w:hAnsiTheme="minorEastAsia" w:cs="宋体" w:hint="eastAsia"/>
          <w:color w:val="333333"/>
          <w:kern w:val="0"/>
          <w:szCs w:val="21"/>
        </w:rPr>
        <w:t>。</w:t>
      </w:r>
    </w:p>
    <w:p w:rsidR="001A0DF9" w:rsidRPr="001A0DF9" w:rsidRDefault="001A0DF9" w:rsidP="00D37FFE">
      <w:pPr>
        <w:spacing w:line="360" w:lineRule="auto"/>
        <w:ind w:firstLineChars="200" w:firstLine="420"/>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lastRenderedPageBreak/>
        <w:t>（2）“投资策略”部分增加存托凭证投资策略。</w:t>
      </w:r>
      <w:r w:rsidR="00FE7924" w:rsidRPr="001A0DF9">
        <w:rPr>
          <w:rFonts w:asciiTheme="minorEastAsia" w:hAnsiTheme="minorEastAsia" w:cs="宋体" w:hint="eastAsia"/>
          <w:color w:val="333333"/>
          <w:kern w:val="0"/>
          <w:szCs w:val="21"/>
        </w:rPr>
        <w:t>以</w:t>
      </w:r>
      <w:r w:rsidR="00FE7924">
        <w:rPr>
          <w:rFonts w:asciiTheme="minorEastAsia" w:hAnsiTheme="minorEastAsia" w:cs="宋体" w:hint="eastAsia"/>
          <w:color w:val="333333"/>
          <w:kern w:val="0"/>
          <w:szCs w:val="21"/>
        </w:rPr>
        <w:t>中科沃土沃鑫成长精选灵活配置混合型发起式证券投资基金</w:t>
      </w:r>
      <w:r w:rsidR="00FE7924" w:rsidRPr="001A0DF9">
        <w:rPr>
          <w:rFonts w:asciiTheme="minorEastAsia" w:hAnsiTheme="minorEastAsia" w:cs="宋体" w:hint="eastAsia"/>
          <w:color w:val="333333"/>
          <w:kern w:val="0"/>
          <w:szCs w:val="21"/>
        </w:rPr>
        <w:t>为例</w:t>
      </w:r>
      <w:r w:rsidR="00FE7924">
        <w:rPr>
          <w:rFonts w:asciiTheme="minorEastAsia" w:hAnsiTheme="minorEastAsia" w:cs="宋体" w:hint="eastAsia"/>
          <w:color w:val="333333"/>
          <w:kern w:val="0"/>
          <w:szCs w:val="21"/>
        </w:rPr>
        <w:t>，</w:t>
      </w:r>
      <w:r w:rsidRPr="001A0DF9">
        <w:rPr>
          <w:rFonts w:asciiTheme="minorEastAsia" w:hAnsiTheme="minorEastAsia" w:cs="宋体" w:hint="eastAsia"/>
          <w:color w:val="333333"/>
          <w:kern w:val="0"/>
          <w:szCs w:val="21"/>
        </w:rPr>
        <w:t>投资策略增加：“</w:t>
      </w:r>
      <w:r w:rsidR="00C64BE0" w:rsidRPr="003F4C4E">
        <w:rPr>
          <w:rFonts w:asciiTheme="minorEastAsia" w:hAnsiTheme="minorEastAsia" w:cs="宋体"/>
          <w:color w:val="333333"/>
          <w:kern w:val="0"/>
          <w:szCs w:val="21"/>
        </w:rPr>
        <w:t>对于存托凭证投资，本基金将在深入研究的基础上，通过定性分析和定量分析相结合的方式，精选出具有比较优势的存托凭证。</w:t>
      </w:r>
      <w:r w:rsidRPr="001A0DF9">
        <w:rPr>
          <w:rFonts w:asciiTheme="minorEastAsia" w:hAnsiTheme="minorEastAsia" w:cs="宋体" w:hint="eastAsia"/>
          <w:color w:val="333333"/>
          <w:kern w:val="0"/>
          <w:szCs w:val="21"/>
        </w:rPr>
        <w:t>”。</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（3）“投资限制”部分增加存托凭证投资限制如下：“</w:t>
      </w:r>
      <w:r w:rsidR="00C64BE0" w:rsidRPr="003F4C4E">
        <w:rPr>
          <w:rFonts w:asciiTheme="minorEastAsia" w:hAnsiTheme="minorEastAsia" w:cs="宋体"/>
          <w:color w:val="333333"/>
          <w:kern w:val="0"/>
          <w:szCs w:val="21"/>
        </w:rPr>
        <w:t>本基金投资存托凭证的比例限制依照境内上市交易的股票执行，与境内上市交易的股票合并计算。</w:t>
      </w:r>
      <w:r w:rsidRPr="001A0DF9">
        <w:rPr>
          <w:rFonts w:asciiTheme="minorEastAsia" w:hAnsiTheme="minorEastAsia" w:cs="宋体" w:hint="eastAsia"/>
          <w:color w:val="333333"/>
          <w:kern w:val="0"/>
          <w:szCs w:val="21"/>
        </w:rPr>
        <w:t>”</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（4）“估值”部分增加了存托凭证的估值方法：“</w:t>
      </w:r>
      <w:r w:rsidR="00C64BE0" w:rsidRPr="003F4C4E">
        <w:rPr>
          <w:rFonts w:asciiTheme="minorEastAsia" w:hAnsiTheme="minorEastAsia" w:cs="宋体" w:hint="eastAsia"/>
          <w:color w:val="333333"/>
          <w:kern w:val="0"/>
          <w:szCs w:val="21"/>
        </w:rPr>
        <w:t>本基金投资存托凭证的估值核算，依照境内上市交易的股票执行</w:t>
      </w:r>
      <w:r w:rsidRPr="001A0DF9">
        <w:rPr>
          <w:rFonts w:asciiTheme="minorEastAsia" w:hAnsiTheme="minorEastAsia" w:cs="宋体" w:hint="eastAsia"/>
          <w:color w:val="333333"/>
          <w:kern w:val="0"/>
          <w:szCs w:val="21"/>
        </w:rPr>
        <w:t>。”</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（5）基金管理人将在更新的招募说明书中揭示投资存托凭证的风险。</w:t>
      </w:r>
      <w:r w:rsidR="00C64BE0" w:rsidRPr="001A0DF9">
        <w:rPr>
          <w:rFonts w:asciiTheme="minorEastAsia" w:hAnsiTheme="minorEastAsia" w:cs="宋体" w:hint="eastAsia"/>
          <w:color w:val="333333"/>
          <w:kern w:val="0"/>
          <w:szCs w:val="21"/>
        </w:rPr>
        <w:t>风险提示内容</w:t>
      </w:r>
      <w:r w:rsidR="00C64BE0">
        <w:rPr>
          <w:rFonts w:asciiTheme="minorEastAsia" w:hAnsiTheme="minorEastAsia" w:cs="宋体" w:hint="eastAsia"/>
          <w:color w:val="333333"/>
          <w:kern w:val="0"/>
          <w:szCs w:val="21"/>
        </w:rPr>
        <w:t>如下</w:t>
      </w:r>
      <w:r w:rsidR="00C64BE0" w:rsidRPr="001A0DF9">
        <w:rPr>
          <w:rFonts w:asciiTheme="minorEastAsia" w:hAnsiTheme="minorEastAsia" w:cs="宋体" w:hint="eastAsia"/>
          <w:color w:val="333333"/>
          <w:kern w:val="0"/>
          <w:szCs w:val="21"/>
        </w:rPr>
        <w:t>：“</w:t>
      </w:r>
      <w:r w:rsidR="003F4C4E" w:rsidRPr="003F4C4E">
        <w:rPr>
          <w:rFonts w:asciiTheme="minorEastAsia" w:hAnsiTheme="minorEastAsia" w:cs="宋体" w:hint="eastAsia"/>
          <w:color w:val="333333"/>
          <w:kern w:val="0"/>
          <w:szCs w:val="21"/>
        </w:rPr>
        <w:t>本基金可投资存托凭证，基金净值可能受到存托凭证的境外基础证券价格波动影响，存托凭证的境外基础证券的相关风险可能直接或间接成为本基金的风险。”</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2. 托管协议涉及上述内容的条款已一并调整。</w:t>
      </w:r>
    </w:p>
    <w:p w:rsid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3. 本次修订对基金份额持有人利益无实质性不利影响，并已履行规定程序，符合相关法律法规及基金合同的规定。</w:t>
      </w:r>
    </w:p>
    <w:p w:rsidR="00D37FFE" w:rsidRPr="001A0DF9" w:rsidRDefault="00D37FFE"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p>
    <w:p w:rsidR="001A0DF9" w:rsidRPr="001A0DF9" w:rsidRDefault="001A0DF9" w:rsidP="00D37FFE">
      <w:pPr>
        <w:pStyle w:val="Default"/>
        <w:spacing w:line="360" w:lineRule="auto"/>
        <w:ind w:firstLineChars="200" w:firstLine="422"/>
      </w:pPr>
      <w:r w:rsidRPr="001A0DF9">
        <w:rPr>
          <w:rFonts w:asciiTheme="minorEastAsia" w:eastAsiaTheme="minorEastAsia" w:hAnsiTheme="minorEastAsia" w:cs="宋体" w:hint="eastAsia"/>
          <w:b/>
          <w:bCs/>
          <w:color w:val="333333"/>
          <w:sz w:val="21"/>
          <w:szCs w:val="21"/>
        </w:rPr>
        <w:t>三、上述基金合同、托管协议的修订事宜自2020年1</w:t>
      </w:r>
      <w:r w:rsidR="007C1CB0" w:rsidRPr="007C1CB0">
        <w:rPr>
          <w:rFonts w:asciiTheme="minorEastAsia" w:eastAsiaTheme="minorEastAsia" w:hAnsiTheme="minorEastAsia" w:cs="宋体" w:hint="eastAsia"/>
          <w:b/>
          <w:bCs/>
          <w:color w:val="333333"/>
          <w:sz w:val="21"/>
          <w:szCs w:val="21"/>
        </w:rPr>
        <w:t>1</w:t>
      </w:r>
      <w:r w:rsidRPr="001A0DF9">
        <w:rPr>
          <w:rFonts w:asciiTheme="minorEastAsia" w:eastAsiaTheme="minorEastAsia" w:hAnsiTheme="minorEastAsia" w:cs="宋体" w:hint="eastAsia"/>
          <w:b/>
          <w:bCs/>
          <w:color w:val="333333"/>
          <w:sz w:val="21"/>
          <w:szCs w:val="21"/>
        </w:rPr>
        <w:t>月</w:t>
      </w:r>
      <w:r w:rsidR="005C70B0" w:rsidRPr="007C1CB0">
        <w:rPr>
          <w:rFonts w:asciiTheme="minorEastAsia" w:eastAsiaTheme="minorEastAsia" w:hAnsiTheme="minorEastAsia" w:cs="宋体" w:hint="eastAsia"/>
          <w:b/>
          <w:bCs/>
          <w:color w:val="333333"/>
          <w:sz w:val="21"/>
          <w:szCs w:val="21"/>
        </w:rPr>
        <w:t>4</w:t>
      </w:r>
      <w:r w:rsidRPr="001A0DF9">
        <w:rPr>
          <w:rFonts w:asciiTheme="minorEastAsia" w:eastAsiaTheme="minorEastAsia" w:hAnsiTheme="minorEastAsia" w:cs="宋体" w:hint="eastAsia"/>
          <w:b/>
          <w:bCs/>
          <w:color w:val="333333"/>
          <w:sz w:val="21"/>
          <w:szCs w:val="21"/>
        </w:rPr>
        <w:t>日起生效，修订后的各基金基金合同、托管协议全文将与本公告同日登载于本公司网站（</w:t>
      </w:r>
      <w:r w:rsidR="00C8642E" w:rsidRPr="00C8642E">
        <w:rPr>
          <w:rFonts w:asciiTheme="minorEastAsia" w:eastAsiaTheme="minorEastAsia" w:hAnsiTheme="minorEastAsia" w:cs="宋体"/>
          <w:b/>
          <w:bCs/>
          <w:color w:val="333333"/>
          <w:sz w:val="21"/>
          <w:szCs w:val="21"/>
        </w:rPr>
        <w:t>www.richlandasm.com.cn</w:t>
      </w:r>
      <w:r w:rsidRPr="001A0DF9">
        <w:rPr>
          <w:rFonts w:asciiTheme="minorEastAsia" w:eastAsiaTheme="minorEastAsia" w:hAnsiTheme="minorEastAsia" w:cs="宋体" w:hint="eastAsia"/>
          <w:b/>
          <w:bCs/>
          <w:color w:val="333333"/>
          <w:sz w:val="21"/>
          <w:szCs w:val="21"/>
        </w:rPr>
        <w:t>）及中国证监会基金电子披露网站（http://eid.csrc.gov.cn/fund）。基金管理人届时</w:t>
      </w:r>
      <w:r w:rsidR="00C8642E" w:rsidRPr="001A0DF9">
        <w:rPr>
          <w:rFonts w:asciiTheme="minorEastAsia" w:eastAsiaTheme="minorEastAsia" w:hAnsiTheme="minorEastAsia" w:cs="宋体" w:hint="eastAsia"/>
          <w:b/>
          <w:bCs/>
          <w:color w:val="333333"/>
          <w:sz w:val="21"/>
          <w:szCs w:val="21"/>
        </w:rPr>
        <w:t>将</w:t>
      </w:r>
      <w:r w:rsidRPr="001A0DF9">
        <w:rPr>
          <w:rFonts w:asciiTheme="minorEastAsia" w:eastAsiaTheme="minorEastAsia" w:hAnsiTheme="minorEastAsia" w:cs="宋体" w:hint="eastAsia"/>
          <w:b/>
          <w:bCs/>
          <w:color w:val="333333"/>
          <w:sz w:val="21"/>
          <w:szCs w:val="21"/>
        </w:rPr>
        <w:t>更新各基金的招募说明书和基金产品资料概要相关内容。</w:t>
      </w:r>
    </w:p>
    <w:p w:rsidR="001A0DF9" w:rsidRPr="001A0DF9" w:rsidRDefault="001A0DF9" w:rsidP="00D37FFE">
      <w:pPr>
        <w:widowControl/>
        <w:shd w:val="clear" w:color="auto" w:fill="FFFFFF"/>
        <w:spacing w:before="540" w:after="150" w:line="360" w:lineRule="auto"/>
        <w:ind w:firstLineChars="200" w:firstLine="422"/>
        <w:jc w:val="left"/>
        <w:outlineLvl w:val="3"/>
        <w:rPr>
          <w:rFonts w:asciiTheme="minorEastAsia" w:hAnsiTheme="minorEastAsia" w:cs="宋体"/>
          <w:b/>
          <w:bCs/>
          <w:color w:val="333333"/>
          <w:kern w:val="0"/>
          <w:szCs w:val="21"/>
        </w:rPr>
      </w:pPr>
      <w:r w:rsidRPr="001A0DF9">
        <w:rPr>
          <w:rFonts w:asciiTheme="minorEastAsia" w:hAnsiTheme="minorEastAsia" w:cs="宋体" w:hint="eastAsia"/>
          <w:b/>
          <w:bCs/>
          <w:color w:val="333333"/>
          <w:kern w:val="0"/>
          <w:szCs w:val="21"/>
        </w:rPr>
        <w:t>四、其他事项</w:t>
      </w:r>
    </w:p>
    <w:p w:rsidR="001A0DF9" w:rsidRPr="001A0DF9" w:rsidRDefault="001A0DF9" w:rsidP="00D37FFE">
      <w:pPr>
        <w:widowControl/>
        <w:shd w:val="clear" w:color="auto" w:fill="FFFFFF"/>
        <w:spacing w:line="360" w:lineRule="auto"/>
        <w:ind w:firstLineChars="200" w:firstLine="422"/>
        <w:jc w:val="left"/>
        <w:outlineLvl w:val="4"/>
        <w:rPr>
          <w:rFonts w:asciiTheme="minorEastAsia" w:hAnsiTheme="minorEastAsia" w:cs="宋体"/>
          <w:b/>
          <w:bCs/>
          <w:color w:val="333333"/>
          <w:kern w:val="0"/>
          <w:szCs w:val="21"/>
        </w:rPr>
      </w:pPr>
      <w:r w:rsidRPr="001A0DF9">
        <w:rPr>
          <w:rFonts w:asciiTheme="minorEastAsia" w:hAnsiTheme="minorEastAsia" w:cs="宋体" w:hint="eastAsia"/>
          <w:b/>
          <w:bCs/>
          <w:color w:val="333333"/>
          <w:kern w:val="0"/>
          <w:szCs w:val="21"/>
        </w:rPr>
        <w:t>1．投资者可通过以下途径咨询有关详情</w:t>
      </w:r>
    </w:p>
    <w:p w:rsidR="00677270"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客户服务电话：</w:t>
      </w:r>
      <w:r w:rsidR="00C8642E" w:rsidRPr="00C8642E">
        <w:rPr>
          <w:rFonts w:asciiTheme="minorEastAsia" w:hAnsiTheme="minorEastAsia" w:cs="宋体"/>
          <w:color w:val="333333"/>
          <w:kern w:val="0"/>
          <w:szCs w:val="21"/>
        </w:rPr>
        <w:t>400-018-3610</w:t>
      </w:r>
    </w:p>
    <w:p w:rsidR="00D37FFE" w:rsidRPr="001A0DF9" w:rsidRDefault="00D37FFE"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p>
    <w:p w:rsidR="001A0DF9" w:rsidRPr="001A0DF9" w:rsidRDefault="001A0DF9" w:rsidP="00D37FFE">
      <w:pPr>
        <w:widowControl/>
        <w:shd w:val="clear" w:color="auto" w:fill="FFFFFF"/>
        <w:spacing w:line="360" w:lineRule="auto"/>
        <w:ind w:firstLineChars="200" w:firstLine="422"/>
        <w:jc w:val="left"/>
        <w:outlineLvl w:val="4"/>
        <w:rPr>
          <w:rFonts w:asciiTheme="minorEastAsia" w:hAnsiTheme="minorEastAsia" w:cs="宋体"/>
          <w:b/>
          <w:bCs/>
          <w:color w:val="333333"/>
          <w:kern w:val="0"/>
          <w:szCs w:val="21"/>
        </w:rPr>
      </w:pPr>
      <w:r w:rsidRPr="001A0DF9">
        <w:rPr>
          <w:rFonts w:asciiTheme="minorEastAsia" w:hAnsiTheme="minorEastAsia" w:cs="宋体" w:hint="eastAsia"/>
          <w:b/>
          <w:bCs/>
          <w:color w:val="333333"/>
          <w:kern w:val="0"/>
          <w:szCs w:val="21"/>
        </w:rPr>
        <w:t>2．风险提示：</w:t>
      </w:r>
    </w:p>
    <w:p w:rsidR="001A0DF9" w:rsidRPr="001A0DF9" w:rsidRDefault="001A0DF9" w:rsidP="00D37FFE">
      <w:pPr>
        <w:widowControl/>
        <w:shd w:val="clear" w:color="auto" w:fill="FFFFFF"/>
        <w:spacing w:before="240"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lastRenderedPageBreak/>
        <w:t>基金管理人承诺以诚实信用、勤勉尽责的原则管理和运用基金资产，但不保证基金一定盈利，也不保证最低收益。销售机构根据法规要求对投资者类别、风险承受能力</w:t>
      </w:r>
      <w:bookmarkStart w:id="0" w:name="_GoBack"/>
      <w:bookmarkEnd w:id="0"/>
      <w:r w:rsidRPr="001A0DF9">
        <w:rPr>
          <w:rFonts w:asciiTheme="minorEastAsia" w:hAnsiTheme="minorEastAsia" w:cs="宋体" w:hint="eastAsia"/>
          <w:color w:val="333333"/>
          <w:kern w:val="0"/>
          <w:szCs w:val="21"/>
        </w:rPr>
        <w:t>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00677270">
        <w:rPr>
          <w:rFonts w:asciiTheme="minorEastAsia" w:hAnsiTheme="minorEastAsia" w:cs="宋体" w:hint="eastAsia"/>
          <w:color w:val="333333"/>
          <w:kern w:val="0"/>
          <w:szCs w:val="21"/>
        </w:rPr>
        <w:t>卖者尽责，</w:t>
      </w:r>
      <w:r w:rsidRPr="001A0DF9">
        <w:rPr>
          <w:rFonts w:asciiTheme="minorEastAsia" w:hAnsiTheme="minorEastAsia" w:cs="宋体" w:hint="eastAsia"/>
          <w:color w:val="333333"/>
          <w:kern w:val="0"/>
          <w:szCs w:val="21"/>
        </w:rPr>
        <w:t>买者自负”原则，在投资者作出投资决策后，基金运营状况与基金净值变化引致的投资风险，由投资者自行负责。</w:t>
      </w:r>
    </w:p>
    <w:p w:rsidR="001A0DF9" w:rsidRPr="001A0DF9" w:rsidRDefault="001A0DF9" w:rsidP="00D37FFE">
      <w:pPr>
        <w:widowControl/>
        <w:shd w:val="clear" w:color="auto" w:fill="FFFFFF"/>
        <w:spacing w:before="555" w:line="360" w:lineRule="auto"/>
        <w:ind w:firstLineChars="200" w:firstLine="420"/>
        <w:jc w:val="left"/>
        <w:rPr>
          <w:rFonts w:asciiTheme="minorEastAsia" w:hAnsiTheme="minorEastAsia" w:cs="宋体"/>
          <w:color w:val="333333"/>
          <w:kern w:val="0"/>
          <w:szCs w:val="21"/>
        </w:rPr>
      </w:pPr>
      <w:r w:rsidRPr="001A0DF9">
        <w:rPr>
          <w:rFonts w:asciiTheme="minorEastAsia" w:hAnsiTheme="minorEastAsia" w:cs="宋体" w:hint="eastAsia"/>
          <w:color w:val="333333"/>
          <w:kern w:val="0"/>
          <w:szCs w:val="21"/>
        </w:rPr>
        <w:t>特此公告。</w:t>
      </w:r>
    </w:p>
    <w:p w:rsidR="001A0DF9" w:rsidRPr="001A0DF9" w:rsidRDefault="001A0DF9" w:rsidP="00677270">
      <w:pPr>
        <w:pStyle w:val="a3"/>
        <w:shd w:val="clear" w:color="auto" w:fill="FFFFFF"/>
        <w:spacing w:before="540" w:beforeAutospacing="0" w:after="0" w:afterAutospacing="0"/>
        <w:jc w:val="right"/>
        <w:rPr>
          <w:rFonts w:asciiTheme="minorEastAsia" w:eastAsiaTheme="minorEastAsia" w:hAnsiTheme="minorEastAsia"/>
          <w:color w:val="333333"/>
          <w:sz w:val="21"/>
          <w:szCs w:val="21"/>
        </w:rPr>
      </w:pPr>
      <w:r w:rsidRPr="001A0DF9">
        <w:rPr>
          <w:rFonts w:asciiTheme="minorEastAsia" w:eastAsiaTheme="minorEastAsia" w:hAnsiTheme="minorEastAsia" w:hint="eastAsia"/>
          <w:color w:val="333333"/>
          <w:sz w:val="21"/>
          <w:szCs w:val="21"/>
        </w:rPr>
        <w:t>中科沃土基金管理有限公司</w:t>
      </w:r>
    </w:p>
    <w:p w:rsidR="001A0DF9" w:rsidRPr="001A0DF9" w:rsidRDefault="001A0DF9" w:rsidP="00677270">
      <w:pPr>
        <w:pStyle w:val="a3"/>
        <w:shd w:val="clear" w:color="auto" w:fill="FFFFFF"/>
        <w:spacing w:before="240" w:beforeAutospacing="0" w:after="0" w:afterAutospacing="0"/>
        <w:jc w:val="right"/>
        <w:rPr>
          <w:rFonts w:asciiTheme="minorEastAsia" w:eastAsiaTheme="minorEastAsia" w:hAnsiTheme="minorEastAsia"/>
          <w:color w:val="333333"/>
          <w:sz w:val="21"/>
          <w:szCs w:val="21"/>
        </w:rPr>
      </w:pPr>
      <w:r w:rsidRPr="001A0DF9">
        <w:rPr>
          <w:rFonts w:asciiTheme="minorEastAsia" w:eastAsiaTheme="minorEastAsia" w:hAnsiTheme="minorEastAsia" w:hint="eastAsia"/>
          <w:color w:val="333333"/>
          <w:sz w:val="21"/>
          <w:szCs w:val="21"/>
        </w:rPr>
        <w:t>2020年11月</w:t>
      </w:r>
      <w:r w:rsidR="00EA1391">
        <w:rPr>
          <w:rFonts w:asciiTheme="minorEastAsia" w:eastAsiaTheme="minorEastAsia" w:hAnsiTheme="minorEastAsia" w:hint="eastAsia"/>
          <w:color w:val="333333"/>
          <w:sz w:val="21"/>
          <w:szCs w:val="21"/>
        </w:rPr>
        <w:t>4</w:t>
      </w:r>
      <w:r w:rsidRPr="001A0DF9">
        <w:rPr>
          <w:rFonts w:asciiTheme="minorEastAsia" w:eastAsiaTheme="minorEastAsia" w:hAnsiTheme="minorEastAsia" w:hint="eastAsia"/>
          <w:color w:val="333333"/>
          <w:sz w:val="21"/>
          <w:szCs w:val="21"/>
        </w:rPr>
        <w:t>日</w:t>
      </w:r>
    </w:p>
    <w:p w:rsidR="00DC782A" w:rsidRPr="001A0DF9" w:rsidRDefault="00DC782A" w:rsidP="00677270">
      <w:pPr>
        <w:rPr>
          <w:rFonts w:asciiTheme="minorEastAsia" w:hAnsiTheme="minorEastAsia"/>
          <w:szCs w:val="21"/>
        </w:rPr>
      </w:pPr>
    </w:p>
    <w:sectPr w:rsidR="00DC782A" w:rsidRPr="001A0DF9" w:rsidSect="00A37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05" w:rsidRDefault="00653005" w:rsidP="005C70B0">
      <w:r>
        <w:separator/>
      </w:r>
    </w:p>
  </w:endnote>
  <w:endnote w:type="continuationSeparator" w:id="0">
    <w:p w:rsidR="00653005" w:rsidRDefault="00653005" w:rsidP="005C7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壵礏.瀍.">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05" w:rsidRDefault="00653005" w:rsidP="005C70B0">
      <w:r>
        <w:separator/>
      </w:r>
    </w:p>
  </w:footnote>
  <w:footnote w:type="continuationSeparator" w:id="0">
    <w:p w:rsidR="00653005" w:rsidRDefault="00653005" w:rsidP="005C7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DF9"/>
    <w:rsid w:val="0007490C"/>
    <w:rsid w:val="001A0DF9"/>
    <w:rsid w:val="00281B70"/>
    <w:rsid w:val="00386987"/>
    <w:rsid w:val="003F4C4E"/>
    <w:rsid w:val="004E4AC7"/>
    <w:rsid w:val="005370DD"/>
    <w:rsid w:val="00557A40"/>
    <w:rsid w:val="005C70B0"/>
    <w:rsid w:val="005E30CD"/>
    <w:rsid w:val="00653005"/>
    <w:rsid w:val="00677270"/>
    <w:rsid w:val="00716AF4"/>
    <w:rsid w:val="007C1CB0"/>
    <w:rsid w:val="00802510"/>
    <w:rsid w:val="0091138D"/>
    <w:rsid w:val="00A37602"/>
    <w:rsid w:val="00C64BE0"/>
    <w:rsid w:val="00C8642E"/>
    <w:rsid w:val="00D37FFE"/>
    <w:rsid w:val="00DC782A"/>
    <w:rsid w:val="00EA1391"/>
    <w:rsid w:val="00FE7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02"/>
    <w:pPr>
      <w:widowControl w:val="0"/>
      <w:jc w:val="both"/>
    </w:pPr>
  </w:style>
  <w:style w:type="paragraph" w:styleId="4">
    <w:name w:val="heading 4"/>
    <w:basedOn w:val="a"/>
    <w:link w:val="4Char"/>
    <w:uiPriority w:val="9"/>
    <w:qFormat/>
    <w:rsid w:val="001A0DF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A0DF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DF9"/>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1A0DF9"/>
    <w:rPr>
      <w:rFonts w:ascii="宋体" w:eastAsia="宋体" w:hAnsi="宋体" w:cs="宋体"/>
      <w:b/>
      <w:bCs/>
      <w:kern w:val="0"/>
      <w:sz w:val="24"/>
      <w:szCs w:val="24"/>
    </w:rPr>
  </w:style>
  <w:style w:type="character" w:customStyle="1" w:styleId="5Char">
    <w:name w:val="标题 5 Char"/>
    <w:basedOn w:val="a0"/>
    <w:link w:val="5"/>
    <w:uiPriority w:val="9"/>
    <w:rsid w:val="001A0DF9"/>
    <w:rPr>
      <w:rFonts w:ascii="宋体" w:eastAsia="宋体" w:hAnsi="宋体" w:cs="宋体"/>
      <w:b/>
      <w:bCs/>
      <w:kern w:val="0"/>
      <w:sz w:val="20"/>
      <w:szCs w:val="20"/>
    </w:rPr>
  </w:style>
  <w:style w:type="paragraph" w:styleId="a4">
    <w:name w:val="header"/>
    <w:basedOn w:val="a"/>
    <w:link w:val="Char"/>
    <w:uiPriority w:val="99"/>
    <w:unhideWhenUsed/>
    <w:rsid w:val="005C7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70B0"/>
    <w:rPr>
      <w:sz w:val="18"/>
      <w:szCs w:val="18"/>
    </w:rPr>
  </w:style>
  <w:style w:type="paragraph" w:styleId="a5">
    <w:name w:val="footer"/>
    <w:basedOn w:val="a"/>
    <w:link w:val="Char0"/>
    <w:uiPriority w:val="99"/>
    <w:unhideWhenUsed/>
    <w:rsid w:val="005C70B0"/>
    <w:pPr>
      <w:tabs>
        <w:tab w:val="center" w:pos="4153"/>
        <w:tab w:val="right" w:pos="8306"/>
      </w:tabs>
      <w:snapToGrid w:val="0"/>
      <w:jc w:val="left"/>
    </w:pPr>
    <w:rPr>
      <w:sz w:val="18"/>
      <w:szCs w:val="18"/>
    </w:rPr>
  </w:style>
  <w:style w:type="character" w:customStyle="1" w:styleId="Char0">
    <w:name w:val="页脚 Char"/>
    <w:basedOn w:val="a0"/>
    <w:link w:val="a5"/>
    <w:uiPriority w:val="99"/>
    <w:rsid w:val="005C70B0"/>
    <w:rPr>
      <w:sz w:val="18"/>
      <w:szCs w:val="18"/>
    </w:rPr>
  </w:style>
  <w:style w:type="paragraph" w:customStyle="1" w:styleId="Default">
    <w:name w:val="Default"/>
    <w:rsid w:val="00C8642E"/>
    <w:pPr>
      <w:widowControl w:val="0"/>
      <w:autoSpaceDE w:val="0"/>
      <w:autoSpaceDN w:val="0"/>
      <w:adjustRightInd w:val="0"/>
    </w:pPr>
    <w:rPr>
      <w:rFonts w:ascii="宋体壵礏.瀍." w:eastAsia="宋体壵礏.瀍." w:cs="宋体壵礏.瀍."/>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1A0DF9"/>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A0DF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DF9"/>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1A0DF9"/>
    <w:rPr>
      <w:rFonts w:ascii="宋体" w:eastAsia="宋体" w:hAnsi="宋体" w:cs="宋体"/>
      <w:b/>
      <w:bCs/>
      <w:kern w:val="0"/>
      <w:sz w:val="24"/>
      <w:szCs w:val="24"/>
    </w:rPr>
  </w:style>
  <w:style w:type="character" w:customStyle="1" w:styleId="5Char">
    <w:name w:val="标题 5 Char"/>
    <w:basedOn w:val="a0"/>
    <w:link w:val="5"/>
    <w:uiPriority w:val="9"/>
    <w:rsid w:val="001A0DF9"/>
    <w:rPr>
      <w:rFonts w:ascii="宋体" w:eastAsia="宋体" w:hAnsi="宋体" w:cs="宋体"/>
      <w:b/>
      <w:bCs/>
      <w:kern w:val="0"/>
      <w:sz w:val="20"/>
      <w:szCs w:val="20"/>
    </w:rPr>
  </w:style>
  <w:style w:type="paragraph" w:styleId="a4">
    <w:name w:val="header"/>
    <w:basedOn w:val="a"/>
    <w:link w:val="Char"/>
    <w:uiPriority w:val="99"/>
    <w:unhideWhenUsed/>
    <w:rsid w:val="005C7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70B0"/>
    <w:rPr>
      <w:sz w:val="18"/>
      <w:szCs w:val="18"/>
    </w:rPr>
  </w:style>
  <w:style w:type="paragraph" w:styleId="a5">
    <w:name w:val="footer"/>
    <w:basedOn w:val="a"/>
    <w:link w:val="Char0"/>
    <w:uiPriority w:val="99"/>
    <w:unhideWhenUsed/>
    <w:rsid w:val="005C70B0"/>
    <w:pPr>
      <w:tabs>
        <w:tab w:val="center" w:pos="4153"/>
        <w:tab w:val="right" w:pos="8306"/>
      </w:tabs>
      <w:snapToGrid w:val="0"/>
      <w:jc w:val="left"/>
    </w:pPr>
    <w:rPr>
      <w:sz w:val="18"/>
      <w:szCs w:val="18"/>
    </w:rPr>
  </w:style>
  <w:style w:type="character" w:customStyle="1" w:styleId="Char0">
    <w:name w:val="页脚 Char"/>
    <w:basedOn w:val="a0"/>
    <w:link w:val="a5"/>
    <w:uiPriority w:val="99"/>
    <w:rsid w:val="005C70B0"/>
    <w:rPr>
      <w:sz w:val="18"/>
      <w:szCs w:val="18"/>
    </w:rPr>
  </w:style>
  <w:style w:type="paragraph" w:customStyle="1" w:styleId="Default">
    <w:name w:val="Default"/>
    <w:rsid w:val="00C8642E"/>
    <w:pPr>
      <w:widowControl w:val="0"/>
      <w:autoSpaceDE w:val="0"/>
      <w:autoSpaceDN w:val="0"/>
      <w:adjustRightInd w:val="0"/>
    </w:pPr>
    <w:rPr>
      <w:rFonts w:ascii="宋体壵礏.瀍." w:eastAsia="宋体壵礏.瀍." w:cs="宋体壵礏.瀍."/>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4452702">
      <w:bodyDiv w:val="1"/>
      <w:marLeft w:val="0"/>
      <w:marRight w:val="0"/>
      <w:marTop w:val="0"/>
      <w:marBottom w:val="0"/>
      <w:divBdr>
        <w:top w:val="none" w:sz="0" w:space="0" w:color="auto"/>
        <w:left w:val="none" w:sz="0" w:space="0" w:color="auto"/>
        <w:bottom w:val="none" w:sz="0" w:space="0" w:color="auto"/>
        <w:right w:val="none" w:sz="0" w:space="0" w:color="auto"/>
      </w:divBdr>
    </w:div>
    <w:div w:id="59443487">
      <w:bodyDiv w:val="1"/>
      <w:marLeft w:val="0"/>
      <w:marRight w:val="0"/>
      <w:marTop w:val="0"/>
      <w:marBottom w:val="0"/>
      <w:divBdr>
        <w:top w:val="none" w:sz="0" w:space="0" w:color="auto"/>
        <w:left w:val="none" w:sz="0" w:space="0" w:color="auto"/>
        <w:bottom w:val="none" w:sz="0" w:space="0" w:color="auto"/>
        <w:right w:val="none" w:sz="0" w:space="0" w:color="auto"/>
      </w:divBdr>
    </w:div>
    <w:div w:id="18095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1482</Characters>
  <Application>Microsoft Office Word</Application>
  <DocSecurity>4</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caiyaoting</dc:creator>
  <cp:lastModifiedBy>ZHONGM</cp:lastModifiedBy>
  <cp:revision>2</cp:revision>
  <dcterms:created xsi:type="dcterms:W3CDTF">2020-11-03T16:02:00Z</dcterms:created>
  <dcterms:modified xsi:type="dcterms:W3CDTF">2020-11-03T16:02:00Z</dcterms:modified>
</cp:coreProperties>
</file>