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76" w:rsidRDefault="00060897" w:rsidP="0009611E">
      <w:pPr>
        <w:jc w:val="center"/>
        <w:rPr>
          <w:rFonts w:ascii="宋体" w:eastAsia="宋体" w:hAnsi="宋体"/>
          <w:b/>
          <w:sz w:val="24"/>
          <w:szCs w:val="24"/>
        </w:rPr>
      </w:pPr>
      <w:r w:rsidRPr="0009611E">
        <w:rPr>
          <w:rFonts w:ascii="宋体" w:eastAsia="宋体" w:hAnsi="宋体" w:hint="eastAsia"/>
          <w:b/>
          <w:sz w:val="24"/>
          <w:szCs w:val="24"/>
        </w:rPr>
        <w:t>泰达宏利基金管理有限公司</w:t>
      </w:r>
    </w:p>
    <w:p w:rsidR="00060897" w:rsidRPr="0009611E" w:rsidRDefault="00060897" w:rsidP="0009611E">
      <w:pPr>
        <w:jc w:val="center"/>
        <w:rPr>
          <w:rFonts w:ascii="宋体" w:eastAsia="宋体" w:hAnsi="宋体"/>
          <w:b/>
          <w:sz w:val="24"/>
          <w:szCs w:val="24"/>
        </w:rPr>
      </w:pPr>
      <w:r w:rsidRPr="0009611E">
        <w:rPr>
          <w:rFonts w:ascii="宋体" w:eastAsia="宋体" w:hAnsi="宋体" w:hint="eastAsia"/>
          <w:b/>
          <w:sz w:val="24"/>
          <w:szCs w:val="24"/>
        </w:rPr>
        <w:t>关于旗下中国银行股份有限公司托管的基金</w:t>
      </w:r>
      <w:r w:rsidRPr="0009611E">
        <w:rPr>
          <w:rFonts w:ascii="宋体" w:eastAsia="宋体" w:hAnsi="宋体"/>
          <w:b/>
          <w:sz w:val="24"/>
          <w:szCs w:val="24"/>
        </w:rPr>
        <w:t>关联交易的公告</w:t>
      </w:r>
    </w:p>
    <w:p w:rsidR="00060897" w:rsidRPr="0009611E" w:rsidRDefault="00060897" w:rsidP="00060897">
      <w:pPr>
        <w:rPr>
          <w:rFonts w:ascii="宋体" w:eastAsia="宋体" w:hAnsi="宋体"/>
          <w:sz w:val="24"/>
          <w:szCs w:val="24"/>
        </w:rPr>
      </w:pPr>
    </w:p>
    <w:p w:rsidR="00060897" w:rsidRPr="0009611E" w:rsidRDefault="00060897" w:rsidP="00295C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sz w:val="24"/>
          <w:szCs w:val="24"/>
        </w:rPr>
        <w:t>泰达宏利基金管理有限公司（以下简称“公司”）旗下中国银行股份有限公司</w:t>
      </w:r>
      <w:r w:rsidR="00014494" w:rsidRPr="0009611E">
        <w:rPr>
          <w:rFonts w:ascii="宋体" w:eastAsia="宋体" w:hAnsi="宋体" w:hint="eastAsia"/>
          <w:sz w:val="24"/>
          <w:szCs w:val="24"/>
        </w:rPr>
        <w:t>（以下简称“中国银行”）</w:t>
      </w:r>
      <w:r w:rsidRPr="0009611E">
        <w:rPr>
          <w:rFonts w:ascii="宋体" w:eastAsia="宋体" w:hAnsi="宋体" w:hint="eastAsia"/>
          <w:sz w:val="24"/>
          <w:szCs w:val="24"/>
        </w:rPr>
        <w:t>托管的基金</w:t>
      </w:r>
      <w:r w:rsidRPr="0009611E">
        <w:rPr>
          <w:rFonts w:ascii="宋体" w:eastAsia="宋体" w:hAnsi="宋体"/>
          <w:sz w:val="24"/>
          <w:szCs w:val="24"/>
        </w:rPr>
        <w:t>参与了科创板新股</w:t>
      </w:r>
      <w:r w:rsidRPr="0009611E">
        <w:rPr>
          <w:rFonts w:ascii="宋体" w:eastAsia="宋体" w:hAnsi="宋体" w:hint="eastAsia"/>
          <w:sz w:val="24"/>
          <w:szCs w:val="24"/>
        </w:rPr>
        <w:t>蚂蚁集团（股票代码为688688）的</w:t>
      </w:r>
      <w:r w:rsidRPr="0009611E">
        <w:rPr>
          <w:rFonts w:ascii="宋体" w:eastAsia="宋体" w:hAnsi="宋体"/>
          <w:sz w:val="24"/>
          <w:szCs w:val="24"/>
        </w:rPr>
        <w:t>网下投资者询价配售。</w:t>
      </w:r>
      <w:r w:rsidR="00E63E82" w:rsidRPr="0009611E">
        <w:rPr>
          <w:rFonts w:ascii="宋体" w:eastAsia="宋体" w:hAnsi="宋体" w:hint="eastAsia"/>
          <w:sz w:val="24"/>
          <w:szCs w:val="24"/>
        </w:rPr>
        <w:t>中银国际证券股份有限公司</w:t>
      </w:r>
      <w:r w:rsidR="00E63E82">
        <w:rPr>
          <w:rFonts w:ascii="宋体" w:eastAsia="宋体" w:hAnsi="宋体" w:hint="eastAsia"/>
          <w:sz w:val="24"/>
          <w:szCs w:val="24"/>
        </w:rPr>
        <w:t>为</w:t>
      </w:r>
      <w:r w:rsidRPr="0009611E">
        <w:rPr>
          <w:rFonts w:ascii="宋体" w:eastAsia="宋体" w:hAnsi="宋体"/>
          <w:sz w:val="24"/>
          <w:szCs w:val="24"/>
        </w:rPr>
        <w:t>该只新股</w:t>
      </w:r>
      <w:r w:rsidR="00295CD8">
        <w:rPr>
          <w:rFonts w:ascii="宋体" w:eastAsia="宋体" w:hAnsi="宋体" w:hint="eastAsia"/>
          <w:sz w:val="24"/>
          <w:szCs w:val="24"/>
        </w:rPr>
        <w:t>的</w:t>
      </w:r>
      <w:r w:rsidR="00014494" w:rsidRPr="0009611E">
        <w:rPr>
          <w:rFonts w:ascii="宋体" w:eastAsia="宋体" w:hAnsi="宋体" w:hint="eastAsia"/>
          <w:sz w:val="24"/>
          <w:szCs w:val="24"/>
        </w:rPr>
        <w:t>联席主</w:t>
      </w:r>
      <w:r w:rsidRPr="0009611E">
        <w:rPr>
          <w:rFonts w:ascii="宋体" w:eastAsia="宋体" w:hAnsi="宋体"/>
          <w:sz w:val="24"/>
          <w:szCs w:val="24"/>
        </w:rPr>
        <w:t>承销商</w:t>
      </w:r>
      <w:r w:rsidRPr="0009611E">
        <w:rPr>
          <w:rFonts w:ascii="宋体" w:eastAsia="宋体" w:hAnsi="宋体" w:hint="eastAsia"/>
          <w:sz w:val="24"/>
          <w:szCs w:val="24"/>
        </w:rPr>
        <w:t>之一</w:t>
      </w:r>
      <w:r w:rsidR="00014494" w:rsidRPr="0009611E">
        <w:rPr>
          <w:rFonts w:ascii="宋体" w:eastAsia="宋体" w:hAnsi="宋体" w:hint="eastAsia"/>
          <w:sz w:val="24"/>
          <w:szCs w:val="24"/>
        </w:rPr>
        <w:t>，</w:t>
      </w:r>
      <w:r w:rsidR="00E63E82">
        <w:rPr>
          <w:rFonts w:ascii="宋体" w:eastAsia="宋体" w:hAnsi="宋体" w:hint="eastAsia"/>
          <w:sz w:val="24"/>
          <w:szCs w:val="24"/>
        </w:rPr>
        <w:t>且</w:t>
      </w:r>
      <w:r w:rsidRPr="0009611E">
        <w:rPr>
          <w:rFonts w:ascii="宋体" w:eastAsia="宋体" w:hAnsi="宋体" w:hint="eastAsia"/>
          <w:sz w:val="24"/>
          <w:szCs w:val="24"/>
        </w:rPr>
        <w:t>为中国银行的</w:t>
      </w:r>
      <w:r w:rsidR="00014494" w:rsidRPr="0009611E">
        <w:rPr>
          <w:rFonts w:ascii="宋体" w:eastAsia="宋体" w:hAnsi="宋体" w:hint="eastAsia"/>
          <w:sz w:val="24"/>
          <w:szCs w:val="24"/>
        </w:rPr>
        <w:t>关联方</w:t>
      </w:r>
      <w:r w:rsidRPr="0009611E">
        <w:rPr>
          <w:rFonts w:ascii="宋体" w:eastAsia="宋体" w:hAnsi="宋体" w:hint="eastAsia"/>
          <w:sz w:val="24"/>
          <w:szCs w:val="24"/>
        </w:rPr>
        <w:t>。</w:t>
      </w:r>
    </w:p>
    <w:p w:rsidR="00060897" w:rsidRPr="0009611E" w:rsidRDefault="00060897" w:rsidP="000961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sz w:val="24"/>
          <w:szCs w:val="24"/>
        </w:rPr>
        <w:t>鉴于本次新股发行定价合理，具有一定投资价值，经公司审慎研究并履行相关程序后，公司旗下</w:t>
      </w:r>
      <w:r w:rsidR="00014494" w:rsidRPr="0009611E">
        <w:rPr>
          <w:rFonts w:ascii="宋体" w:eastAsia="宋体" w:hAnsi="宋体" w:hint="eastAsia"/>
          <w:sz w:val="24"/>
          <w:szCs w:val="24"/>
        </w:rPr>
        <w:t>部分基金</w:t>
      </w:r>
      <w:r w:rsidRPr="0009611E">
        <w:rPr>
          <w:rFonts w:ascii="宋体" w:eastAsia="宋体" w:hAnsi="宋体"/>
          <w:sz w:val="24"/>
          <w:szCs w:val="24"/>
        </w:rPr>
        <w:t>参与了本次网下投资者询价配售。</w:t>
      </w:r>
      <w:bookmarkStart w:id="0" w:name="_GoBack"/>
      <w:bookmarkEnd w:id="0"/>
    </w:p>
    <w:p w:rsidR="00060897" w:rsidRPr="0009611E" w:rsidRDefault="00060897" w:rsidP="000961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sz w:val="24"/>
          <w:szCs w:val="24"/>
        </w:rPr>
        <w:t>根据《中华人民共和国证券投资基金法》</w:t>
      </w:r>
      <w:r w:rsidR="00014494" w:rsidRPr="0009611E">
        <w:rPr>
          <w:rFonts w:ascii="宋体" w:eastAsia="宋体" w:hAnsi="宋体" w:hint="eastAsia"/>
          <w:sz w:val="24"/>
          <w:szCs w:val="24"/>
        </w:rPr>
        <w:t>《公开募集证券投资基金运作管理办法》</w:t>
      </w:r>
      <w:r w:rsidRPr="0009611E">
        <w:rPr>
          <w:rFonts w:ascii="宋体" w:eastAsia="宋体" w:hAnsi="宋体" w:hint="eastAsia"/>
          <w:sz w:val="24"/>
          <w:szCs w:val="24"/>
        </w:rPr>
        <w:t>《公开募集证券投资基金信息披露管理办法》等</w:t>
      </w:r>
      <w:r w:rsidR="00014494" w:rsidRPr="0009611E">
        <w:rPr>
          <w:rFonts w:ascii="宋体" w:eastAsia="宋体" w:hAnsi="宋体" w:hint="eastAsia"/>
          <w:sz w:val="24"/>
          <w:szCs w:val="24"/>
        </w:rPr>
        <w:t>法规及监管</w:t>
      </w:r>
      <w:r w:rsidRPr="0009611E">
        <w:rPr>
          <w:rFonts w:ascii="宋体" w:eastAsia="宋体" w:hAnsi="宋体" w:hint="eastAsia"/>
          <w:sz w:val="24"/>
          <w:szCs w:val="24"/>
        </w:rPr>
        <w:t>规定，现将</w:t>
      </w:r>
      <w:r w:rsidR="00014494" w:rsidRPr="0009611E">
        <w:rPr>
          <w:rFonts w:ascii="宋体" w:eastAsia="宋体" w:hAnsi="宋体" w:hint="eastAsia"/>
          <w:sz w:val="24"/>
          <w:szCs w:val="24"/>
        </w:rPr>
        <w:t>公司旗下中国银行托管的基金</w:t>
      </w:r>
      <w:r w:rsidRPr="0009611E">
        <w:rPr>
          <w:rFonts w:ascii="宋体" w:eastAsia="宋体" w:hAnsi="宋体"/>
          <w:sz w:val="24"/>
          <w:szCs w:val="24"/>
        </w:rPr>
        <w:t>获配情况公告如下：</w:t>
      </w:r>
    </w:p>
    <w:tbl>
      <w:tblPr>
        <w:tblStyle w:val="a4"/>
        <w:tblW w:w="8642" w:type="dxa"/>
        <w:tblLook w:val="04A0"/>
      </w:tblPr>
      <w:tblGrid>
        <w:gridCol w:w="750"/>
        <w:gridCol w:w="936"/>
        <w:gridCol w:w="3412"/>
        <w:gridCol w:w="1134"/>
        <w:gridCol w:w="993"/>
        <w:gridCol w:w="1417"/>
      </w:tblGrid>
      <w:tr w:rsidR="00D50176" w:rsidRPr="0009611E" w:rsidTr="00D50176">
        <w:tc>
          <w:tcPr>
            <w:tcW w:w="750" w:type="dxa"/>
          </w:tcPr>
          <w:p w:rsidR="00014494" w:rsidRPr="00D50176" w:rsidRDefault="00014494" w:rsidP="000608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证券名称</w:t>
            </w:r>
          </w:p>
        </w:tc>
        <w:tc>
          <w:tcPr>
            <w:tcW w:w="936" w:type="dxa"/>
          </w:tcPr>
          <w:p w:rsidR="00014494" w:rsidRPr="00D50176" w:rsidRDefault="00014494" w:rsidP="000608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证券代码</w:t>
            </w:r>
          </w:p>
        </w:tc>
        <w:tc>
          <w:tcPr>
            <w:tcW w:w="3412" w:type="dxa"/>
          </w:tcPr>
          <w:p w:rsidR="00014494" w:rsidRPr="00D50176" w:rsidRDefault="00014494" w:rsidP="00D501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获配基金</w:t>
            </w:r>
            <w:r w:rsidR="00D50176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</w:tcPr>
          <w:p w:rsidR="00014494" w:rsidRPr="00D50176" w:rsidRDefault="00014494" w:rsidP="000608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获配数量（股）</w:t>
            </w:r>
          </w:p>
        </w:tc>
        <w:tc>
          <w:tcPr>
            <w:tcW w:w="993" w:type="dxa"/>
          </w:tcPr>
          <w:p w:rsidR="00014494" w:rsidRPr="00D50176" w:rsidRDefault="00014494" w:rsidP="000608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获配价格（元）</w:t>
            </w:r>
          </w:p>
        </w:tc>
        <w:tc>
          <w:tcPr>
            <w:tcW w:w="1417" w:type="dxa"/>
          </w:tcPr>
          <w:p w:rsidR="00014494" w:rsidRPr="00D50176" w:rsidRDefault="00014494" w:rsidP="0006089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获配金额（</w:t>
            </w:r>
            <w:r w:rsidR="00B65623"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元</w:t>
            </w:r>
            <w:r w:rsidRPr="00D5017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D50176" w:rsidRPr="0009611E" w:rsidTr="00D50176">
        <w:tc>
          <w:tcPr>
            <w:tcW w:w="750" w:type="dxa"/>
            <w:vMerge w:val="restart"/>
          </w:tcPr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Pr="0009611E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611E">
              <w:rPr>
                <w:rFonts w:ascii="宋体" w:eastAsia="宋体" w:hAnsi="宋体" w:hint="eastAsia"/>
                <w:sz w:val="24"/>
                <w:szCs w:val="24"/>
              </w:rPr>
              <w:t>蚂蚁集团</w:t>
            </w:r>
          </w:p>
        </w:tc>
        <w:tc>
          <w:tcPr>
            <w:tcW w:w="936" w:type="dxa"/>
            <w:vMerge w:val="restart"/>
          </w:tcPr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50176" w:rsidRPr="0009611E" w:rsidRDefault="00D50176" w:rsidP="00D501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611E">
              <w:rPr>
                <w:rFonts w:ascii="宋体" w:eastAsia="宋体" w:hAnsi="宋体" w:hint="eastAsia"/>
                <w:sz w:val="24"/>
                <w:szCs w:val="24"/>
              </w:rPr>
              <w:t>688688</w:t>
            </w: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泰达宏利高研发创新</w:t>
            </w:r>
            <w:r w:rsidRPr="00B65623">
              <w:rPr>
                <w:rFonts w:ascii="宋体" w:eastAsia="宋体" w:hAnsi="宋体"/>
                <w:sz w:val="24"/>
                <w:szCs w:val="24"/>
              </w:rPr>
              <w:t>6个月持有期混合型证券投资基金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15706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1080572.80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泰达宏利消费行业量化精选混合型证券投资基金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6015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413832.00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泰达宏利中证</w:t>
            </w:r>
            <w:r w:rsidRPr="00B65623">
              <w:rPr>
                <w:rFonts w:ascii="宋体" w:eastAsia="宋体" w:hAnsi="宋体"/>
                <w:sz w:val="24"/>
                <w:szCs w:val="24"/>
              </w:rPr>
              <w:t>500指数增强型证券投资基金（LOF）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17377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1195537.60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泰达宏利品牌升级混合型证券投资基金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4344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298867.20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泰达宏利宏达混合型证券投资基金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22390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1540432.00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泰达宏利沪深</w:t>
            </w:r>
            <w:r w:rsidRPr="00B65623">
              <w:rPr>
                <w:rFonts w:ascii="宋体" w:eastAsia="宋体" w:hAnsi="宋体"/>
                <w:sz w:val="24"/>
                <w:szCs w:val="24"/>
              </w:rPr>
              <w:t>300指数增强型证券投资基金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21053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1448446.40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泰达宏利量化增强股票型证券投资基金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9691</w:t>
            </w:r>
          </w:p>
        </w:tc>
        <w:tc>
          <w:tcPr>
            <w:tcW w:w="993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666740.80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泰达宏利行业精选混合型证券投资基金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34421</w:t>
            </w:r>
          </w:p>
        </w:tc>
        <w:tc>
          <w:tcPr>
            <w:tcW w:w="993" w:type="dxa"/>
          </w:tcPr>
          <w:p w:rsidR="00D50176" w:rsidRPr="00B65623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2368164.80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泰达宏利新思路灵活配置混合型证券投资基金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33753</w:t>
            </w:r>
          </w:p>
        </w:tc>
        <w:tc>
          <w:tcPr>
            <w:tcW w:w="993" w:type="dxa"/>
          </w:tcPr>
          <w:p w:rsidR="00D50176" w:rsidRPr="00B65623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2322206.40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泰达宏利复兴伟业灵活配置混合型证券投资基金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46118</w:t>
            </w:r>
          </w:p>
        </w:tc>
        <w:tc>
          <w:tcPr>
            <w:tcW w:w="993" w:type="dxa"/>
          </w:tcPr>
          <w:p w:rsidR="00D50176" w:rsidRPr="00B65623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3172918.40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泰达宏利新起点灵活配置混合型证券投资基金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26066</w:t>
            </w:r>
          </w:p>
        </w:tc>
        <w:tc>
          <w:tcPr>
            <w:tcW w:w="993" w:type="dxa"/>
          </w:tcPr>
          <w:p w:rsidR="00D50176" w:rsidRPr="00B65623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1793340.80</w:t>
            </w:r>
          </w:p>
        </w:tc>
      </w:tr>
      <w:tr w:rsidR="00D50176" w:rsidRPr="0009611E" w:rsidTr="00D50176">
        <w:tc>
          <w:tcPr>
            <w:tcW w:w="750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12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 w:hint="eastAsia"/>
                <w:sz w:val="24"/>
                <w:szCs w:val="24"/>
              </w:rPr>
              <w:t>泰达宏利改革动力量化策略灵活配置混合型证券投资基金</w:t>
            </w:r>
          </w:p>
        </w:tc>
        <w:tc>
          <w:tcPr>
            <w:tcW w:w="1134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10359</w:t>
            </w:r>
          </w:p>
        </w:tc>
        <w:tc>
          <w:tcPr>
            <w:tcW w:w="993" w:type="dxa"/>
          </w:tcPr>
          <w:p w:rsidR="00D50176" w:rsidRPr="00B65623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68.80</w:t>
            </w:r>
          </w:p>
        </w:tc>
        <w:tc>
          <w:tcPr>
            <w:tcW w:w="1417" w:type="dxa"/>
          </w:tcPr>
          <w:p w:rsidR="00D50176" w:rsidRPr="0009611E" w:rsidRDefault="00D50176" w:rsidP="00060897">
            <w:pPr>
              <w:rPr>
                <w:rFonts w:ascii="宋体" w:eastAsia="宋体" w:hAnsi="宋体"/>
                <w:sz w:val="24"/>
                <w:szCs w:val="24"/>
              </w:rPr>
            </w:pPr>
            <w:r w:rsidRPr="00B65623">
              <w:rPr>
                <w:rFonts w:ascii="宋体" w:eastAsia="宋体" w:hAnsi="宋体"/>
                <w:sz w:val="24"/>
                <w:szCs w:val="24"/>
              </w:rPr>
              <w:t>712699.20</w:t>
            </w:r>
          </w:p>
        </w:tc>
      </w:tr>
    </w:tbl>
    <w:p w:rsidR="00060897" w:rsidRPr="0009611E" w:rsidRDefault="00060897" w:rsidP="000961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sz w:val="24"/>
          <w:szCs w:val="24"/>
        </w:rPr>
        <w:t>本次发行过程公开透明，交易价格公允，公司严格按照法律法规和</w:t>
      </w:r>
      <w:r w:rsidR="00D50176">
        <w:rPr>
          <w:rFonts w:ascii="宋体" w:eastAsia="宋体" w:hAnsi="宋体" w:hint="eastAsia"/>
          <w:sz w:val="24"/>
          <w:szCs w:val="24"/>
        </w:rPr>
        <w:t>相关</w:t>
      </w:r>
      <w:r w:rsidRPr="0009611E">
        <w:rPr>
          <w:rFonts w:ascii="宋体" w:eastAsia="宋体" w:hAnsi="宋体" w:hint="eastAsia"/>
          <w:sz w:val="24"/>
          <w:szCs w:val="24"/>
        </w:rPr>
        <w:t>基金</w:t>
      </w:r>
      <w:r w:rsidRPr="0009611E">
        <w:rPr>
          <w:rFonts w:ascii="宋体" w:eastAsia="宋体" w:hAnsi="宋体" w:hint="eastAsia"/>
          <w:sz w:val="24"/>
          <w:szCs w:val="24"/>
        </w:rPr>
        <w:lastRenderedPageBreak/>
        <w:t>《基金合同》约定，履行相关审批程序，不存在利益输送情况。</w:t>
      </w:r>
    </w:p>
    <w:p w:rsidR="0009611E" w:rsidRDefault="00060897" w:rsidP="0009611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b/>
          <w:sz w:val="24"/>
          <w:szCs w:val="24"/>
        </w:rPr>
        <w:t>风险提示：</w:t>
      </w:r>
      <w:r w:rsidRPr="0009611E">
        <w:rPr>
          <w:rFonts w:ascii="宋体" w:eastAsia="宋体" w:hAnsi="宋体" w:hint="eastAsia"/>
          <w:sz w:val="24"/>
          <w:szCs w:val="24"/>
        </w:rPr>
        <w:t>基金管理人承诺以诚实信用、勤勉尽责的原则管理和运用基金资产，但不保证基金一定盈利，也不保证最低收益。</w:t>
      </w:r>
      <w:r w:rsidR="0009611E" w:rsidRPr="0009611E">
        <w:rPr>
          <w:rFonts w:ascii="宋体" w:eastAsia="宋体" w:hAnsi="宋体" w:hint="eastAsia"/>
          <w:sz w:val="24"/>
          <w:szCs w:val="24"/>
        </w:rPr>
        <w:t>投资者投资于上述基金时应认真阅读上述基金的基金合同、招募说明书、基金产品资料概要等文件，了解所投资基金的风险收益特征，并根据自身投资目的、投资期限、投资经验、资产状况等判断基金是否</w:t>
      </w:r>
      <w:r w:rsidR="0009611E">
        <w:rPr>
          <w:rFonts w:ascii="宋体" w:eastAsia="宋体" w:hAnsi="宋体" w:hint="eastAsia"/>
          <w:sz w:val="24"/>
          <w:szCs w:val="24"/>
        </w:rPr>
        <w:t>与</w:t>
      </w:r>
      <w:r w:rsidR="0009611E" w:rsidRPr="0009611E">
        <w:rPr>
          <w:rFonts w:ascii="宋体" w:eastAsia="宋体" w:hAnsi="宋体" w:hint="eastAsia"/>
          <w:sz w:val="24"/>
          <w:szCs w:val="24"/>
        </w:rPr>
        <w:t>投资者的风险承受能力相匹配。基金的过往业绩并不预示其未来表现，基金管理人提醒投资者基金投资</w:t>
      </w:r>
      <w:r w:rsidR="0009611E" w:rsidRPr="0009611E">
        <w:rPr>
          <w:rFonts w:ascii="宋体" w:eastAsia="宋体" w:hAnsi="宋体"/>
          <w:sz w:val="24"/>
          <w:szCs w:val="24"/>
        </w:rPr>
        <w:t>“</w:t>
      </w:r>
      <w:r w:rsidR="0009611E" w:rsidRPr="0009611E">
        <w:rPr>
          <w:rFonts w:ascii="宋体" w:eastAsia="宋体" w:hAnsi="宋体" w:hint="eastAsia"/>
          <w:sz w:val="24"/>
          <w:szCs w:val="24"/>
        </w:rPr>
        <w:t>买者自负</w:t>
      </w:r>
      <w:r w:rsidR="0009611E" w:rsidRPr="0009611E">
        <w:rPr>
          <w:rFonts w:ascii="宋体" w:eastAsia="宋体" w:hAnsi="宋体"/>
          <w:sz w:val="24"/>
          <w:szCs w:val="24"/>
        </w:rPr>
        <w:t>”</w:t>
      </w:r>
      <w:r w:rsidR="0009611E" w:rsidRPr="0009611E">
        <w:rPr>
          <w:rFonts w:ascii="宋体" w:eastAsia="宋体" w:hAnsi="宋体" w:hint="eastAsia"/>
          <w:sz w:val="24"/>
          <w:szCs w:val="24"/>
        </w:rPr>
        <w:t>原则，在做出投资决策后，基金运营状况与基金净值变化引致的投资风险，由投资者自行负担，敬请投资者留意投资风险。</w:t>
      </w:r>
    </w:p>
    <w:p w:rsidR="00DB3C17" w:rsidRDefault="0009611E" w:rsidP="0009611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11E">
        <w:rPr>
          <w:rFonts w:ascii="宋体" w:eastAsia="宋体" w:hAnsi="宋体" w:hint="eastAsia"/>
          <w:sz w:val="24"/>
          <w:szCs w:val="24"/>
        </w:rPr>
        <w:t>特此公告。</w:t>
      </w:r>
    </w:p>
    <w:p w:rsidR="0009611E" w:rsidRDefault="0009611E" w:rsidP="0009611E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泰达宏利基金管理有限公司</w:t>
      </w:r>
    </w:p>
    <w:p w:rsidR="0009611E" w:rsidRPr="0009611E" w:rsidRDefault="0009611E" w:rsidP="0009611E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2020年11月3日</w:t>
      </w:r>
    </w:p>
    <w:sectPr w:rsidR="0009611E" w:rsidRPr="0009611E" w:rsidSect="00F45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02" w:rsidRDefault="00B34002" w:rsidP="00B34002">
      <w:r>
        <w:separator/>
      </w:r>
    </w:p>
  </w:endnote>
  <w:endnote w:type="continuationSeparator" w:id="0">
    <w:p w:rsidR="00B34002" w:rsidRDefault="00B34002" w:rsidP="00B3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02" w:rsidRDefault="00B34002" w:rsidP="00B34002">
      <w:r>
        <w:separator/>
      </w:r>
    </w:p>
  </w:footnote>
  <w:footnote w:type="continuationSeparator" w:id="0">
    <w:p w:rsidR="00B34002" w:rsidRDefault="00B34002" w:rsidP="00B34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17"/>
    <w:rsid w:val="00014494"/>
    <w:rsid w:val="00060897"/>
    <w:rsid w:val="0009611E"/>
    <w:rsid w:val="00263C0F"/>
    <w:rsid w:val="00295CD8"/>
    <w:rsid w:val="008E2656"/>
    <w:rsid w:val="00AC3CB0"/>
    <w:rsid w:val="00B34002"/>
    <w:rsid w:val="00B65623"/>
    <w:rsid w:val="00D50176"/>
    <w:rsid w:val="00DB3C17"/>
    <w:rsid w:val="00E63E82"/>
    <w:rsid w:val="00EA762D"/>
    <w:rsid w:val="00F45060"/>
    <w:rsid w:val="00F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8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897"/>
    <w:rPr>
      <w:sz w:val="18"/>
      <w:szCs w:val="18"/>
    </w:rPr>
  </w:style>
  <w:style w:type="table" w:styleId="a4">
    <w:name w:val="Table Grid"/>
    <w:basedOn w:val="a1"/>
    <w:uiPriority w:val="39"/>
    <w:rsid w:val="0001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8E2656"/>
  </w:style>
  <w:style w:type="paragraph" w:styleId="a6">
    <w:name w:val="header"/>
    <w:basedOn w:val="a"/>
    <w:link w:val="Char0"/>
    <w:uiPriority w:val="99"/>
    <w:semiHidden/>
    <w:unhideWhenUsed/>
    <w:rsid w:val="00B3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3400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3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34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ZHONGM</cp:lastModifiedBy>
  <cp:revision>2</cp:revision>
  <dcterms:created xsi:type="dcterms:W3CDTF">2020-11-02T16:01:00Z</dcterms:created>
  <dcterms:modified xsi:type="dcterms:W3CDTF">2020-11-02T16:01:00Z</dcterms:modified>
</cp:coreProperties>
</file>