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2" w:rsidRPr="00C53C24" w:rsidRDefault="00F60D6D" w:rsidP="00F60D6D">
      <w:pPr>
        <w:spacing w:line="360" w:lineRule="auto"/>
        <w:jc w:val="center"/>
        <w:rPr>
          <w:rFonts w:ascii="宋体" w:hAnsi="宋体"/>
          <w:b/>
          <w:sz w:val="28"/>
          <w:szCs w:val="28"/>
        </w:rPr>
      </w:pPr>
      <w:r w:rsidRPr="00C53C24">
        <w:rPr>
          <w:rFonts w:ascii="宋体" w:hAnsi="宋体" w:hint="eastAsia"/>
          <w:b/>
          <w:sz w:val="28"/>
          <w:szCs w:val="28"/>
        </w:rPr>
        <w:t>易方达</w:t>
      </w:r>
      <w:r w:rsidR="003E273E" w:rsidRPr="00C53C24">
        <w:rPr>
          <w:rFonts w:ascii="宋体" w:hAnsi="宋体" w:hint="eastAsia"/>
          <w:b/>
          <w:sz w:val="28"/>
          <w:szCs w:val="28"/>
        </w:rPr>
        <w:t>基金管理有限公司旗下部分开放式基金</w:t>
      </w:r>
      <w:r w:rsidRPr="00C53C24">
        <w:rPr>
          <w:rFonts w:ascii="宋体" w:hAnsi="宋体" w:hint="eastAsia"/>
          <w:b/>
          <w:sz w:val="28"/>
          <w:szCs w:val="28"/>
        </w:rPr>
        <w:t>增加</w:t>
      </w:r>
      <w:r w:rsidR="005E55C4">
        <w:rPr>
          <w:rFonts w:ascii="宋体" w:hAnsi="宋体" w:hint="eastAsia"/>
          <w:b/>
          <w:sz w:val="28"/>
          <w:szCs w:val="28"/>
        </w:rPr>
        <w:t>兰州</w:t>
      </w:r>
      <w:r w:rsidR="0058693E">
        <w:rPr>
          <w:rFonts w:ascii="宋体" w:hAnsi="宋体" w:hint="eastAsia"/>
          <w:b/>
          <w:sz w:val="28"/>
          <w:szCs w:val="28"/>
        </w:rPr>
        <w:t>银行</w:t>
      </w:r>
      <w:r w:rsidRPr="00C53C24">
        <w:rPr>
          <w:rFonts w:ascii="宋体" w:hAnsi="宋体" w:hint="eastAsia"/>
          <w:b/>
          <w:sz w:val="28"/>
          <w:szCs w:val="28"/>
        </w:rPr>
        <w:t>为销售机构的公告</w:t>
      </w:r>
    </w:p>
    <w:p w:rsidR="0002031F" w:rsidRPr="00827D9D" w:rsidRDefault="006A148D">
      <w:pPr>
        <w:spacing w:line="360" w:lineRule="auto"/>
        <w:ind w:firstLineChars="200" w:firstLine="420"/>
        <w:jc w:val="left"/>
        <w:rPr>
          <w:rStyle w:val="HTML"/>
          <w:rFonts w:cs="Arial Unicode MS"/>
          <w:sz w:val="21"/>
          <w:szCs w:val="21"/>
        </w:rPr>
      </w:pPr>
      <w:r w:rsidRPr="00827D9D">
        <w:rPr>
          <w:rStyle w:val="HTML"/>
          <w:rFonts w:cs="Arial Unicode MS"/>
          <w:sz w:val="21"/>
          <w:szCs w:val="21"/>
        </w:rPr>
        <w:t>根据易方达基金管理有限公司（以下简称“本公司”）</w:t>
      </w:r>
      <w:r w:rsidR="00F37F7E" w:rsidRPr="00827D9D">
        <w:rPr>
          <w:rStyle w:val="HTML"/>
          <w:rFonts w:cs="Arial Unicode MS"/>
          <w:sz w:val="21"/>
          <w:szCs w:val="21"/>
        </w:rPr>
        <w:t>与</w:t>
      </w:r>
      <w:r w:rsidR="005E55C4">
        <w:rPr>
          <w:rStyle w:val="HTML"/>
          <w:rFonts w:cs="Arial Unicode MS" w:hint="eastAsia"/>
          <w:sz w:val="21"/>
          <w:szCs w:val="21"/>
        </w:rPr>
        <w:t>兰州</w:t>
      </w:r>
      <w:r w:rsidR="0058693E" w:rsidRPr="00827D9D">
        <w:rPr>
          <w:rStyle w:val="HTML"/>
          <w:rFonts w:cs="Arial Unicode MS" w:hint="eastAsia"/>
          <w:sz w:val="21"/>
          <w:szCs w:val="21"/>
        </w:rPr>
        <w:t>银行股份有限公司</w:t>
      </w:r>
      <w:r w:rsidR="00CD78A1" w:rsidRPr="00827D9D">
        <w:rPr>
          <w:rStyle w:val="HTML"/>
          <w:rFonts w:cs="Arial Unicode MS" w:hint="eastAsia"/>
          <w:sz w:val="21"/>
          <w:szCs w:val="21"/>
        </w:rPr>
        <w:t>（以下简称“</w:t>
      </w:r>
      <w:r w:rsidR="005E55C4">
        <w:rPr>
          <w:rStyle w:val="HTML"/>
          <w:rFonts w:cs="Arial Unicode MS" w:hint="eastAsia"/>
          <w:sz w:val="21"/>
          <w:szCs w:val="21"/>
        </w:rPr>
        <w:t>兰州</w:t>
      </w:r>
      <w:r w:rsidR="0058693E" w:rsidRPr="00827D9D">
        <w:rPr>
          <w:rStyle w:val="HTML"/>
          <w:rFonts w:cs="Arial Unicode MS" w:hint="eastAsia"/>
          <w:sz w:val="21"/>
          <w:szCs w:val="21"/>
        </w:rPr>
        <w:t>银行</w:t>
      </w:r>
      <w:r w:rsidR="00CD78A1" w:rsidRPr="00827D9D">
        <w:rPr>
          <w:rStyle w:val="HTML"/>
          <w:rFonts w:cs="Arial Unicode MS" w:hint="eastAsia"/>
          <w:sz w:val="21"/>
          <w:szCs w:val="21"/>
        </w:rPr>
        <w:t>”）</w:t>
      </w:r>
      <w:r w:rsidRPr="00827D9D">
        <w:rPr>
          <w:rStyle w:val="HTML"/>
          <w:rFonts w:cs="Arial Unicode MS"/>
          <w:sz w:val="21"/>
          <w:szCs w:val="21"/>
        </w:rPr>
        <w:t>签署的</w:t>
      </w:r>
      <w:r w:rsidRPr="00827D9D">
        <w:rPr>
          <w:rStyle w:val="HTML"/>
          <w:rFonts w:cs="Arial Unicode MS" w:hint="eastAsia"/>
          <w:sz w:val="21"/>
          <w:szCs w:val="21"/>
        </w:rPr>
        <w:t>基金销</w:t>
      </w:r>
      <w:bookmarkStart w:id="0" w:name="_GoBack"/>
      <w:bookmarkEnd w:id="0"/>
      <w:r w:rsidRPr="00827D9D">
        <w:rPr>
          <w:rStyle w:val="HTML"/>
          <w:rFonts w:cs="Arial Unicode MS" w:hint="eastAsia"/>
          <w:sz w:val="21"/>
          <w:szCs w:val="21"/>
        </w:rPr>
        <w:t>售服务</w:t>
      </w:r>
      <w:r w:rsidRPr="00827D9D">
        <w:rPr>
          <w:rStyle w:val="HTML"/>
          <w:rFonts w:cs="Arial Unicode MS"/>
          <w:sz w:val="21"/>
          <w:szCs w:val="21"/>
        </w:rPr>
        <w:t>协议，自</w:t>
      </w:r>
      <w:r w:rsidR="00D81533" w:rsidRPr="00827D9D">
        <w:rPr>
          <w:rStyle w:val="HTML"/>
          <w:rFonts w:cs="Arial Unicode MS"/>
          <w:sz w:val="21"/>
          <w:szCs w:val="21"/>
        </w:rPr>
        <w:t>2020</w:t>
      </w:r>
      <w:r w:rsidR="005D0ECC" w:rsidRPr="00827D9D">
        <w:rPr>
          <w:rStyle w:val="HTML"/>
          <w:rFonts w:cs="Arial Unicode MS"/>
          <w:sz w:val="21"/>
          <w:szCs w:val="21"/>
        </w:rPr>
        <w:t>年</w:t>
      </w:r>
      <w:r w:rsidR="0058693E" w:rsidRPr="00827D9D">
        <w:rPr>
          <w:rStyle w:val="HTML"/>
          <w:rFonts w:cs="Arial Unicode MS"/>
          <w:sz w:val="21"/>
          <w:szCs w:val="21"/>
        </w:rPr>
        <w:t>10</w:t>
      </w:r>
      <w:r w:rsidR="00DE7766" w:rsidRPr="00827D9D">
        <w:rPr>
          <w:rStyle w:val="HTML"/>
          <w:rFonts w:cs="Arial Unicode MS"/>
          <w:sz w:val="21"/>
          <w:szCs w:val="21"/>
        </w:rPr>
        <w:t>月</w:t>
      </w:r>
      <w:r w:rsidR="00386591">
        <w:rPr>
          <w:rStyle w:val="HTML"/>
          <w:rFonts w:cs="Arial Unicode MS"/>
          <w:sz w:val="21"/>
          <w:szCs w:val="21"/>
        </w:rPr>
        <w:t>30</w:t>
      </w:r>
      <w:r w:rsidR="00DE732B" w:rsidRPr="00827D9D">
        <w:rPr>
          <w:rStyle w:val="HTML"/>
          <w:rFonts w:cs="Arial Unicode MS"/>
          <w:sz w:val="21"/>
          <w:szCs w:val="21"/>
        </w:rPr>
        <w:t>日</w:t>
      </w:r>
      <w:r w:rsidRPr="00827D9D">
        <w:rPr>
          <w:rStyle w:val="HTML"/>
          <w:rFonts w:cs="Arial Unicode MS"/>
          <w:sz w:val="21"/>
          <w:szCs w:val="21"/>
        </w:rPr>
        <w:t>起，本公司增加</w:t>
      </w:r>
      <w:r w:rsidR="005E55C4">
        <w:rPr>
          <w:rStyle w:val="HTML"/>
          <w:rFonts w:cs="Arial Unicode MS" w:hint="eastAsia"/>
          <w:sz w:val="21"/>
          <w:szCs w:val="21"/>
        </w:rPr>
        <w:t>兰州</w:t>
      </w:r>
      <w:r w:rsidR="0058693E" w:rsidRPr="00827D9D">
        <w:rPr>
          <w:rStyle w:val="HTML"/>
          <w:rFonts w:cs="Arial Unicode MS" w:hint="eastAsia"/>
          <w:sz w:val="21"/>
          <w:szCs w:val="21"/>
        </w:rPr>
        <w:t>银行</w:t>
      </w:r>
      <w:r w:rsidRPr="00827D9D">
        <w:rPr>
          <w:rStyle w:val="HTML"/>
          <w:rFonts w:cs="Arial Unicode MS" w:hint="eastAsia"/>
          <w:sz w:val="21"/>
          <w:szCs w:val="21"/>
        </w:rPr>
        <w:t>为</w:t>
      </w:r>
      <w:r w:rsidR="003E273E" w:rsidRPr="00827D9D">
        <w:rPr>
          <w:rStyle w:val="HTML"/>
          <w:rFonts w:cs="Arial Unicode MS"/>
          <w:sz w:val="21"/>
          <w:szCs w:val="21"/>
        </w:rPr>
        <w:t>旗下部分开放式基金</w:t>
      </w:r>
      <w:r w:rsidRPr="00827D9D">
        <w:rPr>
          <w:rStyle w:val="HTML"/>
          <w:rFonts w:cs="Arial Unicode MS" w:hint="eastAsia"/>
          <w:sz w:val="21"/>
          <w:szCs w:val="21"/>
        </w:rPr>
        <w:t>销售机构并开通相关业务。</w:t>
      </w:r>
    </w:p>
    <w:p w:rsidR="00241C62" w:rsidRPr="00827D9D" w:rsidRDefault="006A148D">
      <w:pPr>
        <w:spacing w:line="360" w:lineRule="auto"/>
        <w:ind w:firstLineChars="200" w:firstLine="420"/>
        <w:jc w:val="left"/>
        <w:rPr>
          <w:rStyle w:val="HTML"/>
          <w:rFonts w:cs="Arial Unicode MS"/>
          <w:sz w:val="21"/>
          <w:szCs w:val="21"/>
        </w:rPr>
      </w:pPr>
      <w:r w:rsidRPr="00827D9D">
        <w:rPr>
          <w:rStyle w:val="HTML"/>
          <w:rFonts w:cs="Arial Unicode MS"/>
          <w:sz w:val="21"/>
          <w:szCs w:val="21"/>
        </w:rPr>
        <w:t>现将有关事项公告如下：</w:t>
      </w:r>
    </w:p>
    <w:p w:rsidR="00241C62" w:rsidRPr="00827D9D" w:rsidRDefault="006A148D">
      <w:pPr>
        <w:spacing w:line="360" w:lineRule="auto"/>
        <w:ind w:firstLineChars="200" w:firstLine="420"/>
        <w:jc w:val="left"/>
        <w:rPr>
          <w:rStyle w:val="HTML"/>
          <w:rFonts w:cs="Arial Unicode MS"/>
          <w:sz w:val="21"/>
          <w:szCs w:val="21"/>
        </w:rPr>
      </w:pPr>
      <w:r w:rsidRPr="00827D9D">
        <w:rPr>
          <w:rStyle w:val="HTML"/>
          <w:rFonts w:cs="Arial Unicode MS" w:hint="eastAsia"/>
          <w:sz w:val="21"/>
          <w:szCs w:val="21"/>
        </w:rPr>
        <w:t>一、适用基金及业务范围</w:t>
      </w:r>
    </w:p>
    <w:p w:rsidR="00241C62" w:rsidRPr="00827D9D" w:rsidRDefault="006A148D">
      <w:pPr>
        <w:spacing w:line="360" w:lineRule="auto"/>
        <w:ind w:firstLineChars="200" w:firstLine="420"/>
        <w:jc w:val="left"/>
        <w:rPr>
          <w:rStyle w:val="ab"/>
          <w:rFonts w:ascii="宋体" w:hAnsi="宋体" w:cs="Arial Unicode MS"/>
        </w:rPr>
      </w:pPr>
      <w:r w:rsidRPr="00827D9D">
        <w:rPr>
          <w:rStyle w:val="ab"/>
          <w:rFonts w:ascii="宋体" w:hAnsi="宋体" w:cs="Arial Unicode MS"/>
        </w:rPr>
        <w:t>投资者可通过</w:t>
      </w:r>
      <w:r w:rsidR="005E55C4">
        <w:rPr>
          <w:rStyle w:val="HTML"/>
          <w:rFonts w:cs="Arial Unicode MS" w:hint="eastAsia"/>
          <w:sz w:val="21"/>
          <w:szCs w:val="21"/>
        </w:rPr>
        <w:t>兰州</w:t>
      </w:r>
      <w:r w:rsidR="0058693E" w:rsidRPr="00827D9D">
        <w:rPr>
          <w:rStyle w:val="HTML"/>
          <w:rFonts w:cs="Arial Unicode MS" w:hint="eastAsia"/>
          <w:sz w:val="21"/>
          <w:szCs w:val="21"/>
        </w:rPr>
        <w:t>银行</w:t>
      </w:r>
      <w:r w:rsidRPr="00827D9D">
        <w:rPr>
          <w:rStyle w:val="ab"/>
          <w:rFonts w:ascii="宋体" w:hAnsi="宋体" w:cs="Arial Unicode MS"/>
        </w:rPr>
        <w:t>办理</w:t>
      </w:r>
      <w:r w:rsidR="003E273E" w:rsidRPr="00827D9D">
        <w:rPr>
          <w:rStyle w:val="ab"/>
          <w:rFonts w:ascii="宋体" w:hAnsi="宋体" w:cs="Arial Unicode MS"/>
        </w:rPr>
        <w:t>列表中对应</w:t>
      </w:r>
      <w:r w:rsidRPr="00827D9D">
        <w:rPr>
          <w:rStyle w:val="ab"/>
          <w:rFonts w:ascii="宋体" w:hAnsi="宋体" w:cs="Arial Unicode MS"/>
        </w:rPr>
        <w:t>基金的</w:t>
      </w:r>
      <w:r w:rsidRPr="00827D9D">
        <w:rPr>
          <w:rStyle w:val="ab"/>
          <w:rFonts w:ascii="宋体" w:hAnsi="宋体" w:cs="Arial Unicode MS" w:hint="eastAsia"/>
        </w:rPr>
        <w:t>相关</w:t>
      </w:r>
      <w:r w:rsidRPr="00827D9D">
        <w:rPr>
          <w:rStyle w:val="ab"/>
          <w:rFonts w:ascii="宋体" w:hAnsi="宋体" w:cs="Arial Unicode MS"/>
        </w:rPr>
        <w:t>业务，具体的业务流程、办理时间和办理方式以</w:t>
      </w:r>
      <w:r w:rsidR="005E55C4">
        <w:rPr>
          <w:rStyle w:val="ab"/>
          <w:rFonts w:ascii="宋体" w:hAnsi="宋体" w:cs="Arial Unicode MS" w:hint="eastAsia"/>
        </w:rPr>
        <w:t>兰州</w:t>
      </w:r>
      <w:r w:rsidR="0058693E" w:rsidRPr="00827D9D">
        <w:rPr>
          <w:rStyle w:val="ab"/>
          <w:rFonts w:ascii="宋体" w:hAnsi="宋体" w:cs="Arial Unicode MS" w:hint="eastAsia"/>
        </w:rPr>
        <w:t>银行</w:t>
      </w:r>
      <w:r w:rsidRPr="00827D9D">
        <w:rPr>
          <w:rStyle w:val="ab"/>
          <w:rFonts w:ascii="宋体" w:hAnsi="宋体" w:cs="Arial Unicode MS"/>
        </w:rPr>
        <w:t>的规定为准。</w:t>
      </w:r>
    </w:p>
    <w:tbl>
      <w:tblPr>
        <w:tblW w:w="8256" w:type="dxa"/>
        <w:tblInd w:w="-5" w:type="dxa"/>
        <w:tblLayout w:type="fixed"/>
        <w:tblLook w:val="04A0"/>
      </w:tblPr>
      <w:tblGrid>
        <w:gridCol w:w="567"/>
        <w:gridCol w:w="851"/>
        <w:gridCol w:w="3969"/>
        <w:gridCol w:w="992"/>
        <w:gridCol w:w="910"/>
        <w:gridCol w:w="967"/>
      </w:tblGrid>
      <w:tr w:rsidR="00FA4A96" w:rsidRPr="00D015B8" w:rsidTr="00950DCA">
        <w:trPr>
          <w:trHeight w:val="5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A96" w:rsidRPr="00950DCA" w:rsidRDefault="00FA4A96"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序号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15B8" w:rsidRDefault="00FA4A96"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基金</w:t>
            </w:r>
          </w:p>
          <w:p w:rsidR="00FA4A96" w:rsidRPr="00950DCA" w:rsidRDefault="00FA4A96"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代码</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A4A96" w:rsidRPr="00950DCA" w:rsidRDefault="00FA4A96"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基金名称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4A96" w:rsidRPr="00950DCA" w:rsidRDefault="00FA4A96"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申购赎回业务</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FA4A96" w:rsidRPr="00950DCA" w:rsidRDefault="00FA4A96"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定期定额投资</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32FAB" w:rsidRDefault="00FA4A96"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转换</w:t>
            </w:r>
          </w:p>
          <w:p w:rsidR="00FA4A96" w:rsidRPr="00950DCA" w:rsidRDefault="00E32FAB" w:rsidP="00D015B8">
            <w:pPr>
              <w:widowControl/>
              <w:jc w:val="center"/>
              <w:rPr>
                <w:rFonts w:ascii="宋体" w:hAnsi="宋体" w:cs="宋体"/>
                <w:color w:val="000000"/>
                <w:kern w:val="0"/>
                <w:szCs w:val="21"/>
              </w:rPr>
            </w:pPr>
            <w:r>
              <w:rPr>
                <w:rFonts w:ascii="宋体" w:hAnsi="宋体" w:cs="宋体" w:hint="eastAsia"/>
                <w:color w:val="000000"/>
                <w:kern w:val="0"/>
                <w:szCs w:val="21"/>
              </w:rPr>
              <w:t>业务</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1</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000032</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易方达信用债债券型基金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2</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000033</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易方达信用债债券型基金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3</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000147</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易方达高等级信用债债券型基金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4</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000148</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易方达高等级信用债债券型基金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5</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000171</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易方达裕丰回报债券型基金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6</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000189</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易方达丰华债券型基金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7</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000205</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易方达投资级信用债债券型基金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8</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000206</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易方达投资级信用债债券型基金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9</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000307</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易方达黄金交易型开放式基金联接基金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10</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000404</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易方达新兴成长灵活配置混合型基金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11</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000603</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易方达创新驱动灵活配置混合型基金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12</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000647</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易方达财富快线货币市场基金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13</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000648</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易方达财富快线货币市场基金</w:t>
            </w:r>
            <w:r w:rsidRPr="00950DCA">
              <w:rPr>
                <w:rFonts w:ascii="宋体" w:hAnsi="宋体" w:cs="宋体"/>
                <w:color w:val="000000"/>
                <w:kern w:val="0"/>
                <w:szCs w:val="21"/>
              </w:rPr>
              <w:t>B</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不</w:t>
            </w:r>
            <w:r w:rsidR="003F6D9C"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14</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000950</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易方达沪深</w:t>
            </w:r>
            <w:r w:rsidRPr="00950DCA">
              <w:rPr>
                <w:rFonts w:ascii="宋体" w:hAnsi="宋体" w:cs="宋体"/>
                <w:color w:val="000000"/>
                <w:kern w:val="0"/>
                <w:szCs w:val="21"/>
              </w:rPr>
              <w:t>300非银行金融交易型开放式指数基金联接基金A</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15</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001018</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易方达新经济灵活配置混合型基金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16</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001076</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易方达改革红利混合型基金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17</w:t>
            </w:r>
          </w:p>
        </w:tc>
        <w:tc>
          <w:tcPr>
            <w:tcW w:w="851"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001182</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易方达安心回馈混合型基金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18</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001184</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易方达新常态灵活配置混合型基金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19</w:t>
            </w:r>
          </w:p>
        </w:tc>
        <w:tc>
          <w:tcPr>
            <w:tcW w:w="851"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001216</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易方达新收益灵活配置混合型基金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001217</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易方达新收益灵活配置混合型基金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21</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001344</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易方达沪深</w:t>
            </w:r>
            <w:r w:rsidRPr="00950DCA">
              <w:rPr>
                <w:rFonts w:ascii="宋体" w:hAnsi="宋体" w:cs="宋体"/>
                <w:color w:val="000000"/>
                <w:kern w:val="0"/>
                <w:szCs w:val="21"/>
              </w:rPr>
              <w:t>300医药卫生交易型开放式指数基金联接基金A</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22</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001373</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易方达新丝路灵活配置混合型基金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23</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001382</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易方达国企改革混合型基金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24</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001475</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易方达国防军工混合型基金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25</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001513</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易方达信息产业混合型基金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lastRenderedPageBreak/>
              <w:t>26</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001562</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易方达瑞和灵活配置混合型基金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27</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001603</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易方达安盈回报混合型基金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28</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001832</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易方达瑞恒灵活配置混合型基金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29</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001856</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易方达环保主题灵活配置混合型基金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30</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001857</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易方达现代服务业灵活配置混合型基金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31</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001898</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易方达大健康主题灵活配置混合型基金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32</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002216</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易方达量化策略精选灵活配置混合型基金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33</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002217</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易方达量化策略精选灵活配置混合型基金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34</w:t>
            </w:r>
          </w:p>
        </w:tc>
        <w:tc>
          <w:tcPr>
            <w:tcW w:w="851"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002351</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易方达裕祥回报债券型基金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35</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002602</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易方达丰惠混合型基金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36</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002910</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易方达供给改革灵活配置混合型基金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37</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002963</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易方达黄金交易型开放式基金联接基金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38</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002969</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易方达丰和债券型基金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39</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003293</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易方达科瑞灵活配置混合型基金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40</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004742</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易方达深证</w:t>
            </w:r>
            <w:r w:rsidRPr="00950DCA">
              <w:rPr>
                <w:rFonts w:ascii="宋体" w:hAnsi="宋体" w:cs="宋体"/>
                <w:color w:val="000000"/>
                <w:kern w:val="0"/>
                <w:szCs w:val="21"/>
              </w:rPr>
              <w:t>100交易型开放式指数基金联接基金C</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41</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004743</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易方达上证中盘交易型开放式指数基金联接基金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42</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004746</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w:t>
            </w:r>
            <w:r w:rsidRPr="00950DCA">
              <w:rPr>
                <w:rFonts w:ascii="宋体" w:hAnsi="宋体" w:cs="宋体"/>
                <w:color w:val="000000"/>
                <w:kern w:val="0"/>
                <w:szCs w:val="21"/>
              </w:rPr>
              <w:t>50指数基金C</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43</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005437</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易方达易百智能量化策略灵活配置混合型基金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44</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005438</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易方达易百智能量化策略灵活配置混合型基金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45</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005583</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易方达港股通红利灵活配置混合型基金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46</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005827</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易方达蓝筹精选混合型基金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47</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005875</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易方达中盘成长混合型基金</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48</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005876</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易方达鑫转增利混合型基金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49</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005877</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易方达鑫转增利混合型基金</w:t>
            </w:r>
            <w:r w:rsidR="00D015B8"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50</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005955</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易方达鑫转添利混合型基金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51</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005956</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易方达鑫转添利混合型基金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5</w:t>
            </w:r>
            <w:r w:rsidR="00D015B8" w:rsidRPr="00950DCA">
              <w:rPr>
                <w:rFonts w:ascii="宋体" w:hAnsi="宋体"/>
                <w:color w:val="000000"/>
                <w:szCs w:val="21"/>
              </w:rPr>
              <w:t>2</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006319</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易方达安瑞短债债券型基金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3F6D9C"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olor w:val="000000"/>
                <w:szCs w:val="21"/>
              </w:rPr>
              <w:t>5</w:t>
            </w:r>
            <w:r w:rsidR="00D015B8" w:rsidRPr="00950DCA">
              <w:rPr>
                <w:rFonts w:ascii="宋体" w:hAnsi="宋体"/>
                <w:color w:val="000000"/>
                <w:szCs w:val="21"/>
              </w:rPr>
              <w:t>3</w:t>
            </w:r>
          </w:p>
        </w:tc>
        <w:tc>
          <w:tcPr>
            <w:tcW w:w="851"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color w:val="000000"/>
                <w:kern w:val="0"/>
                <w:szCs w:val="21"/>
              </w:rPr>
              <w:t>006320</w:t>
            </w:r>
          </w:p>
        </w:tc>
        <w:tc>
          <w:tcPr>
            <w:tcW w:w="3969" w:type="dxa"/>
            <w:tcBorders>
              <w:top w:val="nil"/>
              <w:left w:val="nil"/>
              <w:bottom w:val="single" w:sz="4" w:space="0" w:color="auto"/>
              <w:right w:val="single" w:sz="4" w:space="0" w:color="auto"/>
            </w:tcBorders>
            <w:shd w:val="clear" w:color="auto" w:fill="auto"/>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易方达安瑞短债债券型基金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3F6D9C" w:rsidRPr="00950DCA" w:rsidRDefault="003F6D9C"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54</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006533</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易方达科融混合型基金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55</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006662</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易方达安悦超短债债券型基金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56</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006663</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易方达安悦超短债债券型基金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57</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006664</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易方达安悦超短债债券型基金</w:t>
            </w:r>
            <w:r w:rsidRPr="00950DCA">
              <w:rPr>
                <w:rFonts w:ascii="宋体" w:hAnsi="宋体" w:cs="宋体"/>
                <w:color w:val="000000"/>
                <w:kern w:val="0"/>
                <w:szCs w:val="21"/>
              </w:rPr>
              <w:t>F</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不开通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58</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006704</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w:t>
            </w:r>
            <w:r w:rsidRPr="00950DCA">
              <w:rPr>
                <w:rFonts w:ascii="宋体" w:hAnsi="宋体" w:cs="宋体"/>
                <w:color w:val="000000"/>
                <w:kern w:val="0"/>
                <w:szCs w:val="21"/>
              </w:rPr>
              <w:t>MSCI中国A股国际通交易型开放式指数基金发起式联接基金A</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59</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006705</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w:t>
            </w:r>
            <w:r w:rsidRPr="00950DCA">
              <w:rPr>
                <w:rFonts w:ascii="宋体" w:hAnsi="宋体" w:cs="宋体"/>
                <w:color w:val="000000"/>
                <w:kern w:val="0"/>
                <w:szCs w:val="21"/>
              </w:rPr>
              <w:t>MSCI中国A股国际通交易型开放式指数基金发起式联接基金C</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60</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006867</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易方达丰华债券型基金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lastRenderedPageBreak/>
              <w:t>61</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007339</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易方达沪深</w:t>
            </w:r>
            <w:r w:rsidRPr="00950DCA">
              <w:rPr>
                <w:rFonts w:ascii="宋体" w:hAnsi="宋体" w:cs="宋体"/>
                <w:color w:val="000000"/>
                <w:kern w:val="0"/>
                <w:szCs w:val="21"/>
              </w:rPr>
              <w:t>300交易型开放式指数发起式基金联接基金C</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62</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007379</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易方达上证</w:t>
            </w:r>
            <w:r w:rsidRPr="00950DCA">
              <w:rPr>
                <w:rFonts w:ascii="宋体" w:hAnsi="宋体" w:cs="宋体"/>
                <w:color w:val="000000"/>
                <w:kern w:val="0"/>
                <w:szCs w:val="21"/>
              </w:rPr>
              <w:t>50交易型开放式指数基金发起式联接基金A</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63</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007380</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易方达上证</w:t>
            </w:r>
            <w:r w:rsidRPr="00950DCA">
              <w:rPr>
                <w:rFonts w:ascii="宋体" w:hAnsi="宋体" w:cs="宋体"/>
                <w:color w:val="000000"/>
                <w:kern w:val="0"/>
                <w:szCs w:val="21"/>
              </w:rPr>
              <w:t>50交易型开放式指数基金发起式联接基金C</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64</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007548</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w:t>
            </w:r>
            <w:r w:rsidRPr="00950DCA">
              <w:rPr>
                <w:rFonts w:ascii="宋体" w:hAnsi="宋体" w:cs="宋体"/>
                <w:color w:val="000000"/>
                <w:kern w:val="0"/>
                <w:szCs w:val="21"/>
              </w:rPr>
              <w:t>ESG责任投资股票型发起式基金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65</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007856</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易方达中证</w:t>
            </w:r>
            <w:r w:rsidRPr="00950DCA">
              <w:rPr>
                <w:rFonts w:ascii="宋体" w:hAnsi="宋体" w:cs="宋体"/>
                <w:color w:val="000000"/>
                <w:kern w:val="0"/>
                <w:szCs w:val="21"/>
              </w:rPr>
              <w:t>800交易型开放式指数基金发起式联接基金A</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66</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007857</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易方达中证</w:t>
            </w:r>
            <w:r w:rsidRPr="00950DCA">
              <w:rPr>
                <w:rFonts w:ascii="宋体" w:hAnsi="宋体" w:cs="宋体"/>
                <w:color w:val="000000"/>
                <w:kern w:val="0"/>
                <w:szCs w:val="21"/>
              </w:rPr>
              <w:t>800交易型开放式指数基金发起式联接基金C</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67</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007882</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易方达沪深</w:t>
            </w:r>
            <w:r w:rsidRPr="00950DCA">
              <w:rPr>
                <w:rFonts w:ascii="宋体" w:hAnsi="宋体" w:cs="宋体"/>
                <w:color w:val="000000"/>
                <w:kern w:val="0"/>
                <w:szCs w:val="21"/>
              </w:rPr>
              <w:t>300非银行金融交易型开放式指数基金联接基金C</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68</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007883</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易方达沪深</w:t>
            </w:r>
            <w:r w:rsidRPr="00950DCA">
              <w:rPr>
                <w:rFonts w:ascii="宋体" w:hAnsi="宋体" w:cs="宋体"/>
                <w:color w:val="000000"/>
                <w:kern w:val="0"/>
                <w:szCs w:val="21"/>
              </w:rPr>
              <w:t>300医药卫生交易型开放式指数基金联接基金C</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69</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008283</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易方达金融行业股票型发起式基金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70</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008286</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易方达研究精选股票型基金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71</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008556</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易方达裕富债券型基金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72</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008557</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易方达裕富债券型基金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73</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009049</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易方达高端制造混合型发起式基金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74</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009051</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易方达中证红利交易型开放式指数基金发起式联接基金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75</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009052</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易方达中证红利交易型开放式指数基金发起式联接基金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76</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009265</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易方达消费精选股票型基金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77</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009341</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易方达均衡成长股票型基金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不开通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78</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110001</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易方达平稳增长基金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79</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110002</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易方达策略成长基金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80</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110003</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w:t>
            </w:r>
            <w:r w:rsidRPr="00950DCA">
              <w:rPr>
                <w:rFonts w:ascii="宋体" w:hAnsi="宋体" w:cs="宋体"/>
                <w:color w:val="000000"/>
                <w:kern w:val="0"/>
                <w:szCs w:val="21"/>
              </w:rPr>
              <w:t>50指数基金A</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81</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110005</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易方达积极成长基金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82</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110007</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易方达稳健收益债券型基金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83</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110008</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易方达稳健收益债券型基金</w:t>
            </w:r>
            <w:r w:rsidRPr="00950DCA">
              <w:rPr>
                <w:rFonts w:ascii="宋体" w:hAnsi="宋体" w:cs="宋体"/>
                <w:color w:val="000000"/>
                <w:kern w:val="0"/>
                <w:szCs w:val="21"/>
              </w:rPr>
              <w:t>B</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84</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110009</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易方达价值精选混合型基金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85</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110010</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易方达价值成长混合型基金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86</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110011</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易方达中小盘混合型基金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87</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110012</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易方达科汇灵活配置混合型基金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88</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110013</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易方达科翔混合型基金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89</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110015</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易方达行业领先企业混合型基金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90</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110017</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易方达增强回报债券型基金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91</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110018</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易方达增强回报债券型基金</w:t>
            </w:r>
            <w:r w:rsidRPr="00950DCA">
              <w:rPr>
                <w:rFonts w:ascii="宋体" w:hAnsi="宋体" w:cs="宋体"/>
                <w:color w:val="000000"/>
                <w:kern w:val="0"/>
                <w:szCs w:val="21"/>
              </w:rPr>
              <w:t>B</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92</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110019</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易方达深证</w:t>
            </w:r>
            <w:r w:rsidRPr="00950DCA">
              <w:rPr>
                <w:rFonts w:ascii="宋体" w:hAnsi="宋体" w:cs="宋体"/>
                <w:color w:val="000000"/>
                <w:kern w:val="0"/>
                <w:szCs w:val="21"/>
              </w:rPr>
              <w:t>100交易型开放式指数基金联接基金A</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93</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110021</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易方达上证中盘交易型开放式指数基金联接基金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94</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110022</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易方达消费行业股票型基金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95</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110023</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易方达医疗保健行业混合型基金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96</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110025</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易方达资源行业混合型基金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97</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110027</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易方达安心回报债券型基金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98</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110028</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易方达安心回报债券型基金</w:t>
            </w:r>
            <w:r w:rsidRPr="00950DCA">
              <w:rPr>
                <w:rFonts w:ascii="宋体" w:hAnsi="宋体" w:cs="宋体"/>
                <w:color w:val="000000"/>
                <w:kern w:val="0"/>
                <w:szCs w:val="21"/>
              </w:rPr>
              <w:t>B</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99</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110029</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易方达科讯混合型基金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100</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110030</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易方达沪深</w:t>
            </w:r>
            <w:r w:rsidRPr="00950DCA">
              <w:rPr>
                <w:rFonts w:ascii="宋体" w:hAnsi="宋体" w:cs="宋体"/>
                <w:color w:val="000000"/>
                <w:kern w:val="0"/>
                <w:szCs w:val="21"/>
              </w:rPr>
              <w:t>300量化增强基金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101</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110035</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易方达双债增强债券型基金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102</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110036</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易方达双债增强债券型基金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103</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110052</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易方达安源中短债债券型基金</w:t>
            </w:r>
            <w:r w:rsidRPr="00950DCA">
              <w:rPr>
                <w:rFonts w:ascii="宋体" w:hAnsi="宋体" w:cs="宋体"/>
                <w:color w:val="000000"/>
                <w:kern w:val="0"/>
                <w:szCs w:val="21"/>
              </w:rPr>
              <w:t>C</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104</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110053</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易方达安源中短债债券型基金</w:t>
            </w:r>
            <w:r w:rsidRPr="00950DCA">
              <w:rPr>
                <w:rFonts w:ascii="宋体" w:hAnsi="宋体" w:cs="宋体"/>
                <w:color w:val="000000"/>
                <w:kern w:val="0"/>
                <w:szCs w:val="21"/>
              </w:rPr>
              <w:t>A</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r w:rsidR="00D015B8" w:rsidRPr="00D015B8" w:rsidTr="00950DCA">
        <w:trPr>
          <w:trHeight w:val="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olor w:val="000000"/>
                <w:szCs w:val="21"/>
              </w:rPr>
              <w:t>105</w:t>
            </w:r>
          </w:p>
        </w:tc>
        <w:tc>
          <w:tcPr>
            <w:tcW w:w="851"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color w:val="000000"/>
                <w:kern w:val="0"/>
                <w:szCs w:val="21"/>
              </w:rPr>
              <w:t>112002</w:t>
            </w:r>
          </w:p>
        </w:tc>
        <w:tc>
          <w:tcPr>
            <w:tcW w:w="3969" w:type="dxa"/>
            <w:tcBorders>
              <w:top w:val="nil"/>
              <w:left w:val="nil"/>
              <w:bottom w:val="single" w:sz="4" w:space="0" w:color="auto"/>
              <w:right w:val="single" w:sz="4" w:space="0" w:color="auto"/>
            </w:tcBorders>
            <w:shd w:val="clear" w:color="auto" w:fill="auto"/>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易方达策略成长二号混合型基金</w:t>
            </w:r>
          </w:p>
        </w:tc>
        <w:tc>
          <w:tcPr>
            <w:tcW w:w="992"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10"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c>
          <w:tcPr>
            <w:tcW w:w="967" w:type="dxa"/>
            <w:tcBorders>
              <w:top w:val="nil"/>
              <w:left w:val="nil"/>
              <w:bottom w:val="single" w:sz="4" w:space="0" w:color="auto"/>
              <w:right w:val="single" w:sz="4" w:space="0" w:color="auto"/>
            </w:tcBorders>
            <w:shd w:val="clear" w:color="000000" w:fill="FFFFFF"/>
            <w:vAlign w:val="center"/>
            <w:hideMark/>
          </w:tcPr>
          <w:p w:rsidR="00D015B8" w:rsidRPr="00950DCA" w:rsidRDefault="00D015B8" w:rsidP="00D015B8">
            <w:pPr>
              <w:widowControl/>
              <w:jc w:val="center"/>
              <w:rPr>
                <w:rFonts w:ascii="宋体" w:hAnsi="宋体" w:cs="宋体"/>
                <w:color w:val="000000"/>
                <w:kern w:val="0"/>
                <w:szCs w:val="21"/>
              </w:rPr>
            </w:pPr>
            <w:r w:rsidRPr="00950DCA">
              <w:rPr>
                <w:rFonts w:ascii="宋体" w:hAnsi="宋体" w:cs="宋体" w:hint="eastAsia"/>
                <w:color w:val="000000"/>
                <w:kern w:val="0"/>
                <w:szCs w:val="21"/>
              </w:rPr>
              <w:t>开通</w:t>
            </w:r>
          </w:p>
        </w:tc>
      </w:tr>
    </w:tbl>
    <w:p w:rsidR="004D3C3C" w:rsidRDefault="00827D9D" w:rsidP="00FA4A96">
      <w:pPr>
        <w:spacing w:line="360" w:lineRule="auto"/>
        <w:ind w:firstLineChars="200" w:firstLine="420"/>
        <w:jc w:val="left"/>
      </w:pPr>
      <w:r w:rsidRPr="004D3C3C">
        <w:t>注：</w:t>
      </w:r>
      <w:r w:rsidR="00FA4A96">
        <w:t>1</w:t>
      </w:r>
      <w:r w:rsidR="0016199D" w:rsidRPr="00827D9D">
        <w:rPr>
          <w:rFonts w:ascii="宋体" w:hAnsi="宋体" w:cs="Arial Unicode MS"/>
          <w:kern w:val="0"/>
          <w:szCs w:val="21"/>
        </w:rPr>
        <w:t>.</w:t>
      </w:r>
      <w:r w:rsidR="004D3C3C">
        <w:rPr>
          <w:rFonts w:hint="eastAsia"/>
        </w:rPr>
        <w:t>易方达蓝筹精选混合型基金仅开放转换转入业务，转换转出业务暂不开放，具体开放时间本公司将另行公告。</w:t>
      </w:r>
    </w:p>
    <w:p w:rsidR="00FA4A96" w:rsidRPr="00FA4A96" w:rsidRDefault="00FA4A96" w:rsidP="00FA4A96">
      <w:pPr>
        <w:spacing w:line="360" w:lineRule="auto"/>
        <w:ind w:firstLineChars="200" w:firstLine="420"/>
        <w:jc w:val="left"/>
      </w:pPr>
      <w:r>
        <w:t>2</w:t>
      </w:r>
      <w:r w:rsidR="0016199D" w:rsidRPr="00827D9D">
        <w:rPr>
          <w:rFonts w:ascii="宋体" w:hAnsi="宋体" w:cs="Arial Unicode MS"/>
          <w:kern w:val="0"/>
          <w:szCs w:val="21"/>
        </w:rPr>
        <w:t>.</w:t>
      </w:r>
      <w:r>
        <w:rPr>
          <w:rFonts w:hint="eastAsia"/>
        </w:rPr>
        <w:t>易方达均衡成长股票型基金</w:t>
      </w:r>
      <w:r w:rsidR="007619F3">
        <w:rPr>
          <w:rFonts w:hint="eastAsia"/>
        </w:rPr>
        <w:t>仅开放赎回、转换转出业务，申购、定期定额投资及转换转入业务</w:t>
      </w:r>
      <w:r>
        <w:rPr>
          <w:rFonts w:hint="eastAsia"/>
        </w:rPr>
        <w:t>暂不开放，具体开放时间本公司将另行公告。</w:t>
      </w:r>
    </w:p>
    <w:p w:rsidR="00B10F9C" w:rsidRPr="00827D9D" w:rsidRDefault="00B10F9C" w:rsidP="00B10F9C">
      <w:pPr>
        <w:spacing w:line="360" w:lineRule="auto"/>
        <w:ind w:firstLineChars="200" w:firstLine="420"/>
        <w:jc w:val="left"/>
        <w:rPr>
          <w:rFonts w:ascii="宋体" w:hAnsi="宋体"/>
          <w:bCs/>
          <w:szCs w:val="21"/>
        </w:rPr>
      </w:pPr>
      <w:r w:rsidRPr="00827D9D">
        <w:rPr>
          <w:rStyle w:val="HTML"/>
          <w:rFonts w:cs="Arial Unicode MS" w:hint="eastAsia"/>
          <w:sz w:val="21"/>
          <w:szCs w:val="21"/>
        </w:rPr>
        <w:t>二、</w:t>
      </w:r>
      <w:r w:rsidRPr="00827D9D">
        <w:rPr>
          <w:rStyle w:val="HTML"/>
          <w:rFonts w:cs="Arial Unicode MS"/>
          <w:sz w:val="21"/>
          <w:szCs w:val="21"/>
        </w:rPr>
        <w:t>关于本公司在</w:t>
      </w:r>
      <w:r w:rsidR="005E55C4">
        <w:rPr>
          <w:rFonts w:ascii="宋体" w:hAnsi="宋体" w:hint="eastAsia"/>
          <w:szCs w:val="21"/>
        </w:rPr>
        <w:t>兰州</w:t>
      </w:r>
      <w:r w:rsidR="0058693E" w:rsidRPr="00827D9D">
        <w:rPr>
          <w:rFonts w:ascii="宋体" w:hAnsi="宋体" w:hint="eastAsia"/>
          <w:szCs w:val="21"/>
        </w:rPr>
        <w:t>银行</w:t>
      </w:r>
      <w:r w:rsidR="00E75D71" w:rsidRPr="00827D9D">
        <w:rPr>
          <w:rFonts w:ascii="宋体" w:hAnsi="宋体" w:hint="eastAsia"/>
          <w:szCs w:val="21"/>
        </w:rPr>
        <w:t>推出旗下部分开放式基金的定期定额投资业务</w:t>
      </w:r>
    </w:p>
    <w:p w:rsidR="00480983" w:rsidRPr="00827D9D" w:rsidRDefault="00B10F9C" w:rsidP="00B10F9C">
      <w:pPr>
        <w:spacing w:line="360" w:lineRule="auto"/>
        <w:ind w:firstLineChars="200" w:firstLine="420"/>
        <w:jc w:val="left"/>
        <w:rPr>
          <w:rStyle w:val="HTML"/>
          <w:rFonts w:cs="Arial Unicode MS"/>
          <w:sz w:val="21"/>
          <w:szCs w:val="21"/>
        </w:rPr>
      </w:pPr>
      <w:r w:rsidRPr="00827D9D">
        <w:rPr>
          <w:rStyle w:val="ab"/>
          <w:rFonts w:ascii="宋体" w:hAnsi="宋体"/>
        </w:rPr>
        <w:t>定期定额投资业务是指投资者可通过基金管理人指定的销售机构提交申请</w:t>
      </w:r>
      <w:r w:rsidRPr="00827D9D">
        <w:rPr>
          <w:rStyle w:val="HTML"/>
          <w:rFonts w:cs="Arial Unicode MS"/>
          <w:sz w:val="21"/>
          <w:szCs w:val="21"/>
        </w:rPr>
        <w:t>，约定每期扣款时间、扣款金额，由指定的销售机构于每期约定扣款日在投资者指定资金账户内自动完成扣款，并提交基金申购申请的一种长期投资方式，该业务相关规定如下：</w:t>
      </w:r>
    </w:p>
    <w:p w:rsidR="00480983" w:rsidRPr="00827D9D" w:rsidRDefault="00480983" w:rsidP="00480983">
      <w:pPr>
        <w:spacing w:line="360" w:lineRule="auto"/>
        <w:ind w:firstLineChars="200" w:firstLine="420"/>
        <w:jc w:val="left"/>
        <w:rPr>
          <w:rFonts w:ascii="宋体" w:hAnsi="宋体" w:cs="Arial Unicode MS"/>
          <w:kern w:val="0"/>
          <w:szCs w:val="21"/>
        </w:rPr>
      </w:pPr>
      <w:r w:rsidRPr="00827D9D">
        <w:rPr>
          <w:rFonts w:ascii="宋体" w:hAnsi="宋体" w:cs="Arial Unicode MS"/>
          <w:kern w:val="0"/>
          <w:szCs w:val="21"/>
        </w:rPr>
        <w:t>1.</w:t>
      </w:r>
      <w:r w:rsidR="00B10F9C" w:rsidRPr="00827D9D">
        <w:rPr>
          <w:rFonts w:ascii="宋体" w:hAnsi="宋体" w:cs="Arial Unicode MS"/>
          <w:kern w:val="0"/>
          <w:szCs w:val="21"/>
        </w:rPr>
        <w:t>除</w:t>
      </w:r>
      <w:r w:rsidR="00B10F9C" w:rsidRPr="00827D9D">
        <w:rPr>
          <w:rFonts w:ascii="宋体" w:hAnsi="宋体"/>
          <w:kern w:val="0"/>
          <w:szCs w:val="21"/>
        </w:rPr>
        <w:t>另有公告外，定期定额投资费率与日常申购费率相同。</w:t>
      </w:r>
    </w:p>
    <w:p w:rsidR="000E14E9" w:rsidRPr="00827D9D" w:rsidRDefault="00480983" w:rsidP="00480983">
      <w:pPr>
        <w:spacing w:line="360" w:lineRule="auto"/>
        <w:ind w:firstLineChars="200" w:firstLine="420"/>
        <w:jc w:val="left"/>
        <w:rPr>
          <w:rFonts w:ascii="宋体" w:hAnsi="宋体" w:cs="Arial Unicode MS"/>
          <w:kern w:val="0"/>
          <w:szCs w:val="21"/>
        </w:rPr>
      </w:pPr>
      <w:r w:rsidRPr="00827D9D">
        <w:rPr>
          <w:rFonts w:ascii="宋体" w:hAnsi="宋体" w:cs="Arial Unicode MS"/>
          <w:kern w:val="0"/>
          <w:szCs w:val="21"/>
        </w:rPr>
        <w:t>2.</w:t>
      </w:r>
      <w:r w:rsidR="00B10F9C" w:rsidRPr="00827D9D">
        <w:rPr>
          <w:rFonts w:ascii="宋体" w:hAnsi="宋体" w:cs="Arial Unicode MS"/>
          <w:kern w:val="0"/>
          <w:szCs w:val="21"/>
        </w:rPr>
        <w:t>定期定额投资每期扣款金额：投资者</w:t>
      </w:r>
      <w:r w:rsidR="00B10F9C" w:rsidRPr="00827D9D">
        <w:rPr>
          <w:rFonts w:ascii="宋体" w:hAnsi="宋体" w:hint="eastAsia"/>
          <w:bCs/>
          <w:szCs w:val="21"/>
        </w:rPr>
        <w:t>通过</w:t>
      </w:r>
      <w:r w:rsidR="005E55C4">
        <w:rPr>
          <w:rFonts w:ascii="宋体" w:hAnsi="宋体" w:hint="eastAsia"/>
          <w:bCs/>
          <w:szCs w:val="21"/>
        </w:rPr>
        <w:t>兰州</w:t>
      </w:r>
      <w:r w:rsidR="0058693E" w:rsidRPr="00827D9D">
        <w:rPr>
          <w:rFonts w:ascii="宋体" w:hAnsi="宋体" w:hint="eastAsia"/>
          <w:bCs/>
          <w:szCs w:val="21"/>
        </w:rPr>
        <w:t>银行</w:t>
      </w:r>
      <w:r w:rsidR="00B10F9C" w:rsidRPr="00827D9D">
        <w:rPr>
          <w:rFonts w:ascii="宋体" w:hAnsi="宋体" w:hint="eastAsia"/>
          <w:bCs/>
          <w:szCs w:val="21"/>
        </w:rPr>
        <w:t>办理</w:t>
      </w:r>
      <w:r w:rsidR="00B10F9C" w:rsidRPr="00827D9D">
        <w:rPr>
          <w:rFonts w:ascii="宋体" w:hAnsi="宋体" w:cs="Arial Unicode MS" w:hint="eastAsia"/>
          <w:kern w:val="0"/>
          <w:szCs w:val="21"/>
        </w:rPr>
        <w:t>定期定额投资业务，起点金额为</w:t>
      </w:r>
      <w:r w:rsidR="00D81533" w:rsidRPr="00827D9D">
        <w:rPr>
          <w:rFonts w:ascii="宋体" w:hAnsi="宋体" w:cs="Arial Unicode MS"/>
          <w:kern w:val="0"/>
          <w:szCs w:val="21"/>
        </w:rPr>
        <w:t>1</w:t>
      </w:r>
      <w:r w:rsidR="00B10F9C" w:rsidRPr="00827D9D">
        <w:rPr>
          <w:rFonts w:ascii="宋体" w:hAnsi="宋体" w:cs="Arial Unicode MS"/>
          <w:kern w:val="0"/>
          <w:szCs w:val="21"/>
        </w:rPr>
        <w:t>元。</w:t>
      </w:r>
      <w:r w:rsidR="005E55C4">
        <w:rPr>
          <w:rFonts w:ascii="宋体" w:hAnsi="宋体" w:hint="eastAsia"/>
          <w:szCs w:val="21"/>
        </w:rPr>
        <w:t>兰州</w:t>
      </w:r>
      <w:r w:rsidR="0058693E" w:rsidRPr="00827D9D">
        <w:rPr>
          <w:rFonts w:ascii="宋体" w:hAnsi="宋体" w:hint="eastAsia"/>
          <w:szCs w:val="21"/>
        </w:rPr>
        <w:t>银行</w:t>
      </w:r>
      <w:r w:rsidR="00B10F9C" w:rsidRPr="00827D9D">
        <w:rPr>
          <w:rFonts w:ascii="宋体" w:hAnsi="宋体" w:cs="Arial Unicode MS" w:hint="eastAsia"/>
          <w:kern w:val="0"/>
          <w:szCs w:val="21"/>
        </w:rPr>
        <w:t>将按照与投资者申请时所约定的每期约定扣款日、扣款金额扣款，并在与基金日常申购业务相同的受理时间内提交申请。若遇非基金开放日时，扣款是否顺延以</w:t>
      </w:r>
      <w:r w:rsidR="005E55C4">
        <w:rPr>
          <w:rFonts w:ascii="宋体" w:hAnsi="宋体" w:hint="eastAsia"/>
          <w:szCs w:val="21"/>
        </w:rPr>
        <w:t>兰州</w:t>
      </w:r>
      <w:r w:rsidR="0058693E" w:rsidRPr="00827D9D">
        <w:rPr>
          <w:rFonts w:ascii="宋体" w:hAnsi="宋体" w:hint="eastAsia"/>
          <w:szCs w:val="21"/>
        </w:rPr>
        <w:t>银行</w:t>
      </w:r>
      <w:r w:rsidR="00B10F9C" w:rsidRPr="00827D9D">
        <w:rPr>
          <w:rFonts w:ascii="宋体" w:hAnsi="宋体" w:cs="Arial Unicode MS" w:hint="eastAsia"/>
          <w:kern w:val="0"/>
          <w:szCs w:val="21"/>
        </w:rPr>
        <w:t>的具体规定为准。具体扣款方式以</w:t>
      </w:r>
      <w:r w:rsidR="005E55C4">
        <w:rPr>
          <w:rFonts w:ascii="宋体" w:hAnsi="宋体" w:hint="eastAsia"/>
          <w:szCs w:val="21"/>
        </w:rPr>
        <w:t>兰州</w:t>
      </w:r>
      <w:r w:rsidR="0058693E" w:rsidRPr="00827D9D">
        <w:rPr>
          <w:rFonts w:ascii="宋体" w:hAnsi="宋体" w:hint="eastAsia"/>
          <w:szCs w:val="21"/>
        </w:rPr>
        <w:t>银行</w:t>
      </w:r>
      <w:r w:rsidR="00B10F9C" w:rsidRPr="00827D9D">
        <w:rPr>
          <w:rFonts w:ascii="宋体" w:hAnsi="宋体" w:cs="Arial Unicode MS" w:hint="eastAsia"/>
          <w:kern w:val="0"/>
          <w:szCs w:val="21"/>
        </w:rPr>
        <w:t>的相关业务规则为准。</w:t>
      </w:r>
    </w:p>
    <w:p w:rsidR="00884618" w:rsidRPr="00827D9D" w:rsidRDefault="000E14E9" w:rsidP="000E14E9">
      <w:pPr>
        <w:spacing w:line="360" w:lineRule="auto"/>
        <w:ind w:firstLineChars="200" w:firstLine="420"/>
        <w:jc w:val="left"/>
        <w:rPr>
          <w:rFonts w:ascii="宋体" w:hAnsi="宋体" w:cs="Arial Unicode MS"/>
          <w:kern w:val="0"/>
          <w:szCs w:val="21"/>
        </w:rPr>
      </w:pPr>
      <w:r w:rsidRPr="00827D9D">
        <w:rPr>
          <w:rFonts w:ascii="宋体" w:hAnsi="宋体" w:cs="Arial Unicode MS"/>
          <w:kern w:val="0"/>
          <w:szCs w:val="21"/>
        </w:rPr>
        <w:t>3.</w:t>
      </w:r>
      <w:r w:rsidR="005E2B1E" w:rsidRPr="00827D9D">
        <w:rPr>
          <w:rFonts w:ascii="宋体" w:hAnsi="宋体"/>
          <w:kern w:val="0"/>
          <w:szCs w:val="21"/>
        </w:rPr>
        <w:t>基金的注册登记人按照基金申购申请日（T日）的基金份额净值为基准计算申购份额，申购份额确认成功后直接计入投资者的基金账户，投资者可通过本公司或销售机构查询申请的确认情况，上述基金申购具体确认时间及可查询时间以相关基金法律文件及公告通知为准。</w:t>
      </w:r>
    </w:p>
    <w:p w:rsidR="00884618" w:rsidRPr="00827D9D" w:rsidRDefault="00884618" w:rsidP="00884618">
      <w:pPr>
        <w:spacing w:line="360" w:lineRule="auto"/>
        <w:ind w:firstLineChars="200" w:firstLine="420"/>
        <w:jc w:val="left"/>
        <w:rPr>
          <w:rFonts w:ascii="宋体" w:hAnsi="宋体" w:cs="Arial Unicode MS"/>
          <w:kern w:val="0"/>
          <w:szCs w:val="21"/>
        </w:rPr>
      </w:pPr>
      <w:r w:rsidRPr="00827D9D">
        <w:rPr>
          <w:rFonts w:ascii="宋体" w:hAnsi="宋体" w:cs="Arial Unicode MS"/>
          <w:kern w:val="0"/>
          <w:szCs w:val="21"/>
        </w:rPr>
        <w:t>4.</w:t>
      </w:r>
      <w:r w:rsidR="00B10F9C" w:rsidRPr="00827D9D">
        <w:rPr>
          <w:rFonts w:ascii="宋体" w:hAnsi="宋体" w:cs="Arial Unicode MS"/>
          <w:kern w:val="0"/>
          <w:szCs w:val="21"/>
        </w:rPr>
        <w:t>当发生限制申购或暂停申购的情形时，除另有公告外，定期定额投资与日常申购按相同的原则确认。</w:t>
      </w:r>
    </w:p>
    <w:p w:rsidR="00B10F9C" w:rsidRPr="00827D9D" w:rsidRDefault="00884618" w:rsidP="00884618">
      <w:pPr>
        <w:spacing w:line="360" w:lineRule="auto"/>
        <w:ind w:firstLineChars="200" w:firstLine="420"/>
        <w:jc w:val="left"/>
        <w:rPr>
          <w:rFonts w:ascii="宋体" w:hAnsi="宋体" w:cs="Arial Unicode MS"/>
          <w:kern w:val="0"/>
          <w:szCs w:val="21"/>
        </w:rPr>
      </w:pPr>
      <w:r w:rsidRPr="00827D9D">
        <w:rPr>
          <w:rFonts w:ascii="宋体" w:hAnsi="宋体" w:cs="Arial Unicode MS"/>
          <w:kern w:val="0"/>
          <w:szCs w:val="21"/>
        </w:rPr>
        <w:t>5.</w:t>
      </w:r>
      <w:r w:rsidR="00B10F9C" w:rsidRPr="00827D9D">
        <w:rPr>
          <w:rFonts w:ascii="宋体" w:hAnsi="宋体" w:cs="Arial Unicode MS"/>
          <w:kern w:val="0"/>
          <w:szCs w:val="21"/>
        </w:rPr>
        <w:t>定期定额投资业务的其它具体办理程序请遵循</w:t>
      </w:r>
      <w:r w:rsidR="005E55C4">
        <w:rPr>
          <w:rFonts w:ascii="宋体" w:hAnsi="宋体" w:hint="eastAsia"/>
          <w:szCs w:val="21"/>
        </w:rPr>
        <w:t>兰州</w:t>
      </w:r>
      <w:r w:rsidR="0058693E" w:rsidRPr="00827D9D">
        <w:rPr>
          <w:rFonts w:ascii="宋体" w:hAnsi="宋体" w:hint="eastAsia"/>
          <w:szCs w:val="21"/>
        </w:rPr>
        <w:t>银行</w:t>
      </w:r>
      <w:r w:rsidR="00B10F9C" w:rsidRPr="00827D9D">
        <w:rPr>
          <w:rFonts w:ascii="宋体" w:hAnsi="宋体" w:cs="Arial Unicode MS" w:hint="eastAsia"/>
          <w:kern w:val="0"/>
          <w:szCs w:val="21"/>
        </w:rPr>
        <w:t>的有关规定。</w:t>
      </w:r>
    </w:p>
    <w:p w:rsidR="00241C62" w:rsidRPr="00827D9D" w:rsidRDefault="00B10F9C">
      <w:pPr>
        <w:spacing w:line="360" w:lineRule="auto"/>
        <w:ind w:firstLineChars="200" w:firstLine="420"/>
        <w:jc w:val="left"/>
        <w:rPr>
          <w:rStyle w:val="HTML"/>
          <w:rFonts w:cs="Arial Unicode MS"/>
          <w:sz w:val="21"/>
          <w:szCs w:val="21"/>
        </w:rPr>
      </w:pPr>
      <w:r w:rsidRPr="00827D9D">
        <w:rPr>
          <w:rStyle w:val="HTML"/>
          <w:rFonts w:cs="Arial Unicode MS" w:hint="eastAsia"/>
          <w:sz w:val="21"/>
          <w:szCs w:val="21"/>
        </w:rPr>
        <w:t>三</w:t>
      </w:r>
      <w:r w:rsidR="00A0610A" w:rsidRPr="00827D9D">
        <w:rPr>
          <w:rStyle w:val="HTML"/>
          <w:rFonts w:cs="Arial Unicode MS" w:hint="eastAsia"/>
          <w:sz w:val="21"/>
          <w:szCs w:val="21"/>
        </w:rPr>
        <w:t>、重要提示</w:t>
      </w:r>
    </w:p>
    <w:p w:rsidR="00EC457A" w:rsidRPr="00827D9D" w:rsidRDefault="00EC457A" w:rsidP="00EC457A">
      <w:pPr>
        <w:spacing w:line="360" w:lineRule="auto"/>
        <w:ind w:firstLineChars="200" w:firstLine="420"/>
        <w:jc w:val="left"/>
        <w:rPr>
          <w:rFonts w:ascii="宋体" w:hAnsi="宋体" w:cs="Arial Unicode MS"/>
          <w:kern w:val="0"/>
          <w:szCs w:val="21"/>
        </w:rPr>
      </w:pPr>
      <w:r w:rsidRPr="00827D9D">
        <w:rPr>
          <w:rFonts w:ascii="宋体" w:hAnsi="宋体" w:cs="Arial Unicode MS"/>
          <w:kern w:val="0"/>
          <w:szCs w:val="21"/>
        </w:rPr>
        <w:t>1.本公司所管理的尚未开通定期定额投资业务的开放式基金及今后发行的开放式基金是否开通定期定额投资业务将根据具体情况确定并另行公告。若今后</w:t>
      </w:r>
      <w:r w:rsidR="005E55C4">
        <w:rPr>
          <w:rFonts w:ascii="宋体" w:hAnsi="宋体" w:cs="Arial Unicode MS" w:hint="eastAsia"/>
          <w:kern w:val="0"/>
          <w:szCs w:val="21"/>
        </w:rPr>
        <w:t>兰州</w:t>
      </w:r>
      <w:r w:rsidR="0058693E" w:rsidRPr="00827D9D">
        <w:rPr>
          <w:rFonts w:ascii="宋体" w:hAnsi="宋体" w:cs="Arial Unicode MS" w:hint="eastAsia"/>
          <w:kern w:val="0"/>
          <w:szCs w:val="21"/>
        </w:rPr>
        <w:t>银行</w:t>
      </w:r>
      <w:r w:rsidRPr="00827D9D">
        <w:rPr>
          <w:rFonts w:ascii="宋体" w:hAnsi="宋体" w:cs="Arial Unicode MS" w:hint="eastAsia"/>
          <w:kern w:val="0"/>
          <w:szCs w:val="21"/>
        </w:rPr>
        <w:t>依据法律法规及基金相关法律文件对定期定额投资起点金额进行调整，在不低于本公司对各基金设定的定期定额投资起点金额的前提下，以</w:t>
      </w:r>
      <w:r w:rsidR="005E55C4">
        <w:rPr>
          <w:rFonts w:ascii="宋体" w:hAnsi="宋体" w:cs="Arial Unicode MS" w:hint="eastAsia"/>
          <w:kern w:val="0"/>
          <w:szCs w:val="21"/>
        </w:rPr>
        <w:t>兰州</w:t>
      </w:r>
      <w:r w:rsidR="0058693E" w:rsidRPr="00827D9D">
        <w:rPr>
          <w:rFonts w:ascii="宋体" w:hAnsi="宋体" w:cs="Arial Unicode MS" w:hint="eastAsia"/>
          <w:kern w:val="0"/>
          <w:szCs w:val="21"/>
        </w:rPr>
        <w:t>银行</w:t>
      </w:r>
      <w:r w:rsidRPr="00827D9D">
        <w:rPr>
          <w:rFonts w:ascii="宋体" w:hAnsi="宋体" w:cs="Arial Unicode MS" w:hint="eastAsia"/>
          <w:kern w:val="0"/>
          <w:szCs w:val="21"/>
        </w:rPr>
        <w:t>最新规定为准。</w:t>
      </w:r>
    </w:p>
    <w:p w:rsidR="00EC457A" w:rsidRPr="00827D9D" w:rsidRDefault="00EC457A" w:rsidP="00EC457A">
      <w:pPr>
        <w:spacing w:line="360" w:lineRule="auto"/>
        <w:ind w:firstLineChars="200" w:firstLine="420"/>
        <w:jc w:val="left"/>
        <w:rPr>
          <w:rFonts w:ascii="宋体" w:hAnsi="宋体" w:cs="Arial Unicode MS"/>
          <w:kern w:val="0"/>
          <w:szCs w:val="21"/>
        </w:rPr>
      </w:pPr>
      <w:r w:rsidRPr="00827D9D">
        <w:rPr>
          <w:rFonts w:ascii="宋体" w:hAnsi="宋体" w:cs="Arial Unicode MS"/>
          <w:kern w:val="0"/>
          <w:szCs w:val="21"/>
        </w:rPr>
        <w:t>2.</w:t>
      </w:r>
      <w:r w:rsidRPr="00827D9D">
        <w:rPr>
          <w:rFonts w:ascii="宋体" w:hAnsi="宋体" w:cs="Arial Unicode MS" w:hint="eastAsia"/>
          <w:kern w:val="0"/>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w:t>
      </w:r>
      <w:r w:rsidRPr="00827D9D">
        <w:rPr>
          <w:rFonts w:ascii="宋体" w:hAnsi="宋体" w:cs="Arial Unicode MS"/>
          <w:kern w:val="0"/>
          <w:szCs w:val="21"/>
        </w:rPr>
        <w:t>更新）</w:t>
      </w:r>
      <w:r w:rsidRPr="00827D9D">
        <w:rPr>
          <w:rFonts w:ascii="宋体" w:hAnsi="宋体" w:cs="Arial Unicode MS" w:hint="eastAsia"/>
          <w:kern w:val="0"/>
          <w:szCs w:val="21"/>
        </w:rPr>
        <w:t>等法律文件及相关公告。</w:t>
      </w:r>
    </w:p>
    <w:p w:rsidR="00EC457A" w:rsidRPr="00827D9D" w:rsidRDefault="00EC457A" w:rsidP="00EC457A">
      <w:pPr>
        <w:spacing w:line="360" w:lineRule="auto"/>
        <w:ind w:firstLineChars="200" w:firstLine="420"/>
        <w:jc w:val="left"/>
        <w:rPr>
          <w:rFonts w:ascii="宋体" w:hAnsi="宋体" w:cs="Arial Unicode MS"/>
          <w:kern w:val="0"/>
          <w:szCs w:val="21"/>
        </w:rPr>
      </w:pPr>
      <w:r w:rsidRPr="00827D9D">
        <w:rPr>
          <w:rFonts w:ascii="宋体" w:hAnsi="宋体" w:cs="Arial Unicode MS"/>
          <w:kern w:val="0"/>
          <w:szCs w:val="21"/>
        </w:rPr>
        <w:t>3.上述基金最新交易状态请关注本公司相关公告。</w:t>
      </w:r>
    </w:p>
    <w:p w:rsidR="00EC457A" w:rsidRPr="00827D9D" w:rsidRDefault="00EC457A" w:rsidP="00EC457A">
      <w:pPr>
        <w:spacing w:line="360" w:lineRule="auto"/>
        <w:ind w:firstLineChars="200" w:firstLine="420"/>
        <w:jc w:val="left"/>
        <w:rPr>
          <w:rFonts w:ascii="宋体" w:hAnsi="宋体" w:cs="Arial Unicode MS"/>
          <w:kern w:val="0"/>
          <w:szCs w:val="21"/>
        </w:rPr>
      </w:pPr>
      <w:r w:rsidRPr="00827D9D">
        <w:rPr>
          <w:rFonts w:ascii="宋体" w:hAnsi="宋体" w:cs="Arial Unicode MS"/>
          <w:kern w:val="0"/>
          <w:szCs w:val="21"/>
        </w:rPr>
        <w:t>4.本公告的解释权归易方达基金管理有限公司所有。</w:t>
      </w:r>
    </w:p>
    <w:p w:rsidR="00241C62" w:rsidRPr="00827D9D" w:rsidRDefault="007759CA" w:rsidP="007759CA">
      <w:pPr>
        <w:spacing w:line="360" w:lineRule="auto"/>
        <w:ind w:left="420"/>
        <w:jc w:val="left"/>
        <w:rPr>
          <w:rFonts w:ascii="宋体" w:hAnsi="宋体"/>
          <w:kern w:val="0"/>
          <w:szCs w:val="21"/>
        </w:rPr>
      </w:pPr>
      <w:r w:rsidRPr="00827D9D">
        <w:rPr>
          <w:rFonts w:ascii="宋体" w:hAnsi="宋体" w:hint="eastAsia"/>
          <w:kern w:val="0"/>
          <w:szCs w:val="21"/>
        </w:rPr>
        <w:t>四、</w:t>
      </w:r>
      <w:r w:rsidR="00A0610A" w:rsidRPr="00827D9D">
        <w:rPr>
          <w:rFonts w:ascii="宋体" w:hAnsi="宋体" w:hint="eastAsia"/>
          <w:kern w:val="0"/>
          <w:szCs w:val="21"/>
        </w:rPr>
        <w:t>投资者可通过以下途径咨询有关详情</w:t>
      </w:r>
    </w:p>
    <w:p w:rsidR="00CD78A1" w:rsidRPr="00827D9D" w:rsidRDefault="00B05E4F" w:rsidP="00CD78A1">
      <w:pPr>
        <w:tabs>
          <w:tab w:val="left" w:pos="824"/>
        </w:tabs>
        <w:spacing w:line="360" w:lineRule="auto"/>
        <w:ind w:firstLineChars="200" w:firstLine="420"/>
        <w:jc w:val="left"/>
        <w:rPr>
          <w:rFonts w:ascii="宋体" w:hAnsi="宋体"/>
          <w:kern w:val="0"/>
          <w:szCs w:val="21"/>
        </w:rPr>
      </w:pPr>
      <w:r w:rsidRPr="00827D9D">
        <w:rPr>
          <w:rFonts w:ascii="宋体" w:hAnsi="宋体"/>
          <w:kern w:val="0"/>
          <w:szCs w:val="21"/>
        </w:rPr>
        <w:t>1.</w:t>
      </w:r>
      <w:r w:rsidR="005E55C4">
        <w:rPr>
          <w:rFonts w:ascii="宋体" w:hAnsi="宋体" w:cs="Arial Unicode MS" w:hint="eastAsia"/>
          <w:kern w:val="0"/>
          <w:szCs w:val="21"/>
        </w:rPr>
        <w:t>兰州</w:t>
      </w:r>
      <w:r w:rsidR="0058693E" w:rsidRPr="00827D9D">
        <w:rPr>
          <w:rFonts w:ascii="宋体" w:hAnsi="宋体" w:cs="Arial Unicode MS" w:hint="eastAsia"/>
          <w:kern w:val="0"/>
          <w:szCs w:val="21"/>
        </w:rPr>
        <w:t>银行</w:t>
      </w:r>
    </w:p>
    <w:p w:rsidR="00FA4A96" w:rsidRPr="00FA4A96" w:rsidRDefault="00FA4A96" w:rsidP="00FA4A96">
      <w:pPr>
        <w:tabs>
          <w:tab w:val="left" w:pos="824"/>
        </w:tabs>
        <w:spacing w:line="360" w:lineRule="auto"/>
        <w:ind w:firstLineChars="200" w:firstLine="420"/>
        <w:jc w:val="left"/>
        <w:rPr>
          <w:rStyle w:val="HTML"/>
          <w:rFonts w:cs="Arial Unicode MS"/>
          <w:sz w:val="21"/>
          <w:szCs w:val="21"/>
        </w:rPr>
      </w:pPr>
      <w:r w:rsidRPr="00FA4A96">
        <w:rPr>
          <w:rStyle w:val="HTML"/>
          <w:rFonts w:cs="Arial Unicode MS" w:hint="eastAsia"/>
          <w:sz w:val="21"/>
          <w:szCs w:val="21"/>
        </w:rPr>
        <w:t>注册地址：甘肃省兰州市城关区酒泉路211号</w:t>
      </w:r>
    </w:p>
    <w:p w:rsidR="00FA4A96" w:rsidRPr="00FA4A96" w:rsidRDefault="00FA4A96" w:rsidP="00FA4A96">
      <w:pPr>
        <w:tabs>
          <w:tab w:val="left" w:pos="824"/>
        </w:tabs>
        <w:spacing w:line="360" w:lineRule="auto"/>
        <w:ind w:firstLineChars="200" w:firstLine="420"/>
        <w:jc w:val="left"/>
        <w:rPr>
          <w:rStyle w:val="HTML"/>
          <w:rFonts w:cs="Arial Unicode MS"/>
          <w:sz w:val="21"/>
          <w:szCs w:val="21"/>
        </w:rPr>
      </w:pPr>
      <w:r w:rsidRPr="00FA4A96">
        <w:rPr>
          <w:rStyle w:val="HTML"/>
          <w:rFonts w:cs="Arial Unicode MS" w:hint="eastAsia"/>
          <w:sz w:val="21"/>
          <w:szCs w:val="21"/>
        </w:rPr>
        <w:t>办公地址：甘肃省兰州市城关区酒泉路211号</w:t>
      </w:r>
    </w:p>
    <w:p w:rsidR="00FA4A96" w:rsidRPr="00FA4A96" w:rsidRDefault="00FA4A96" w:rsidP="00FA4A96">
      <w:pPr>
        <w:tabs>
          <w:tab w:val="left" w:pos="824"/>
        </w:tabs>
        <w:spacing w:line="360" w:lineRule="auto"/>
        <w:ind w:firstLineChars="200" w:firstLine="420"/>
        <w:jc w:val="left"/>
        <w:rPr>
          <w:rStyle w:val="HTML"/>
          <w:rFonts w:cs="Arial Unicode MS"/>
          <w:sz w:val="21"/>
          <w:szCs w:val="21"/>
        </w:rPr>
      </w:pPr>
      <w:r w:rsidRPr="00FA4A96">
        <w:rPr>
          <w:rStyle w:val="HTML"/>
          <w:rFonts w:cs="Arial Unicode MS" w:hint="eastAsia"/>
          <w:sz w:val="21"/>
          <w:szCs w:val="21"/>
        </w:rPr>
        <w:t>法定代表人：许建平</w:t>
      </w:r>
    </w:p>
    <w:p w:rsidR="00FA4A96" w:rsidRPr="00FA4A96" w:rsidRDefault="00FA4A96" w:rsidP="00FA4A96">
      <w:pPr>
        <w:tabs>
          <w:tab w:val="left" w:pos="824"/>
        </w:tabs>
        <w:spacing w:line="360" w:lineRule="auto"/>
        <w:ind w:firstLineChars="200" w:firstLine="420"/>
        <w:jc w:val="left"/>
        <w:rPr>
          <w:rStyle w:val="HTML"/>
          <w:rFonts w:cs="Arial Unicode MS"/>
          <w:sz w:val="21"/>
          <w:szCs w:val="21"/>
        </w:rPr>
      </w:pPr>
      <w:r w:rsidRPr="00FA4A96">
        <w:rPr>
          <w:rStyle w:val="HTML"/>
          <w:rFonts w:cs="Arial Unicode MS" w:hint="eastAsia"/>
          <w:sz w:val="21"/>
          <w:szCs w:val="21"/>
        </w:rPr>
        <w:t>联系人：鱼倩、任星儒</w:t>
      </w:r>
    </w:p>
    <w:p w:rsidR="00FA4A96" w:rsidRPr="00FA4A96" w:rsidRDefault="00FA4A96" w:rsidP="00FA4A96">
      <w:pPr>
        <w:tabs>
          <w:tab w:val="left" w:pos="824"/>
        </w:tabs>
        <w:spacing w:line="360" w:lineRule="auto"/>
        <w:ind w:firstLineChars="200" w:firstLine="420"/>
        <w:jc w:val="left"/>
        <w:rPr>
          <w:rStyle w:val="HTML"/>
          <w:rFonts w:cs="Arial Unicode MS"/>
          <w:sz w:val="21"/>
          <w:szCs w:val="21"/>
        </w:rPr>
      </w:pPr>
      <w:r w:rsidRPr="00FA4A96">
        <w:rPr>
          <w:rStyle w:val="HTML"/>
          <w:rFonts w:cs="Arial Unicode MS" w:hint="eastAsia"/>
          <w:sz w:val="21"/>
          <w:szCs w:val="21"/>
        </w:rPr>
        <w:t>联系电话：0931-4600528</w:t>
      </w:r>
    </w:p>
    <w:p w:rsidR="00FA4A96" w:rsidRPr="00FA4A96" w:rsidRDefault="00FA4A96" w:rsidP="00FA4A96">
      <w:pPr>
        <w:tabs>
          <w:tab w:val="left" w:pos="824"/>
        </w:tabs>
        <w:spacing w:line="360" w:lineRule="auto"/>
        <w:ind w:firstLineChars="200" w:firstLine="420"/>
        <w:jc w:val="left"/>
        <w:rPr>
          <w:rStyle w:val="HTML"/>
          <w:rFonts w:cs="Arial Unicode MS"/>
          <w:sz w:val="21"/>
          <w:szCs w:val="21"/>
        </w:rPr>
      </w:pPr>
      <w:r w:rsidRPr="00FA4A96">
        <w:rPr>
          <w:rStyle w:val="HTML"/>
          <w:rFonts w:cs="Arial Unicode MS" w:hint="eastAsia"/>
          <w:sz w:val="21"/>
          <w:szCs w:val="21"/>
        </w:rPr>
        <w:t>客户服务电话：400-88-96799（全国）、96799（甘肃省内）</w:t>
      </w:r>
    </w:p>
    <w:p w:rsidR="00FA4A96" w:rsidRDefault="00FA4A96" w:rsidP="00FA4A96">
      <w:pPr>
        <w:tabs>
          <w:tab w:val="left" w:pos="824"/>
        </w:tabs>
        <w:spacing w:line="360" w:lineRule="auto"/>
        <w:ind w:firstLineChars="200" w:firstLine="420"/>
        <w:jc w:val="left"/>
        <w:rPr>
          <w:rStyle w:val="HTML"/>
          <w:rFonts w:cs="Arial Unicode MS"/>
          <w:sz w:val="21"/>
          <w:szCs w:val="21"/>
        </w:rPr>
      </w:pPr>
      <w:r w:rsidRPr="00FA4A96">
        <w:rPr>
          <w:rStyle w:val="HTML"/>
          <w:rFonts w:cs="Arial Unicode MS" w:hint="eastAsia"/>
          <w:sz w:val="21"/>
          <w:szCs w:val="21"/>
        </w:rPr>
        <w:t>网址：</w:t>
      </w:r>
      <w:hyperlink r:id="rId10" w:history="1">
        <w:r w:rsidRPr="00073D51">
          <w:rPr>
            <w:rStyle w:val="aa"/>
            <w:rFonts w:ascii="宋体" w:hAnsi="宋体" w:cs="Arial Unicode MS" w:hint="eastAsia"/>
            <w:szCs w:val="21"/>
          </w:rPr>
          <w:t>https://www.lzbank.com</w:t>
        </w:r>
      </w:hyperlink>
    </w:p>
    <w:p w:rsidR="00241C62" w:rsidRPr="00827D9D" w:rsidRDefault="00B05E4F" w:rsidP="00FA4A96">
      <w:pPr>
        <w:tabs>
          <w:tab w:val="left" w:pos="824"/>
        </w:tabs>
        <w:spacing w:line="360" w:lineRule="auto"/>
        <w:ind w:firstLineChars="200" w:firstLine="420"/>
        <w:jc w:val="left"/>
        <w:rPr>
          <w:rFonts w:ascii="宋体" w:hAnsi="宋体" w:cs="Arial Unicode MS"/>
          <w:szCs w:val="21"/>
        </w:rPr>
      </w:pPr>
      <w:r w:rsidRPr="00827D9D">
        <w:rPr>
          <w:rFonts w:ascii="宋体" w:hAnsi="宋体" w:cs="Arial Unicode MS"/>
          <w:szCs w:val="21"/>
        </w:rPr>
        <w:t>2.</w:t>
      </w:r>
      <w:r w:rsidR="006A148D" w:rsidRPr="00827D9D">
        <w:rPr>
          <w:rFonts w:ascii="宋体" w:hAnsi="宋体" w:cs="Arial Unicode MS" w:hint="eastAsia"/>
          <w:szCs w:val="21"/>
        </w:rPr>
        <w:t>易方达基金管理有限公司</w:t>
      </w:r>
    </w:p>
    <w:p w:rsidR="00241C62" w:rsidRPr="00827D9D" w:rsidRDefault="00A0610A">
      <w:pPr>
        <w:spacing w:line="360" w:lineRule="auto"/>
        <w:ind w:firstLineChars="200" w:firstLine="420"/>
        <w:jc w:val="left"/>
        <w:rPr>
          <w:rFonts w:ascii="宋体" w:hAnsi="宋体" w:cs="Arial Unicode MS"/>
          <w:szCs w:val="21"/>
        </w:rPr>
      </w:pPr>
      <w:r w:rsidRPr="00827D9D">
        <w:rPr>
          <w:rStyle w:val="HTML"/>
          <w:rFonts w:cs="Arial Unicode MS"/>
          <w:sz w:val="21"/>
          <w:szCs w:val="21"/>
        </w:rPr>
        <w:t>客户服务电话：400-881-8088</w:t>
      </w:r>
    </w:p>
    <w:p w:rsidR="00241C62" w:rsidRPr="00827D9D" w:rsidRDefault="00A0610A">
      <w:pPr>
        <w:spacing w:line="360" w:lineRule="auto"/>
        <w:ind w:firstLineChars="200" w:firstLine="420"/>
        <w:jc w:val="left"/>
        <w:rPr>
          <w:rStyle w:val="HTML"/>
          <w:rFonts w:cs="Arial Unicode MS"/>
          <w:sz w:val="21"/>
          <w:szCs w:val="21"/>
        </w:rPr>
      </w:pPr>
      <w:r w:rsidRPr="00827D9D">
        <w:rPr>
          <w:rStyle w:val="HTML"/>
          <w:rFonts w:cs="Arial Unicode MS"/>
          <w:sz w:val="21"/>
          <w:szCs w:val="21"/>
        </w:rPr>
        <w:t>网址：</w:t>
      </w:r>
      <w:hyperlink r:id="rId11" w:history="1">
        <w:r w:rsidRPr="00827D9D">
          <w:rPr>
            <w:rStyle w:val="aa"/>
            <w:rFonts w:ascii="宋体" w:hAnsi="宋体" w:cs="Arial Unicode MS"/>
            <w:color w:val="auto"/>
            <w:szCs w:val="21"/>
          </w:rPr>
          <w:t>www.efunds.com.cn</w:t>
        </w:r>
      </w:hyperlink>
    </w:p>
    <w:p w:rsidR="001C0614" w:rsidRPr="00827D9D" w:rsidRDefault="001C0614" w:rsidP="00644895">
      <w:pPr>
        <w:spacing w:line="360" w:lineRule="auto"/>
        <w:ind w:firstLineChars="200" w:firstLine="420"/>
        <w:jc w:val="left"/>
        <w:rPr>
          <w:rFonts w:ascii="宋体" w:hAnsi="宋体" w:cs="Arial Unicode MS"/>
          <w:szCs w:val="21"/>
        </w:rPr>
      </w:pPr>
      <w:r w:rsidRPr="00827D9D">
        <w:rPr>
          <w:rFonts w:ascii="宋体" w:hAnsi="宋体" w:cs="Arial Unicode MS" w:hint="eastAsia"/>
          <w:szCs w:val="21"/>
        </w:rPr>
        <w:t>风险提示：基金管理人承诺以诚实信用、勤勉尽责的原则管理和运用基金资产，但不保证基金一定盈利，也不保证最低收益。</w:t>
      </w:r>
      <w:r w:rsidR="007619F3" w:rsidRPr="00950DCA">
        <w:rPr>
          <w:rFonts w:ascii="宋体" w:hAnsi="宋体" w:cs="Arial Unicode MS" w:hint="eastAsia"/>
          <w:szCs w:val="21"/>
        </w:rPr>
        <w:t>投资者购买货币市场基金并不等于将资金作为存款存放在银行或者存款类金融机构。</w:t>
      </w:r>
      <w:r w:rsidRPr="00827D9D">
        <w:rPr>
          <w:rFonts w:ascii="宋体" w:hAnsi="宋体" w:cs="Arial Unicode MS" w:hint="eastAsia"/>
          <w:szCs w:val="21"/>
        </w:rPr>
        <w:t>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44895" w:rsidRPr="00827D9D" w:rsidRDefault="00644895" w:rsidP="00644895">
      <w:pPr>
        <w:spacing w:line="360" w:lineRule="auto"/>
        <w:ind w:firstLineChars="200" w:firstLine="420"/>
        <w:jc w:val="left"/>
        <w:rPr>
          <w:rStyle w:val="HTML"/>
          <w:rFonts w:cs="Arial Unicode MS"/>
          <w:sz w:val="21"/>
          <w:szCs w:val="21"/>
        </w:rPr>
      </w:pPr>
      <w:r w:rsidRPr="004D3C3C">
        <w:rPr>
          <w:rFonts w:ascii="宋体" w:hAnsi="宋体" w:cs="Arial Unicode MS"/>
          <w:szCs w:val="21"/>
        </w:rPr>
        <w:t>特此公告。</w:t>
      </w:r>
    </w:p>
    <w:p w:rsidR="00241C62" w:rsidRPr="00827D9D" w:rsidRDefault="00A0610A">
      <w:pPr>
        <w:spacing w:line="360" w:lineRule="auto"/>
        <w:ind w:firstLineChars="200" w:firstLine="420"/>
        <w:jc w:val="right"/>
        <w:rPr>
          <w:rStyle w:val="HTML"/>
          <w:rFonts w:cs="Arial Unicode MS"/>
          <w:sz w:val="21"/>
          <w:szCs w:val="21"/>
        </w:rPr>
      </w:pPr>
      <w:r w:rsidRPr="00827D9D">
        <w:rPr>
          <w:rStyle w:val="HTML"/>
          <w:rFonts w:cs="Arial Unicode MS"/>
          <w:sz w:val="21"/>
          <w:szCs w:val="21"/>
        </w:rPr>
        <w:t>易方达基金管理有限公司</w:t>
      </w:r>
    </w:p>
    <w:p w:rsidR="00241C62" w:rsidRPr="00303A72" w:rsidRDefault="00D81533">
      <w:pPr>
        <w:spacing w:line="360" w:lineRule="auto"/>
        <w:ind w:firstLineChars="200" w:firstLine="420"/>
        <w:jc w:val="right"/>
        <w:rPr>
          <w:rFonts w:ascii="宋体" w:hAnsi="宋体"/>
          <w:szCs w:val="21"/>
        </w:rPr>
      </w:pPr>
      <w:r w:rsidRPr="00827D9D">
        <w:rPr>
          <w:rStyle w:val="HTML"/>
          <w:rFonts w:cs="Arial Unicode MS"/>
          <w:sz w:val="21"/>
          <w:szCs w:val="21"/>
        </w:rPr>
        <w:t>2020</w:t>
      </w:r>
      <w:r w:rsidR="005D0ECC" w:rsidRPr="00827D9D">
        <w:rPr>
          <w:rStyle w:val="HTML"/>
          <w:rFonts w:cs="Arial Unicode MS"/>
          <w:sz w:val="21"/>
          <w:szCs w:val="21"/>
        </w:rPr>
        <w:t>年</w:t>
      </w:r>
      <w:r w:rsidR="00394A9F" w:rsidRPr="00827D9D">
        <w:rPr>
          <w:rStyle w:val="HTML"/>
          <w:rFonts w:cs="Arial Unicode MS"/>
          <w:sz w:val="21"/>
          <w:szCs w:val="21"/>
        </w:rPr>
        <w:t>10</w:t>
      </w:r>
      <w:r w:rsidR="00DE7766" w:rsidRPr="00827D9D">
        <w:rPr>
          <w:rStyle w:val="HTML"/>
          <w:rFonts w:cs="Arial Unicode MS"/>
          <w:sz w:val="21"/>
          <w:szCs w:val="21"/>
        </w:rPr>
        <w:t>月</w:t>
      </w:r>
      <w:r w:rsidR="00386591">
        <w:rPr>
          <w:rStyle w:val="HTML"/>
          <w:rFonts w:cs="Arial Unicode MS"/>
          <w:sz w:val="21"/>
          <w:szCs w:val="21"/>
        </w:rPr>
        <w:t>30</w:t>
      </w:r>
      <w:r w:rsidR="00DE732B" w:rsidRPr="00827D9D">
        <w:rPr>
          <w:rStyle w:val="HTML"/>
          <w:rFonts w:cs="Arial Unicode MS"/>
          <w:sz w:val="21"/>
          <w:szCs w:val="21"/>
        </w:rPr>
        <w:t>日</w:t>
      </w:r>
    </w:p>
    <w:sectPr w:rsidR="00241C62" w:rsidRPr="00303A72" w:rsidSect="00241C6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70D" w:rsidRDefault="00EE370D" w:rsidP="000C5867">
      <w:r>
        <w:separator/>
      </w:r>
    </w:p>
  </w:endnote>
  <w:endnote w:type="continuationSeparator" w:id="0">
    <w:p w:rsidR="00EE370D" w:rsidRDefault="00EE370D" w:rsidP="000C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70D" w:rsidRDefault="00EE370D" w:rsidP="000C5867">
      <w:r>
        <w:separator/>
      </w:r>
    </w:p>
  </w:footnote>
  <w:footnote w:type="continuationSeparator" w:id="0">
    <w:p w:rsidR="00EE370D" w:rsidRDefault="00EE370D" w:rsidP="000C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22028B1"/>
    <w:multiLevelType w:val="hybridMultilevel"/>
    <w:tmpl w:val="92D80746"/>
    <w:lvl w:ilvl="0" w:tplc="76C4B022">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8A6177"/>
    <w:multiLevelType w:val="hybridMultilevel"/>
    <w:tmpl w:val="9FA612C2"/>
    <w:lvl w:ilvl="0" w:tplc="4D94B3E4">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FB6"/>
    <w:rsid w:val="00005BEB"/>
    <w:rsid w:val="00012A79"/>
    <w:rsid w:val="00013D8D"/>
    <w:rsid w:val="00014FAA"/>
    <w:rsid w:val="0002031F"/>
    <w:rsid w:val="00020481"/>
    <w:rsid w:val="00021741"/>
    <w:rsid w:val="0003027C"/>
    <w:rsid w:val="000336E9"/>
    <w:rsid w:val="00034C84"/>
    <w:rsid w:val="00040B99"/>
    <w:rsid w:val="00042473"/>
    <w:rsid w:val="000425B7"/>
    <w:rsid w:val="00042D80"/>
    <w:rsid w:val="000450AD"/>
    <w:rsid w:val="000450D4"/>
    <w:rsid w:val="00047E3A"/>
    <w:rsid w:val="00052DE7"/>
    <w:rsid w:val="000574F7"/>
    <w:rsid w:val="00060F23"/>
    <w:rsid w:val="0006316B"/>
    <w:rsid w:val="00065C47"/>
    <w:rsid w:val="00075865"/>
    <w:rsid w:val="00084929"/>
    <w:rsid w:val="000873E7"/>
    <w:rsid w:val="000A2A82"/>
    <w:rsid w:val="000A2B29"/>
    <w:rsid w:val="000B1675"/>
    <w:rsid w:val="000C24C0"/>
    <w:rsid w:val="000C5867"/>
    <w:rsid w:val="000C62A5"/>
    <w:rsid w:val="000D158D"/>
    <w:rsid w:val="000E14E9"/>
    <w:rsid w:val="000E5405"/>
    <w:rsid w:val="000E7994"/>
    <w:rsid w:val="000F04D6"/>
    <w:rsid w:val="000F529E"/>
    <w:rsid w:val="000F74EE"/>
    <w:rsid w:val="00100109"/>
    <w:rsid w:val="0010019B"/>
    <w:rsid w:val="00104523"/>
    <w:rsid w:val="00111993"/>
    <w:rsid w:val="001148DE"/>
    <w:rsid w:val="00115C9A"/>
    <w:rsid w:val="0012023C"/>
    <w:rsid w:val="0013795E"/>
    <w:rsid w:val="00147F8F"/>
    <w:rsid w:val="00152017"/>
    <w:rsid w:val="00152D59"/>
    <w:rsid w:val="00154E6C"/>
    <w:rsid w:val="00161457"/>
    <w:rsid w:val="0016199D"/>
    <w:rsid w:val="00166342"/>
    <w:rsid w:val="00172A27"/>
    <w:rsid w:val="001739B9"/>
    <w:rsid w:val="00181222"/>
    <w:rsid w:val="001829A0"/>
    <w:rsid w:val="0018346A"/>
    <w:rsid w:val="00193894"/>
    <w:rsid w:val="00197EC4"/>
    <w:rsid w:val="001A36F2"/>
    <w:rsid w:val="001A49AB"/>
    <w:rsid w:val="001B0562"/>
    <w:rsid w:val="001B5D3D"/>
    <w:rsid w:val="001B5E27"/>
    <w:rsid w:val="001C0614"/>
    <w:rsid w:val="001C1DA9"/>
    <w:rsid w:val="001C6232"/>
    <w:rsid w:val="001D3212"/>
    <w:rsid w:val="001D3807"/>
    <w:rsid w:val="001D7B88"/>
    <w:rsid w:val="001E012F"/>
    <w:rsid w:val="001E1154"/>
    <w:rsid w:val="001E1200"/>
    <w:rsid w:val="001E71E5"/>
    <w:rsid w:val="001F5748"/>
    <w:rsid w:val="001F7B89"/>
    <w:rsid w:val="00211532"/>
    <w:rsid w:val="00211643"/>
    <w:rsid w:val="0021725C"/>
    <w:rsid w:val="0022437C"/>
    <w:rsid w:val="002301F8"/>
    <w:rsid w:val="002310A4"/>
    <w:rsid w:val="0023319A"/>
    <w:rsid w:val="00237CA1"/>
    <w:rsid w:val="00241C62"/>
    <w:rsid w:val="002430FB"/>
    <w:rsid w:val="0024444C"/>
    <w:rsid w:val="002477A3"/>
    <w:rsid w:val="00251652"/>
    <w:rsid w:val="002538BF"/>
    <w:rsid w:val="00253FDC"/>
    <w:rsid w:val="00255C2D"/>
    <w:rsid w:val="0025661F"/>
    <w:rsid w:val="00261D64"/>
    <w:rsid w:val="00272591"/>
    <w:rsid w:val="00276B71"/>
    <w:rsid w:val="0027778F"/>
    <w:rsid w:val="002837B9"/>
    <w:rsid w:val="0028648A"/>
    <w:rsid w:val="00290B74"/>
    <w:rsid w:val="002910FF"/>
    <w:rsid w:val="00291AA6"/>
    <w:rsid w:val="002968B3"/>
    <w:rsid w:val="002A034D"/>
    <w:rsid w:val="002A2D84"/>
    <w:rsid w:val="002A6EC7"/>
    <w:rsid w:val="002B0AFC"/>
    <w:rsid w:val="002B0B6D"/>
    <w:rsid w:val="002B2B5D"/>
    <w:rsid w:val="002B550C"/>
    <w:rsid w:val="002B6791"/>
    <w:rsid w:val="002B6F68"/>
    <w:rsid w:val="002C557A"/>
    <w:rsid w:val="002D0A37"/>
    <w:rsid w:val="002D174B"/>
    <w:rsid w:val="002D3123"/>
    <w:rsid w:val="002D368F"/>
    <w:rsid w:val="002D67C2"/>
    <w:rsid w:val="002E107E"/>
    <w:rsid w:val="002E1AC9"/>
    <w:rsid w:val="002E251F"/>
    <w:rsid w:val="002E69B0"/>
    <w:rsid w:val="002F19C1"/>
    <w:rsid w:val="002F2F99"/>
    <w:rsid w:val="002F385A"/>
    <w:rsid w:val="003003FE"/>
    <w:rsid w:val="00300A97"/>
    <w:rsid w:val="00303A72"/>
    <w:rsid w:val="003118B6"/>
    <w:rsid w:val="0031340C"/>
    <w:rsid w:val="00316FCC"/>
    <w:rsid w:val="00317BFF"/>
    <w:rsid w:val="00320FCC"/>
    <w:rsid w:val="003220E7"/>
    <w:rsid w:val="0032653E"/>
    <w:rsid w:val="003325B2"/>
    <w:rsid w:val="00332E72"/>
    <w:rsid w:val="00341253"/>
    <w:rsid w:val="0034212D"/>
    <w:rsid w:val="0034238F"/>
    <w:rsid w:val="003467C7"/>
    <w:rsid w:val="003475D7"/>
    <w:rsid w:val="00350584"/>
    <w:rsid w:val="0035529E"/>
    <w:rsid w:val="0035777D"/>
    <w:rsid w:val="00363B34"/>
    <w:rsid w:val="00370E67"/>
    <w:rsid w:val="00372159"/>
    <w:rsid w:val="00376B77"/>
    <w:rsid w:val="00377903"/>
    <w:rsid w:val="00384065"/>
    <w:rsid w:val="00385FDD"/>
    <w:rsid w:val="00386591"/>
    <w:rsid w:val="00390FD0"/>
    <w:rsid w:val="00392ECE"/>
    <w:rsid w:val="003948C9"/>
    <w:rsid w:val="00394A9F"/>
    <w:rsid w:val="003A028C"/>
    <w:rsid w:val="003A2FA0"/>
    <w:rsid w:val="003A6442"/>
    <w:rsid w:val="003A6648"/>
    <w:rsid w:val="003B1A5A"/>
    <w:rsid w:val="003B4EE4"/>
    <w:rsid w:val="003B6D17"/>
    <w:rsid w:val="003C5B0D"/>
    <w:rsid w:val="003C74C7"/>
    <w:rsid w:val="003D0D98"/>
    <w:rsid w:val="003D4AA0"/>
    <w:rsid w:val="003E273E"/>
    <w:rsid w:val="003E56B4"/>
    <w:rsid w:val="003E733E"/>
    <w:rsid w:val="003F10F8"/>
    <w:rsid w:val="003F1DEC"/>
    <w:rsid w:val="003F2724"/>
    <w:rsid w:val="003F2B3C"/>
    <w:rsid w:val="003F6D9C"/>
    <w:rsid w:val="00407FED"/>
    <w:rsid w:val="004118D7"/>
    <w:rsid w:val="00413C91"/>
    <w:rsid w:val="00414EE4"/>
    <w:rsid w:val="00417DF0"/>
    <w:rsid w:val="0042049A"/>
    <w:rsid w:val="00426756"/>
    <w:rsid w:val="004278EB"/>
    <w:rsid w:val="004308DF"/>
    <w:rsid w:val="00431B4B"/>
    <w:rsid w:val="004324BA"/>
    <w:rsid w:val="00434C21"/>
    <w:rsid w:val="00442757"/>
    <w:rsid w:val="0044784F"/>
    <w:rsid w:val="004509ED"/>
    <w:rsid w:val="00456D85"/>
    <w:rsid w:val="00460F36"/>
    <w:rsid w:val="004679E1"/>
    <w:rsid w:val="00467EF4"/>
    <w:rsid w:val="0047192D"/>
    <w:rsid w:val="0047496A"/>
    <w:rsid w:val="00475A1F"/>
    <w:rsid w:val="00480983"/>
    <w:rsid w:val="00493B3D"/>
    <w:rsid w:val="00495D61"/>
    <w:rsid w:val="004A049A"/>
    <w:rsid w:val="004A2030"/>
    <w:rsid w:val="004B51C9"/>
    <w:rsid w:val="004B7665"/>
    <w:rsid w:val="004C2E7C"/>
    <w:rsid w:val="004C6C54"/>
    <w:rsid w:val="004D257A"/>
    <w:rsid w:val="004D3C3C"/>
    <w:rsid w:val="004D646B"/>
    <w:rsid w:val="004E1ABD"/>
    <w:rsid w:val="004E381E"/>
    <w:rsid w:val="004E38AF"/>
    <w:rsid w:val="004F235A"/>
    <w:rsid w:val="005001ED"/>
    <w:rsid w:val="005015A2"/>
    <w:rsid w:val="005030E7"/>
    <w:rsid w:val="00503796"/>
    <w:rsid w:val="005040D4"/>
    <w:rsid w:val="00511428"/>
    <w:rsid w:val="00512718"/>
    <w:rsid w:val="0052219C"/>
    <w:rsid w:val="00524F1B"/>
    <w:rsid w:val="00526FA5"/>
    <w:rsid w:val="005342A9"/>
    <w:rsid w:val="005373BB"/>
    <w:rsid w:val="005400C8"/>
    <w:rsid w:val="00550CE5"/>
    <w:rsid w:val="00551F0C"/>
    <w:rsid w:val="00552C4C"/>
    <w:rsid w:val="00556A72"/>
    <w:rsid w:val="00566891"/>
    <w:rsid w:val="00573D49"/>
    <w:rsid w:val="0057551B"/>
    <w:rsid w:val="00577685"/>
    <w:rsid w:val="005809B0"/>
    <w:rsid w:val="00581DDC"/>
    <w:rsid w:val="005865E6"/>
    <w:rsid w:val="0058693E"/>
    <w:rsid w:val="00594908"/>
    <w:rsid w:val="005A22EF"/>
    <w:rsid w:val="005A59A9"/>
    <w:rsid w:val="005A63BE"/>
    <w:rsid w:val="005B2A2F"/>
    <w:rsid w:val="005B5C73"/>
    <w:rsid w:val="005C163B"/>
    <w:rsid w:val="005C1991"/>
    <w:rsid w:val="005C4BB4"/>
    <w:rsid w:val="005D0ECC"/>
    <w:rsid w:val="005D28F0"/>
    <w:rsid w:val="005D703E"/>
    <w:rsid w:val="005E0BA7"/>
    <w:rsid w:val="005E2B1E"/>
    <w:rsid w:val="005E3C3E"/>
    <w:rsid w:val="005E55C4"/>
    <w:rsid w:val="005E7A2E"/>
    <w:rsid w:val="005E7BDE"/>
    <w:rsid w:val="00600125"/>
    <w:rsid w:val="00605C2A"/>
    <w:rsid w:val="00607E71"/>
    <w:rsid w:val="00610E57"/>
    <w:rsid w:val="00613471"/>
    <w:rsid w:val="00613E06"/>
    <w:rsid w:val="00622502"/>
    <w:rsid w:val="006246B6"/>
    <w:rsid w:val="006259D0"/>
    <w:rsid w:val="00626D66"/>
    <w:rsid w:val="00626DB2"/>
    <w:rsid w:val="00630B0E"/>
    <w:rsid w:val="00630CF5"/>
    <w:rsid w:val="0063516F"/>
    <w:rsid w:val="00640F6D"/>
    <w:rsid w:val="00642115"/>
    <w:rsid w:val="00644895"/>
    <w:rsid w:val="00652494"/>
    <w:rsid w:val="0065256A"/>
    <w:rsid w:val="00654F7C"/>
    <w:rsid w:val="006642EF"/>
    <w:rsid w:val="00665F35"/>
    <w:rsid w:val="0067109F"/>
    <w:rsid w:val="00674183"/>
    <w:rsid w:val="00676072"/>
    <w:rsid w:val="006776F1"/>
    <w:rsid w:val="00682613"/>
    <w:rsid w:val="006918F4"/>
    <w:rsid w:val="0069327F"/>
    <w:rsid w:val="00694598"/>
    <w:rsid w:val="006A0C32"/>
    <w:rsid w:val="006A148D"/>
    <w:rsid w:val="006A27B3"/>
    <w:rsid w:val="006A3C09"/>
    <w:rsid w:val="006A7160"/>
    <w:rsid w:val="006B1337"/>
    <w:rsid w:val="006B2FD9"/>
    <w:rsid w:val="006B5F05"/>
    <w:rsid w:val="006B64F8"/>
    <w:rsid w:val="006B7277"/>
    <w:rsid w:val="006C2224"/>
    <w:rsid w:val="006C2520"/>
    <w:rsid w:val="006D26AF"/>
    <w:rsid w:val="006D6C59"/>
    <w:rsid w:val="006E1431"/>
    <w:rsid w:val="006E18BC"/>
    <w:rsid w:val="006E4CDC"/>
    <w:rsid w:val="006E7978"/>
    <w:rsid w:val="006F3954"/>
    <w:rsid w:val="006F5912"/>
    <w:rsid w:val="006F5DC1"/>
    <w:rsid w:val="00706877"/>
    <w:rsid w:val="007078C1"/>
    <w:rsid w:val="00714CA7"/>
    <w:rsid w:val="00726C2A"/>
    <w:rsid w:val="007307EC"/>
    <w:rsid w:val="00732464"/>
    <w:rsid w:val="00732472"/>
    <w:rsid w:val="007357E6"/>
    <w:rsid w:val="007506FB"/>
    <w:rsid w:val="00750ABC"/>
    <w:rsid w:val="00753361"/>
    <w:rsid w:val="00753EBD"/>
    <w:rsid w:val="007544A6"/>
    <w:rsid w:val="007553AC"/>
    <w:rsid w:val="007561F1"/>
    <w:rsid w:val="00756C06"/>
    <w:rsid w:val="0076056E"/>
    <w:rsid w:val="007619F3"/>
    <w:rsid w:val="007651A0"/>
    <w:rsid w:val="00765ED0"/>
    <w:rsid w:val="007759CA"/>
    <w:rsid w:val="007774DF"/>
    <w:rsid w:val="00780376"/>
    <w:rsid w:val="0078038C"/>
    <w:rsid w:val="00791FE5"/>
    <w:rsid w:val="00792646"/>
    <w:rsid w:val="007A049A"/>
    <w:rsid w:val="007A0D0F"/>
    <w:rsid w:val="007A5789"/>
    <w:rsid w:val="007B4AB3"/>
    <w:rsid w:val="007C1874"/>
    <w:rsid w:val="007D19F5"/>
    <w:rsid w:val="007D68C6"/>
    <w:rsid w:val="007E0727"/>
    <w:rsid w:val="007E263F"/>
    <w:rsid w:val="007F2115"/>
    <w:rsid w:val="007F2F2D"/>
    <w:rsid w:val="007F388F"/>
    <w:rsid w:val="007F58A4"/>
    <w:rsid w:val="007F6CDD"/>
    <w:rsid w:val="008007FC"/>
    <w:rsid w:val="008035F7"/>
    <w:rsid w:val="00817783"/>
    <w:rsid w:val="00822A31"/>
    <w:rsid w:val="00824324"/>
    <w:rsid w:val="0082688A"/>
    <w:rsid w:val="00826DDC"/>
    <w:rsid w:val="008273F7"/>
    <w:rsid w:val="008276F5"/>
    <w:rsid w:val="00827D9D"/>
    <w:rsid w:val="0083663B"/>
    <w:rsid w:val="0084420F"/>
    <w:rsid w:val="00844438"/>
    <w:rsid w:val="0085320F"/>
    <w:rsid w:val="0085692F"/>
    <w:rsid w:val="0085757F"/>
    <w:rsid w:val="008631C4"/>
    <w:rsid w:val="008640A6"/>
    <w:rsid w:val="008645A7"/>
    <w:rsid w:val="00872322"/>
    <w:rsid w:val="00884618"/>
    <w:rsid w:val="00890239"/>
    <w:rsid w:val="0089318F"/>
    <w:rsid w:val="0089477D"/>
    <w:rsid w:val="00896768"/>
    <w:rsid w:val="008974DA"/>
    <w:rsid w:val="008A0899"/>
    <w:rsid w:val="008A35C5"/>
    <w:rsid w:val="008B6D67"/>
    <w:rsid w:val="008B7444"/>
    <w:rsid w:val="008C1D40"/>
    <w:rsid w:val="008C2C98"/>
    <w:rsid w:val="008C4978"/>
    <w:rsid w:val="008C7304"/>
    <w:rsid w:val="008C7824"/>
    <w:rsid w:val="008C78DE"/>
    <w:rsid w:val="008D1633"/>
    <w:rsid w:val="008D226E"/>
    <w:rsid w:val="008D24AA"/>
    <w:rsid w:val="008D5220"/>
    <w:rsid w:val="008D6759"/>
    <w:rsid w:val="008E50BB"/>
    <w:rsid w:val="008F6574"/>
    <w:rsid w:val="009048A7"/>
    <w:rsid w:val="00907AF8"/>
    <w:rsid w:val="0091053C"/>
    <w:rsid w:val="009166F8"/>
    <w:rsid w:val="009240F0"/>
    <w:rsid w:val="009257A3"/>
    <w:rsid w:val="0093273F"/>
    <w:rsid w:val="009333EE"/>
    <w:rsid w:val="00944B98"/>
    <w:rsid w:val="00946191"/>
    <w:rsid w:val="00950DCA"/>
    <w:rsid w:val="00951F7D"/>
    <w:rsid w:val="009560AD"/>
    <w:rsid w:val="009606A5"/>
    <w:rsid w:val="009673F2"/>
    <w:rsid w:val="00971338"/>
    <w:rsid w:val="0097317C"/>
    <w:rsid w:val="00975D86"/>
    <w:rsid w:val="00976183"/>
    <w:rsid w:val="00981A6C"/>
    <w:rsid w:val="009856FF"/>
    <w:rsid w:val="00990420"/>
    <w:rsid w:val="00995FDE"/>
    <w:rsid w:val="009A2843"/>
    <w:rsid w:val="009B135F"/>
    <w:rsid w:val="009B3EC7"/>
    <w:rsid w:val="009C1923"/>
    <w:rsid w:val="009C2935"/>
    <w:rsid w:val="009C3799"/>
    <w:rsid w:val="009C3F60"/>
    <w:rsid w:val="009C43D0"/>
    <w:rsid w:val="009C774A"/>
    <w:rsid w:val="009D0927"/>
    <w:rsid w:val="009D59E2"/>
    <w:rsid w:val="009E33E3"/>
    <w:rsid w:val="009F40E9"/>
    <w:rsid w:val="00A00C2F"/>
    <w:rsid w:val="00A0119B"/>
    <w:rsid w:val="00A04026"/>
    <w:rsid w:val="00A0418C"/>
    <w:rsid w:val="00A046AC"/>
    <w:rsid w:val="00A0610A"/>
    <w:rsid w:val="00A077FA"/>
    <w:rsid w:val="00A1406E"/>
    <w:rsid w:val="00A14A45"/>
    <w:rsid w:val="00A2215D"/>
    <w:rsid w:val="00A33CB6"/>
    <w:rsid w:val="00A35241"/>
    <w:rsid w:val="00A37F4D"/>
    <w:rsid w:val="00A42F21"/>
    <w:rsid w:val="00A436A7"/>
    <w:rsid w:val="00A45C2C"/>
    <w:rsid w:val="00A469B8"/>
    <w:rsid w:val="00A51B8C"/>
    <w:rsid w:val="00A530AA"/>
    <w:rsid w:val="00A5499A"/>
    <w:rsid w:val="00A56EB0"/>
    <w:rsid w:val="00A57E03"/>
    <w:rsid w:val="00A62224"/>
    <w:rsid w:val="00A656D4"/>
    <w:rsid w:val="00A658E4"/>
    <w:rsid w:val="00A65C16"/>
    <w:rsid w:val="00A672CB"/>
    <w:rsid w:val="00A776EE"/>
    <w:rsid w:val="00AA57A7"/>
    <w:rsid w:val="00AA678E"/>
    <w:rsid w:val="00AA7920"/>
    <w:rsid w:val="00AB1A86"/>
    <w:rsid w:val="00AB5733"/>
    <w:rsid w:val="00AB7289"/>
    <w:rsid w:val="00AB77B1"/>
    <w:rsid w:val="00AC0AF4"/>
    <w:rsid w:val="00AC125D"/>
    <w:rsid w:val="00AC292F"/>
    <w:rsid w:val="00AC3204"/>
    <w:rsid w:val="00AC3720"/>
    <w:rsid w:val="00AC7FC4"/>
    <w:rsid w:val="00AD01B4"/>
    <w:rsid w:val="00AD0B01"/>
    <w:rsid w:val="00AD40E6"/>
    <w:rsid w:val="00AD46E0"/>
    <w:rsid w:val="00AD6B0A"/>
    <w:rsid w:val="00AD77A5"/>
    <w:rsid w:val="00AE01C0"/>
    <w:rsid w:val="00AE5656"/>
    <w:rsid w:val="00AF13AB"/>
    <w:rsid w:val="00AF6246"/>
    <w:rsid w:val="00B05E4F"/>
    <w:rsid w:val="00B10F9C"/>
    <w:rsid w:val="00B15572"/>
    <w:rsid w:val="00B1768F"/>
    <w:rsid w:val="00B21BCE"/>
    <w:rsid w:val="00B251AB"/>
    <w:rsid w:val="00B40700"/>
    <w:rsid w:val="00B41849"/>
    <w:rsid w:val="00B51F6E"/>
    <w:rsid w:val="00B53671"/>
    <w:rsid w:val="00B5429A"/>
    <w:rsid w:val="00B624FF"/>
    <w:rsid w:val="00B62A20"/>
    <w:rsid w:val="00B65C8F"/>
    <w:rsid w:val="00B719FE"/>
    <w:rsid w:val="00B72518"/>
    <w:rsid w:val="00B73374"/>
    <w:rsid w:val="00B81C4B"/>
    <w:rsid w:val="00B83289"/>
    <w:rsid w:val="00B86F8C"/>
    <w:rsid w:val="00B87027"/>
    <w:rsid w:val="00B9112E"/>
    <w:rsid w:val="00B929A9"/>
    <w:rsid w:val="00BA2A83"/>
    <w:rsid w:val="00BA3587"/>
    <w:rsid w:val="00BB34F4"/>
    <w:rsid w:val="00BC0258"/>
    <w:rsid w:val="00BC16D3"/>
    <w:rsid w:val="00BD3B67"/>
    <w:rsid w:val="00BD64E6"/>
    <w:rsid w:val="00BD7416"/>
    <w:rsid w:val="00BE44E3"/>
    <w:rsid w:val="00BF0B71"/>
    <w:rsid w:val="00BF27F6"/>
    <w:rsid w:val="00BF4475"/>
    <w:rsid w:val="00C037D9"/>
    <w:rsid w:val="00C16E4B"/>
    <w:rsid w:val="00C211DB"/>
    <w:rsid w:val="00C251DC"/>
    <w:rsid w:val="00C257A4"/>
    <w:rsid w:val="00C27583"/>
    <w:rsid w:val="00C3248F"/>
    <w:rsid w:val="00C32A41"/>
    <w:rsid w:val="00C32B0F"/>
    <w:rsid w:val="00C35452"/>
    <w:rsid w:val="00C4191F"/>
    <w:rsid w:val="00C441BE"/>
    <w:rsid w:val="00C479D5"/>
    <w:rsid w:val="00C524A8"/>
    <w:rsid w:val="00C53C24"/>
    <w:rsid w:val="00C61FDD"/>
    <w:rsid w:val="00C62BFE"/>
    <w:rsid w:val="00C63B7E"/>
    <w:rsid w:val="00C65DFA"/>
    <w:rsid w:val="00C708AE"/>
    <w:rsid w:val="00C717DB"/>
    <w:rsid w:val="00C82BFC"/>
    <w:rsid w:val="00C8450E"/>
    <w:rsid w:val="00C847CD"/>
    <w:rsid w:val="00C90DE9"/>
    <w:rsid w:val="00C92DA4"/>
    <w:rsid w:val="00C93817"/>
    <w:rsid w:val="00C93EB3"/>
    <w:rsid w:val="00C96C40"/>
    <w:rsid w:val="00C9751F"/>
    <w:rsid w:val="00CA0F52"/>
    <w:rsid w:val="00CA413C"/>
    <w:rsid w:val="00CA4B35"/>
    <w:rsid w:val="00CB21E7"/>
    <w:rsid w:val="00CB32B9"/>
    <w:rsid w:val="00CC2063"/>
    <w:rsid w:val="00CC6CF4"/>
    <w:rsid w:val="00CD5237"/>
    <w:rsid w:val="00CD78A1"/>
    <w:rsid w:val="00CE0B91"/>
    <w:rsid w:val="00CE1350"/>
    <w:rsid w:val="00CF2735"/>
    <w:rsid w:val="00CF2CB9"/>
    <w:rsid w:val="00CF3157"/>
    <w:rsid w:val="00CF5DE0"/>
    <w:rsid w:val="00CF5E43"/>
    <w:rsid w:val="00CF7BC1"/>
    <w:rsid w:val="00D015B8"/>
    <w:rsid w:val="00D035B6"/>
    <w:rsid w:val="00D07D38"/>
    <w:rsid w:val="00D1303F"/>
    <w:rsid w:val="00D141D6"/>
    <w:rsid w:val="00D14A82"/>
    <w:rsid w:val="00D16B29"/>
    <w:rsid w:val="00D1781A"/>
    <w:rsid w:val="00D25BD0"/>
    <w:rsid w:val="00D27DFD"/>
    <w:rsid w:val="00D3033A"/>
    <w:rsid w:val="00D30B54"/>
    <w:rsid w:val="00D332E8"/>
    <w:rsid w:val="00D33FDA"/>
    <w:rsid w:val="00D45622"/>
    <w:rsid w:val="00D5365D"/>
    <w:rsid w:val="00D62444"/>
    <w:rsid w:val="00D62BCF"/>
    <w:rsid w:val="00D63A8A"/>
    <w:rsid w:val="00D64F37"/>
    <w:rsid w:val="00D72E54"/>
    <w:rsid w:val="00D744EB"/>
    <w:rsid w:val="00D74C7C"/>
    <w:rsid w:val="00D754EA"/>
    <w:rsid w:val="00D81533"/>
    <w:rsid w:val="00D821A7"/>
    <w:rsid w:val="00D835B6"/>
    <w:rsid w:val="00D83A66"/>
    <w:rsid w:val="00D85012"/>
    <w:rsid w:val="00D879D8"/>
    <w:rsid w:val="00D87FEE"/>
    <w:rsid w:val="00D93079"/>
    <w:rsid w:val="00D94572"/>
    <w:rsid w:val="00DC11EA"/>
    <w:rsid w:val="00DC24B9"/>
    <w:rsid w:val="00DC2CCE"/>
    <w:rsid w:val="00DC31A5"/>
    <w:rsid w:val="00DC6F47"/>
    <w:rsid w:val="00DE732B"/>
    <w:rsid w:val="00DE7766"/>
    <w:rsid w:val="00DE7794"/>
    <w:rsid w:val="00DF1F86"/>
    <w:rsid w:val="00DF2588"/>
    <w:rsid w:val="00E02000"/>
    <w:rsid w:val="00E0500A"/>
    <w:rsid w:val="00E065DA"/>
    <w:rsid w:val="00E11FAC"/>
    <w:rsid w:val="00E12892"/>
    <w:rsid w:val="00E12A93"/>
    <w:rsid w:val="00E21059"/>
    <w:rsid w:val="00E24E73"/>
    <w:rsid w:val="00E31550"/>
    <w:rsid w:val="00E32FAB"/>
    <w:rsid w:val="00E331CE"/>
    <w:rsid w:val="00E3352B"/>
    <w:rsid w:val="00E36FF9"/>
    <w:rsid w:val="00E37E59"/>
    <w:rsid w:val="00E404D5"/>
    <w:rsid w:val="00E4641E"/>
    <w:rsid w:val="00E478AC"/>
    <w:rsid w:val="00E5010E"/>
    <w:rsid w:val="00E502E3"/>
    <w:rsid w:val="00E50A79"/>
    <w:rsid w:val="00E53904"/>
    <w:rsid w:val="00E56544"/>
    <w:rsid w:val="00E70AD4"/>
    <w:rsid w:val="00E74A84"/>
    <w:rsid w:val="00E75D71"/>
    <w:rsid w:val="00E82BC4"/>
    <w:rsid w:val="00E82D20"/>
    <w:rsid w:val="00E838D1"/>
    <w:rsid w:val="00E83FFD"/>
    <w:rsid w:val="00E84448"/>
    <w:rsid w:val="00E8555F"/>
    <w:rsid w:val="00E903ED"/>
    <w:rsid w:val="00E92067"/>
    <w:rsid w:val="00EA3294"/>
    <w:rsid w:val="00EA35C5"/>
    <w:rsid w:val="00EB2B48"/>
    <w:rsid w:val="00EB4AD7"/>
    <w:rsid w:val="00EB744C"/>
    <w:rsid w:val="00EC29A4"/>
    <w:rsid w:val="00EC457A"/>
    <w:rsid w:val="00ED1281"/>
    <w:rsid w:val="00ED1BAE"/>
    <w:rsid w:val="00ED3F2C"/>
    <w:rsid w:val="00ED5F6B"/>
    <w:rsid w:val="00EE2DDB"/>
    <w:rsid w:val="00EE370D"/>
    <w:rsid w:val="00EE4CCA"/>
    <w:rsid w:val="00EE7875"/>
    <w:rsid w:val="00F00FF0"/>
    <w:rsid w:val="00F02463"/>
    <w:rsid w:val="00F06C5C"/>
    <w:rsid w:val="00F15502"/>
    <w:rsid w:val="00F169B5"/>
    <w:rsid w:val="00F2059A"/>
    <w:rsid w:val="00F23C9D"/>
    <w:rsid w:val="00F309C3"/>
    <w:rsid w:val="00F35FF3"/>
    <w:rsid w:val="00F3619F"/>
    <w:rsid w:val="00F37F7E"/>
    <w:rsid w:val="00F408BB"/>
    <w:rsid w:val="00F525EA"/>
    <w:rsid w:val="00F52F4B"/>
    <w:rsid w:val="00F57466"/>
    <w:rsid w:val="00F60D6D"/>
    <w:rsid w:val="00F63CC6"/>
    <w:rsid w:val="00F702FA"/>
    <w:rsid w:val="00F80FFD"/>
    <w:rsid w:val="00F863A9"/>
    <w:rsid w:val="00F95166"/>
    <w:rsid w:val="00FA3D32"/>
    <w:rsid w:val="00FA4A96"/>
    <w:rsid w:val="00FA774E"/>
    <w:rsid w:val="00FB03FE"/>
    <w:rsid w:val="00FB4466"/>
    <w:rsid w:val="00FB5F13"/>
    <w:rsid w:val="00FC34D4"/>
    <w:rsid w:val="00FC6A16"/>
    <w:rsid w:val="00FC7E9D"/>
    <w:rsid w:val="00FD0D48"/>
    <w:rsid w:val="00FD5194"/>
    <w:rsid w:val="00FE6E31"/>
    <w:rsid w:val="00FF43C1"/>
    <w:rsid w:val="00FF64B0"/>
    <w:rsid w:val="1AA44A44"/>
    <w:rsid w:val="3A816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Typewriter" w:semiHidden="0" w:uiPriority="99" w:unhideWhenUsed="0" w:qFormat="1"/>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2"/>
    <w:pPr>
      <w:widowControl w:val="0"/>
      <w:jc w:val="both"/>
    </w:pPr>
    <w:rPr>
      <w:kern w:val="2"/>
      <w:sz w:val="21"/>
      <w:szCs w:val="24"/>
    </w:rPr>
  </w:style>
  <w:style w:type="paragraph" w:styleId="1">
    <w:name w:val="heading 1"/>
    <w:basedOn w:val="a"/>
    <w:next w:val="a"/>
    <w:link w:val="1Char"/>
    <w:qFormat/>
    <w:rsid w:val="00241C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41C62"/>
    <w:rPr>
      <w:b/>
      <w:bCs/>
    </w:rPr>
  </w:style>
  <w:style w:type="paragraph" w:styleId="a4">
    <w:name w:val="annotation text"/>
    <w:basedOn w:val="a"/>
    <w:link w:val="Char0"/>
    <w:rsid w:val="00241C62"/>
    <w:pPr>
      <w:jc w:val="left"/>
    </w:pPr>
  </w:style>
  <w:style w:type="paragraph" w:styleId="a5">
    <w:name w:val="Balloon Text"/>
    <w:basedOn w:val="a"/>
    <w:link w:val="Char1"/>
    <w:rsid w:val="00241C62"/>
    <w:rPr>
      <w:sz w:val="18"/>
      <w:szCs w:val="18"/>
    </w:rPr>
  </w:style>
  <w:style w:type="paragraph" w:styleId="a6">
    <w:name w:val="footer"/>
    <w:basedOn w:val="a"/>
    <w:link w:val="Char2"/>
    <w:rsid w:val="00241C62"/>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241C6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241C62"/>
    <w:rPr>
      <w:b/>
      <w:bCs/>
    </w:rPr>
  </w:style>
  <w:style w:type="character" w:styleId="a9">
    <w:name w:val="FollowedHyperlink"/>
    <w:basedOn w:val="a0"/>
    <w:uiPriority w:val="99"/>
    <w:unhideWhenUsed/>
    <w:rsid w:val="00241C62"/>
    <w:rPr>
      <w:color w:val="800080"/>
      <w:u w:val="single"/>
    </w:rPr>
  </w:style>
  <w:style w:type="character" w:styleId="HTML">
    <w:name w:val="HTML Typewriter"/>
    <w:uiPriority w:val="99"/>
    <w:qFormat/>
    <w:rsid w:val="00241C62"/>
    <w:rPr>
      <w:rFonts w:ascii="宋体" w:eastAsia="宋体" w:hAnsi="宋体" w:cs="宋体"/>
      <w:sz w:val="24"/>
      <w:szCs w:val="24"/>
    </w:rPr>
  </w:style>
  <w:style w:type="character" w:styleId="aa">
    <w:name w:val="Hyperlink"/>
    <w:rsid w:val="00241C62"/>
    <w:rPr>
      <w:color w:val="000000"/>
      <w:u w:val="none"/>
    </w:rPr>
  </w:style>
  <w:style w:type="character" w:styleId="ab">
    <w:name w:val="annotation reference"/>
    <w:qFormat/>
    <w:rsid w:val="00241C62"/>
    <w:rPr>
      <w:sz w:val="21"/>
      <w:szCs w:val="21"/>
    </w:rPr>
  </w:style>
  <w:style w:type="table" w:styleId="ac">
    <w:name w:val="Table Grid"/>
    <w:basedOn w:val="a1"/>
    <w:uiPriority w:val="59"/>
    <w:rsid w:val="00241C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修订1"/>
    <w:rsid w:val="00241C62"/>
    <w:rPr>
      <w:kern w:val="2"/>
      <w:sz w:val="21"/>
      <w:szCs w:val="24"/>
    </w:rPr>
  </w:style>
  <w:style w:type="paragraph" w:customStyle="1" w:styleId="11">
    <w:name w:val="列出段落1"/>
    <w:basedOn w:val="a"/>
    <w:qFormat/>
    <w:rsid w:val="00241C62"/>
    <w:pPr>
      <w:ind w:firstLine="420"/>
    </w:pPr>
  </w:style>
  <w:style w:type="character" w:customStyle="1" w:styleId="Char">
    <w:name w:val="批注主题 Char"/>
    <w:link w:val="a3"/>
    <w:rsid w:val="00241C62"/>
    <w:rPr>
      <w:b/>
      <w:bCs/>
      <w:kern w:val="2"/>
      <w:sz w:val="21"/>
      <w:szCs w:val="24"/>
    </w:rPr>
  </w:style>
  <w:style w:type="character" w:customStyle="1" w:styleId="Char0">
    <w:name w:val="批注文字 Char"/>
    <w:link w:val="a4"/>
    <w:rsid w:val="00241C62"/>
    <w:rPr>
      <w:kern w:val="2"/>
      <w:sz w:val="21"/>
      <w:szCs w:val="24"/>
    </w:rPr>
  </w:style>
  <w:style w:type="character" w:customStyle="1" w:styleId="Char1">
    <w:name w:val="批注框文本 Char"/>
    <w:link w:val="a5"/>
    <w:rsid w:val="00241C62"/>
    <w:rPr>
      <w:kern w:val="2"/>
      <w:sz w:val="18"/>
      <w:szCs w:val="18"/>
    </w:rPr>
  </w:style>
  <w:style w:type="character" w:customStyle="1" w:styleId="Char2">
    <w:name w:val="页脚 Char"/>
    <w:link w:val="a6"/>
    <w:rsid w:val="00241C62"/>
    <w:rPr>
      <w:rFonts w:ascii="Calibri" w:hAnsi="Calibri" w:cs="宋体"/>
      <w:sz w:val="18"/>
      <w:szCs w:val="18"/>
    </w:rPr>
  </w:style>
  <w:style w:type="character" w:customStyle="1" w:styleId="big1">
    <w:name w:val="big1"/>
    <w:rsid w:val="00241C62"/>
    <w:rPr>
      <w:spacing w:val="360"/>
      <w:sz w:val="22"/>
      <w:szCs w:val="22"/>
    </w:rPr>
  </w:style>
  <w:style w:type="character" w:customStyle="1" w:styleId="1Char">
    <w:name w:val="标题 1 Char"/>
    <w:link w:val="1"/>
    <w:rsid w:val="00241C62"/>
    <w:rPr>
      <w:b/>
      <w:bCs/>
      <w:kern w:val="44"/>
      <w:sz w:val="44"/>
      <w:szCs w:val="44"/>
    </w:rPr>
  </w:style>
  <w:style w:type="character" w:customStyle="1" w:styleId="Char3">
    <w:name w:val="页眉 Char"/>
    <w:link w:val="a7"/>
    <w:rsid w:val="00241C62"/>
    <w:rPr>
      <w:rFonts w:ascii="Calibri" w:hAnsi="Calibri" w:cs="宋体"/>
      <w:sz w:val="18"/>
      <w:szCs w:val="18"/>
    </w:rPr>
  </w:style>
  <w:style w:type="paragraph" w:styleId="ad">
    <w:name w:val="Revision"/>
    <w:hidden/>
    <w:uiPriority w:val="99"/>
    <w:semiHidden/>
    <w:rsid w:val="00DC11EA"/>
    <w:rPr>
      <w:kern w:val="2"/>
      <w:sz w:val="21"/>
      <w:szCs w:val="24"/>
    </w:rPr>
  </w:style>
  <w:style w:type="paragraph" w:styleId="ae">
    <w:name w:val="List Paragraph"/>
    <w:basedOn w:val="a"/>
    <w:uiPriority w:val="99"/>
    <w:rsid w:val="00B05E4F"/>
    <w:pPr>
      <w:ind w:firstLineChars="200" w:firstLine="420"/>
    </w:pPr>
  </w:style>
</w:styles>
</file>

<file path=word/webSettings.xml><?xml version="1.0" encoding="utf-8"?>
<w:webSettings xmlns:r="http://schemas.openxmlformats.org/officeDocument/2006/relationships" xmlns:w="http://schemas.openxmlformats.org/wordprocessingml/2006/main">
  <w:divs>
    <w:div w:id="86081517">
      <w:bodyDiv w:val="1"/>
      <w:marLeft w:val="0"/>
      <w:marRight w:val="0"/>
      <w:marTop w:val="0"/>
      <w:marBottom w:val="0"/>
      <w:divBdr>
        <w:top w:val="none" w:sz="0" w:space="0" w:color="auto"/>
        <w:left w:val="none" w:sz="0" w:space="0" w:color="auto"/>
        <w:bottom w:val="none" w:sz="0" w:space="0" w:color="auto"/>
        <w:right w:val="none" w:sz="0" w:space="0" w:color="auto"/>
      </w:divBdr>
    </w:div>
    <w:div w:id="330062978">
      <w:bodyDiv w:val="1"/>
      <w:marLeft w:val="0"/>
      <w:marRight w:val="0"/>
      <w:marTop w:val="0"/>
      <w:marBottom w:val="0"/>
      <w:divBdr>
        <w:top w:val="none" w:sz="0" w:space="0" w:color="auto"/>
        <w:left w:val="none" w:sz="0" w:space="0" w:color="auto"/>
        <w:bottom w:val="none" w:sz="0" w:space="0" w:color="auto"/>
        <w:right w:val="none" w:sz="0" w:space="0" w:color="auto"/>
      </w:divBdr>
    </w:div>
    <w:div w:id="362831299">
      <w:bodyDiv w:val="1"/>
      <w:marLeft w:val="0"/>
      <w:marRight w:val="0"/>
      <w:marTop w:val="0"/>
      <w:marBottom w:val="0"/>
      <w:divBdr>
        <w:top w:val="none" w:sz="0" w:space="0" w:color="auto"/>
        <w:left w:val="none" w:sz="0" w:space="0" w:color="auto"/>
        <w:bottom w:val="none" w:sz="0" w:space="0" w:color="auto"/>
        <w:right w:val="none" w:sz="0" w:space="0" w:color="auto"/>
      </w:divBdr>
    </w:div>
    <w:div w:id="418143309">
      <w:bodyDiv w:val="1"/>
      <w:marLeft w:val="0"/>
      <w:marRight w:val="0"/>
      <w:marTop w:val="0"/>
      <w:marBottom w:val="0"/>
      <w:divBdr>
        <w:top w:val="none" w:sz="0" w:space="0" w:color="auto"/>
        <w:left w:val="none" w:sz="0" w:space="0" w:color="auto"/>
        <w:bottom w:val="none" w:sz="0" w:space="0" w:color="auto"/>
        <w:right w:val="none" w:sz="0" w:space="0" w:color="auto"/>
      </w:divBdr>
    </w:div>
    <w:div w:id="440759139">
      <w:bodyDiv w:val="1"/>
      <w:marLeft w:val="0"/>
      <w:marRight w:val="0"/>
      <w:marTop w:val="0"/>
      <w:marBottom w:val="0"/>
      <w:divBdr>
        <w:top w:val="none" w:sz="0" w:space="0" w:color="auto"/>
        <w:left w:val="none" w:sz="0" w:space="0" w:color="auto"/>
        <w:bottom w:val="none" w:sz="0" w:space="0" w:color="auto"/>
        <w:right w:val="none" w:sz="0" w:space="0" w:color="auto"/>
      </w:divBdr>
    </w:div>
    <w:div w:id="538591972">
      <w:bodyDiv w:val="1"/>
      <w:marLeft w:val="0"/>
      <w:marRight w:val="0"/>
      <w:marTop w:val="0"/>
      <w:marBottom w:val="0"/>
      <w:divBdr>
        <w:top w:val="none" w:sz="0" w:space="0" w:color="auto"/>
        <w:left w:val="none" w:sz="0" w:space="0" w:color="auto"/>
        <w:bottom w:val="none" w:sz="0" w:space="0" w:color="auto"/>
        <w:right w:val="none" w:sz="0" w:space="0" w:color="auto"/>
      </w:divBdr>
    </w:div>
    <w:div w:id="603419457">
      <w:bodyDiv w:val="1"/>
      <w:marLeft w:val="0"/>
      <w:marRight w:val="0"/>
      <w:marTop w:val="0"/>
      <w:marBottom w:val="0"/>
      <w:divBdr>
        <w:top w:val="none" w:sz="0" w:space="0" w:color="auto"/>
        <w:left w:val="none" w:sz="0" w:space="0" w:color="auto"/>
        <w:bottom w:val="none" w:sz="0" w:space="0" w:color="auto"/>
        <w:right w:val="none" w:sz="0" w:space="0" w:color="auto"/>
      </w:divBdr>
    </w:div>
    <w:div w:id="974600422">
      <w:bodyDiv w:val="1"/>
      <w:marLeft w:val="0"/>
      <w:marRight w:val="0"/>
      <w:marTop w:val="0"/>
      <w:marBottom w:val="0"/>
      <w:divBdr>
        <w:top w:val="none" w:sz="0" w:space="0" w:color="auto"/>
        <w:left w:val="none" w:sz="0" w:space="0" w:color="auto"/>
        <w:bottom w:val="none" w:sz="0" w:space="0" w:color="auto"/>
        <w:right w:val="none" w:sz="0" w:space="0" w:color="auto"/>
      </w:divBdr>
    </w:div>
    <w:div w:id="1015301170">
      <w:bodyDiv w:val="1"/>
      <w:marLeft w:val="0"/>
      <w:marRight w:val="0"/>
      <w:marTop w:val="0"/>
      <w:marBottom w:val="0"/>
      <w:divBdr>
        <w:top w:val="none" w:sz="0" w:space="0" w:color="auto"/>
        <w:left w:val="none" w:sz="0" w:space="0" w:color="auto"/>
        <w:bottom w:val="none" w:sz="0" w:space="0" w:color="auto"/>
        <w:right w:val="none" w:sz="0" w:space="0" w:color="auto"/>
      </w:divBdr>
    </w:div>
    <w:div w:id="1200512240">
      <w:bodyDiv w:val="1"/>
      <w:marLeft w:val="0"/>
      <w:marRight w:val="0"/>
      <w:marTop w:val="0"/>
      <w:marBottom w:val="0"/>
      <w:divBdr>
        <w:top w:val="none" w:sz="0" w:space="0" w:color="auto"/>
        <w:left w:val="none" w:sz="0" w:space="0" w:color="auto"/>
        <w:bottom w:val="none" w:sz="0" w:space="0" w:color="auto"/>
        <w:right w:val="none" w:sz="0" w:space="0" w:color="auto"/>
      </w:divBdr>
    </w:div>
    <w:div w:id="1293554519">
      <w:bodyDiv w:val="1"/>
      <w:marLeft w:val="0"/>
      <w:marRight w:val="0"/>
      <w:marTop w:val="0"/>
      <w:marBottom w:val="0"/>
      <w:divBdr>
        <w:top w:val="none" w:sz="0" w:space="0" w:color="auto"/>
        <w:left w:val="none" w:sz="0" w:space="0" w:color="auto"/>
        <w:bottom w:val="none" w:sz="0" w:space="0" w:color="auto"/>
        <w:right w:val="none" w:sz="0" w:space="0" w:color="auto"/>
      </w:divBdr>
    </w:div>
    <w:div w:id="1368792865">
      <w:bodyDiv w:val="1"/>
      <w:marLeft w:val="0"/>
      <w:marRight w:val="0"/>
      <w:marTop w:val="0"/>
      <w:marBottom w:val="0"/>
      <w:divBdr>
        <w:top w:val="none" w:sz="0" w:space="0" w:color="auto"/>
        <w:left w:val="none" w:sz="0" w:space="0" w:color="auto"/>
        <w:bottom w:val="none" w:sz="0" w:space="0" w:color="auto"/>
        <w:right w:val="none" w:sz="0" w:space="0" w:color="auto"/>
      </w:divBdr>
    </w:div>
    <w:div w:id="1404839711">
      <w:bodyDiv w:val="1"/>
      <w:marLeft w:val="0"/>
      <w:marRight w:val="0"/>
      <w:marTop w:val="0"/>
      <w:marBottom w:val="0"/>
      <w:divBdr>
        <w:top w:val="none" w:sz="0" w:space="0" w:color="auto"/>
        <w:left w:val="none" w:sz="0" w:space="0" w:color="auto"/>
        <w:bottom w:val="none" w:sz="0" w:space="0" w:color="auto"/>
        <w:right w:val="none" w:sz="0" w:space="0" w:color="auto"/>
      </w:divBdr>
    </w:div>
    <w:div w:id="1441878349">
      <w:bodyDiv w:val="1"/>
      <w:marLeft w:val="0"/>
      <w:marRight w:val="0"/>
      <w:marTop w:val="0"/>
      <w:marBottom w:val="0"/>
      <w:divBdr>
        <w:top w:val="none" w:sz="0" w:space="0" w:color="auto"/>
        <w:left w:val="none" w:sz="0" w:space="0" w:color="auto"/>
        <w:bottom w:val="none" w:sz="0" w:space="0" w:color="auto"/>
        <w:right w:val="none" w:sz="0" w:space="0" w:color="auto"/>
      </w:divBdr>
    </w:div>
    <w:div w:id="1494685693">
      <w:bodyDiv w:val="1"/>
      <w:marLeft w:val="0"/>
      <w:marRight w:val="0"/>
      <w:marTop w:val="0"/>
      <w:marBottom w:val="0"/>
      <w:divBdr>
        <w:top w:val="none" w:sz="0" w:space="0" w:color="auto"/>
        <w:left w:val="none" w:sz="0" w:space="0" w:color="auto"/>
        <w:bottom w:val="none" w:sz="0" w:space="0" w:color="auto"/>
        <w:right w:val="none" w:sz="0" w:space="0" w:color="auto"/>
      </w:divBdr>
    </w:div>
    <w:div w:id="1496385556">
      <w:bodyDiv w:val="1"/>
      <w:marLeft w:val="0"/>
      <w:marRight w:val="0"/>
      <w:marTop w:val="0"/>
      <w:marBottom w:val="0"/>
      <w:divBdr>
        <w:top w:val="none" w:sz="0" w:space="0" w:color="auto"/>
        <w:left w:val="none" w:sz="0" w:space="0" w:color="auto"/>
        <w:bottom w:val="none" w:sz="0" w:space="0" w:color="auto"/>
        <w:right w:val="none" w:sz="0" w:space="0" w:color="auto"/>
      </w:divBdr>
    </w:div>
    <w:div w:id="1506557244">
      <w:bodyDiv w:val="1"/>
      <w:marLeft w:val="0"/>
      <w:marRight w:val="0"/>
      <w:marTop w:val="0"/>
      <w:marBottom w:val="0"/>
      <w:divBdr>
        <w:top w:val="none" w:sz="0" w:space="0" w:color="auto"/>
        <w:left w:val="none" w:sz="0" w:space="0" w:color="auto"/>
        <w:bottom w:val="none" w:sz="0" w:space="0" w:color="auto"/>
        <w:right w:val="none" w:sz="0" w:space="0" w:color="auto"/>
      </w:divBdr>
    </w:div>
    <w:div w:id="1534537076">
      <w:bodyDiv w:val="1"/>
      <w:marLeft w:val="0"/>
      <w:marRight w:val="0"/>
      <w:marTop w:val="0"/>
      <w:marBottom w:val="0"/>
      <w:divBdr>
        <w:top w:val="none" w:sz="0" w:space="0" w:color="auto"/>
        <w:left w:val="none" w:sz="0" w:space="0" w:color="auto"/>
        <w:bottom w:val="none" w:sz="0" w:space="0" w:color="auto"/>
        <w:right w:val="none" w:sz="0" w:space="0" w:color="auto"/>
      </w:divBdr>
    </w:div>
    <w:div w:id="1556357401">
      <w:bodyDiv w:val="1"/>
      <w:marLeft w:val="0"/>
      <w:marRight w:val="0"/>
      <w:marTop w:val="0"/>
      <w:marBottom w:val="0"/>
      <w:divBdr>
        <w:top w:val="none" w:sz="0" w:space="0" w:color="auto"/>
        <w:left w:val="none" w:sz="0" w:space="0" w:color="auto"/>
        <w:bottom w:val="none" w:sz="0" w:space="0" w:color="auto"/>
        <w:right w:val="none" w:sz="0" w:space="0" w:color="auto"/>
      </w:divBdr>
    </w:div>
    <w:div w:id="1578587637">
      <w:bodyDiv w:val="1"/>
      <w:marLeft w:val="0"/>
      <w:marRight w:val="0"/>
      <w:marTop w:val="0"/>
      <w:marBottom w:val="0"/>
      <w:divBdr>
        <w:top w:val="none" w:sz="0" w:space="0" w:color="auto"/>
        <w:left w:val="none" w:sz="0" w:space="0" w:color="auto"/>
        <w:bottom w:val="none" w:sz="0" w:space="0" w:color="auto"/>
        <w:right w:val="none" w:sz="0" w:space="0" w:color="auto"/>
      </w:divBdr>
    </w:div>
    <w:div w:id="1696615573">
      <w:bodyDiv w:val="1"/>
      <w:marLeft w:val="0"/>
      <w:marRight w:val="0"/>
      <w:marTop w:val="0"/>
      <w:marBottom w:val="0"/>
      <w:divBdr>
        <w:top w:val="none" w:sz="0" w:space="0" w:color="auto"/>
        <w:left w:val="none" w:sz="0" w:space="0" w:color="auto"/>
        <w:bottom w:val="none" w:sz="0" w:space="0" w:color="auto"/>
        <w:right w:val="none" w:sz="0" w:space="0" w:color="auto"/>
      </w:divBdr>
    </w:div>
    <w:div w:id="1739326858">
      <w:bodyDiv w:val="1"/>
      <w:marLeft w:val="0"/>
      <w:marRight w:val="0"/>
      <w:marTop w:val="0"/>
      <w:marBottom w:val="0"/>
      <w:divBdr>
        <w:top w:val="none" w:sz="0" w:space="0" w:color="auto"/>
        <w:left w:val="none" w:sz="0" w:space="0" w:color="auto"/>
        <w:bottom w:val="none" w:sz="0" w:space="0" w:color="auto"/>
        <w:right w:val="none" w:sz="0" w:space="0" w:color="auto"/>
      </w:divBdr>
    </w:div>
    <w:div w:id="1749427109">
      <w:bodyDiv w:val="1"/>
      <w:marLeft w:val="0"/>
      <w:marRight w:val="0"/>
      <w:marTop w:val="0"/>
      <w:marBottom w:val="0"/>
      <w:divBdr>
        <w:top w:val="none" w:sz="0" w:space="0" w:color="auto"/>
        <w:left w:val="none" w:sz="0" w:space="0" w:color="auto"/>
        <w:bottom w:val="none" w:sz="0" w:space="0" w:color="auto"/>
        <w:right w:val="none" w:sz="0" w:space="0" w:color="auto"/>
      </w:divBdr>
    </w:div>
    <w:div w:id="1794909316">
      <w:bodyDiv w:val="1"/>
      <w:marLeft w:val="0"/>
      <w:marRight w:val="0"/>
      <w:marTop w:val="0"/>
      <w:marBottom w:val="0"/>
      <w:divBdr>
        <w:top w:val="none" w:sz="0" w:space="0" w:color="auto"/>
        <w:left w:val="none" w:sz="0" w:space="0" w:color="auto"/>
        <w:bottom w:val="none" w:sz="0" w:space="0" w:color="auto"/>
        <w:right w:val="none" w:sz="0" w:space="0" w:color="auto"/>
      </w:divBdr>
    </w:div>
    <w:div w:id="2054308683">
      <w:bodyDiv w:val="1"/>
      <w:marLeft w:val="0"/>
      <w:marRight w:val="0"/>
      <w:marTop w:val="0"/>
      <w:marBottom w:val="0"/>
      <w:divBdr>
        <w:top w:val="none" w:sz="0" w:space="0" w:color="auto"/>
        <w:left w:val="none" w:sz="0" w:space="0" w:color="auto"/>
        <w:bottom w:val="none" w:sz="0" w:space="0" w:color="auto"/>
        <w:right w:val="none" w:sz="0" w:space="0" w:color="auto"/>
      </w:divBdr>
    </w:div>
    <w:div w:id="2054619266">
      <w:bodyDiv w:val="1"/>
      <w:marLeft w:val="0"/>
      <w:marRight w:val="0"/>
      <w:marTop w:val="0"/>
      <w:marBottom w:val="0"/>
      <w:divBdr>
        <w:top w:val="none" w:sz="0" w:space="0" w:color="auto"/>
        <w:left w:val="none" w:sz="0" w:space="0" w:color="auto"/>
        <w:bottom w:val="none" w:sz="0" w:space="0" w:color="auto"/>
        <w:right w:val="none" w:sz="0" w:space="0" w:color="auto"/>
      </w:divBdr>
    </w:div>
    <w:div w:id="2138376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efunds.com.cn/" TargetMode="External"/><Relationship Id="rId5" Type="http://schemas.openxmlformats.org/officeDocument/2006/relationships/styles" Target="styles.xml"/><Relationship Id="rId10" Type="http://schemas.openxmlformats.org/officeDocument/2006/relationships/hyperlink" Target="https://www.lzbank.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309FB-467F-4B79-87D4-0B90E823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4894</Characters>
  <Application>Microsoft Office Word</Application>
  <DocSecurity>4</DocSecurity>
  <Lines>40</Lines>
  <Paragraphs>11</Paragraphs>
  <ScaleCrop>false</ScaleCrop>
  <Company>易方达基金管理有限公司</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梁春晓</dc:creator>
  <cp:keywords/>
  <dc:description/>
  <cp:lastModifiedBy>ZHONGM</cp:lastModifiedBy>
  <cp:revision>2</cp:revision>
  <cp:lastPrinted>2016-04-15T07:09:00Z</cp:lastPrinted>
  <dcterms:created xsi:type="dcterms:W3CDTF">2020-10-29T16:02:00Z</dcterms:created>
  <dcterms:modified xsi:type="dcterms:W3CDTF">2020-10-29T16:02:00Z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