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9F" w:rsidRDefault="00802FA4">
      <w:pPr>
        <w:jc w:val="center"/>
        <w:rPr>
          <w:rFonts w:asciiTheme="minorEastAsia" w:hAnsiTheme="minorEastAsia" w:cs="Times New Roman"/>
          <w:b/>
          <w:sz w:val="30"/>
          <w:szCs w:val="30"/>
        </w:rPr>
      </w:pPr>
      <w:r w:rsidRPr="00802FA4">
        <w:rPr>
          <w:rFonts w:asciiTheme="minorEastAsia" w:hAnsiTheme="minorEastAsia" w:cs="Times New Roman" w:hint="eastAsia"/>
          <w:b/>
          <w:sz w:val="30"/>
          <w:szCs w:val="30"/>
        </w:rPr>
        <w:t>财通证券资产管理有限公司关于修订旗下部分基金基金合同及托管协议的公告</w:t>
      </w:r>
    </w:p>
    <w:p w:rsidR="0066559F" w:rsidRDefault="0066559F">
      <w:pPr>
        <w:jc w:val="center"/>
        <w:rPr>
          <w:rFonts w:asciiTheme="minorEastAsia" w:hAnsiTheme="minorEastAsia" w:cs="Times New Roman"/>
          <w:b/>
          <w:sz w:val="30"/>
          <w:szCs w:val="30"/>
        </w:rPr>
      </w:pPr>
    </w:p>
    <w:p w:rsidR="0066559F" w:rsidRDefault="00F72459">
      <w:pPr>
        <w:adjustRightInd w:val="0"/>
        <w:snapToGrid w:val="0"/>
        <w:spacing w:line="360" w:lineRule="auto"/>
        <w:ind w:firstLineChars="200" w:firstLine="480"/>
        <w:rPr>
          <w:rFonts w:asciiTheme="minorEastAsia" w:hAnsiTheme="minorEastAsia" w:cs="Times New Roman"/>
          <w:bCs/>
          <w:sz w:val="24"/>
          <w:szCs w:val="20"/>
        </w:rPr>
      </w:pPr>
      <w:r w:rsidRPr="00F72459">
        <w:rPr>
          <w:rFonts w:asciiTheme="minorEastAsia" w:hAnsiTheme="minorEastAsia" w:cs="Times New Roman" w:hint="eastAsia"/>
          <w:bCs/>
          <w:sz w:val="24"/>
          <w:szCs w:val="20"/>
        </w:rPr>
        <w:t>根据《中华人民共和国证券投资基金法》、《公开募集证券投资基金信息披露管理办法》及《存托凭证发行与交易管理办法（试行）》等法规要求，财通证券资产管理有限公司（以下简称“本公司”）经与基金托管人协商一致，拟对本公司旗下部分公募基金基金合同、托管协议、招募说明书</w:t>
      </w:r>
      <w:r w:rsidR="004C731F" w:rsidRPr="004C731F">
        <w:rPr>
          <w:rFonts w:asciiTheme="minorEastAsia" w:hAnsiTheme="minorEastAsia" w:cs="Times New Roman" w:hint="eastAsia"/>
          <w:bCs/>
          <w:sz w:val="24"/>
          <w:szCs w:val="20"/>
        </w:rPr>
        <w:t>及基金产品资料概要</w:t>
      </w:r>
      <w:r w:rsidRPr="00F72459">
        <w:rPr>
          <w:rFonts w:asciiTheme="minorEastAsia" w:hAnsiTheme="minorEastAsia" w:cs="Times New Roman" w:hint="eastAsia"/>
          <w:bCs/>
          <w:sz w:val="24"/>
          <w:szCs w:val="20"/>
        </w:rPr>
        <w:t>进行修订，以符合规定要求。主要修订内容包括：明确投资范围包含存托凭证、增加存托凭证的投资策略、投资比例限制、估值方法，并</w:t>
      </w:r>
      <w:r w:rsidR="004C731F">
        <w:rPr>
          <w:rFonts w:asciiTheme="minorEastAsia" w:hAnsiTheme="minorEastAsia" w:cs="Times New Roman" w:hint="eastAsia"/>
          <w:bCs/>
          <w:sz w:val="24"/>
          <w:szCs w:val="20"/>
        </w:rPr>
        <w:t>增加</w:t>
      </w:r>
      <w:r w:rsidRPr="00F72459">
        <w:rPr>
          <w:rFonts w:asciiTheme="minorEastAsia" w:hAnsiTheme="minorEastAsia" w:cs="Times New Roman" w:hint="eastAsia"/>
          <w:bCs/>
          <w:sz w:val="24"/>
          <w:szCs w:val="20"/>
        </w:rPr>
        <w:t>提示存托凭证的投资风险等。</w:t>
      </w:r>
    </w:p>
    <w:p w:rsidR="00F72459" w:rsidRPr="00F72459" w:rsidRDefault="00F72459" w:rsidP="00F72459">
      <w:pPr>
        <w:adjustRightInd w:val="0"/>
        <w:snapToGrid w:val="0"/>
        <w:spacing w:line="360" w:lineRule="auto"/>
        <w:ind w:firstLineChars="200" w:firstLine="480"/>
        <w:rPr>
          <w:rFonts w:asciiTheme="minorEastAsia" w:hAnsiTheme="minorEastAsia" w:cs="Times New Roman"/>
          <w:bCs/>
          <w:sz w:val="24"/>
          <w:szCs w:val="20"/>
        </w:rPr>
      </w:pPr>
      <w:r w:rsidRPr="00F72459">
        <w:rPr>
          <w:rFonts w:asciiTheme="minorEastAsia" w:hAnsiTheme="minorEastAsia" w:cs="Times New Roman" w:hint="eastAsia"/>
          <w:bCs/>
          <w:sz w:val="24"/>
          <w:szCs w:val="20"/>
        </w:rPr>
        <w:t>一、修订基金范围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5891"/>
      </w:tblGrid>
      <w:tr w:rsidR="000F7942" w:rsidRPr="00717600" w:rsidTr="000F7942">
        <w:tc>
          <w:tcPr>
            <w:tcW w:w="2405"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基金代码</w:t>
            </w:r>
          </w:p>
        </w:tc>
        <w:tc>
          <w:tcPr>
            <w:tcW w:w="5891"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基金名称</w:t>
            </w:r>
          </w:p>
        </w:tc>
      </w:tr>
      <w:tr w:rsidR="000F7942" w:rsidRPr="00717600" w:rsidTr="000F7942">
        <w:tc>
          <w:tcPr>
            <w:tcW w:w="2405"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bCs/>
                <w:sz w:val="24"/>
                <w:szCs w:val="20"/>
              </w:rPr>
              <w:t>004888/004889</w:t>
            </w:r>
          </w:p>
        </w:tc>
        <w:tc>
          <w:tcPr>
            <w:tcW w:w="5891"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财通资管鑫逸回报混合型证券投资基金</w:t>
            </w:r>
          </w:p>
        </w:tc>
      </w:tr>
      <w:tr w:rsidR="000F7942" w:rsidRPr="00717600" w:rsidTr="000F7942">
        <w:tc>
          <w:tcPr>
            <w:tcW w:w="2405"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bCs/>
                <w:sz w:val="24"/>
                <w:szCs w:val="20"/>
              </w:rPr>
              <w:t>005679</w:t>
            </w:r>
          </w:p>
        </w:tc>
        <w:tc>
          <w:tcPr>
            <w:tcW w:w="5891"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财通资管鑫盛6个月定期开放混合型证券投资基金</w:t>
            </w:r>
          </w:p>
        </w:tc>
      </w:tr>
      <w:tr w:rsidR="000F7942" w:rsidRPr="00717600" w:rsidTr="000F7942">
        <w:tc>
          <w:tcPr>
            <w:tcW w:w="2405"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005680</w:t>
            </w:r>
          </w:p>
        </w:tc>
        <w:tc>
          <w:tcPr>
            <w:tcW w:w="5891"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财通资管价值成长混合型证券投资基金</w:t>
            </w:r>
          </w:p>
        </w:tc>
      </w:tr>
      <w:tr w:rsidR="000F7942" w:rsidRPr="00717600" w:rsidTr="000F7942">
        <w:tc>
          <w:tcPr>
            <w:tcW w:w="2405"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005682</w:t>
            </w:r>
          </w:p>
        </w:tc>
        <w:tc>
          <w:tcPr>
            <w:tcW w:w="5891"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财通资管消费精选灵活配置混合型证券投资基金</w:t>
            </w:r>
          </w:p>
        </w:tc>
      </w:tr>
      <w:tr w:rsidR="000F7942" w:rsidRPr="00717600" w:rsidTr="000F7942">
        <w:tc>
          <w:tcPr>
            <w:tcW w:w="2405"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008276</w:t>
            </w:r>
          </w:p>
        </w:tc>
        <w:tc>
          <w:tcPr>
            <w:tcW w:w="5891"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财通资管价值发现混合型证券投资基金</w:t>
            </w:r>
          </w:p>
        </w:tc>
      </w:tr>
      <w:tr w:rsidR="000F7942" w:rsidRPr="00717600" w:rsidTr="000F7942">
        <w:tc>
          <w:tcPr>
            <w:tcW w:w="2405"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008277</w:t>
            </w:r>
          </w:p>
        </w:tc>
        <w:tc>
          <w:tcPr>
            <w:tcW w:w="5891"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财通资管行业精选混合型证券投资基金</w:t>
            </w:r>
          </w:p>
        </w:tc>
      </w:tr>
      <w:tr w:rsidR="000F7942" w:rsidRPr="00717600" w:rsidTr="000F7942">
        <w:tc>
          <w:tcPr>
            <w:tcW w:w="2405"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009447</w:t>
            </w:r>
          </w:p>
        </w:tc>
        <w:tc>
          <w:tcPr>
            <w:tcW w:w="5891"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财通资管科技创新一年定期开放混合型证券投资基金</w:t>
            </w:r>
          </w:p>
        </w:tc>
      </w:tr>
      <w:tr w:rsidR="000F7942" w:rsidRPr="00717600" w:rsidTr="000F7942">
        <w:tc>
          <w:tcPr>
            <w:tcW w:w="2405"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009774</w:t>
            </w:r>
          </w:p>
        </w:tc>
        <w:tc>
          <w:tcPr>
            <w:tcW w:w="5891" w:type="dxa"/>
            <w:tcBorders>
              <w:top w:val="single" w:sz="4" w:space="0" w:color="auto"/>
              <w:left w:val="single" w:sz="4" w:space="0" w:color="auto"/>
              <w:bottom w:val="single" w:sz="4" w:space="0" w:color="auto"/>
              <w:right w:val="single" w:sz="4" w:space="0" w:color="auto"/>
            </w:tcBorders>
            <w:shd w:val="clear" w:color="auto" w:fill="auto"/>
          </w:tcPr>
          <w:p w:rsidR="000F7942" w:rsidRPr="000F7942" w:rsidRDefault="000F7942" w:rsidP="000F7942">
            <w:pPr>
              <w:adjustRightInd w:val="0"/>
              <w:snapToGrid w:val="0"/>
              <w:spacing w:line="360" w:lineRule="auto"/>
              <w:jc w:val="center"/>
              <w:rPr>
                <w:rFonts w:asciiTheme="minorEastAsia" w:hAnsiTheme="minorEastAsia" w:cs="Times New Roman"/>
                <w:bCs/>
                <w:sz w:val="24"/>
                <w:szCs w:val="20"/>
              </w:rPr>
            </w:pPr>
            <w:r w:rsidRPr="000F7942">
              <w:rPr>
                <w:rFonts w:asciiTheme="minorEastAsia" w:hAnsiTheme="minorEastAsia" w:cs="Times New Roman" w:hint="eastAsia"/>
                <w:bCs/>
                <w:sz w:val="24"/>
                <w:szCs w:val="20"/>
              </w:rPr>
              <w:t>财通资管优选回报一年持有期混合型证券投资基金</w:t>
            </w:r>
          </w:p>
        </w:tc>
      </w:tr>
    </w:tbl>
    <w:p w:rsidR="000F7942" w:rsidRPr="000F7942" w:rsidRDefault="000F7942" w:rsidP="00F72459">
      <w:pPr>
        <w:adjustRightInd w:val="0"/>
        <w:snapToGrid w:val="0"/>
        <w:spacing w:line="360" w:lineRule="auto"/>
        <w:ind w:firstLineChars="200" w:firstLine="480"/>
        <w:rPr>
          <w:rFonts w:asciiTheme="minorEastAsia" w:hAnsiTheme="minorEastAsia" w:cs="Times New Roman"/>
          <w:bCs/>
          <w:sz w:val="24"/>
          <w:szCs w:val="20"/>
        </w:rPr>
      </w:pPr>
    </w:p>
    <w:p w:rsidR="00F72459" w:rsidRPr="00F72459" w:rsidRDefault="00F72459" w:rsidP="00F72459">
      <w:pPr>
        <w:adjustRightInd w:val="0"/>
        <w:snapToGrid w:val="0"/>
        <w:spacing w:line="360" w:lineRule="auto"/>
        <w:ind w:firstLineChars="200" w:firstLine="480"/>
        <w:rPr>
          <w:rFonts w:asciiTheme="minorEastAsia" w:hAnsiTheme="minorEastAsia" w:cs="Times New Roman"/>
          <w:bCs/>
          <w:sz w:val="24"/>
          <w:szCs w:val="20"/>
        </w:rPr>
      </w:pPr>
      <w:r w:rsidRPr="00F72459">
        <w:rPr>
          <w:rFonts w:asciiTheme="minorEastAsia" w:hAnsiTheme="minorEastAsia" w:cs="Times New Roman" w:hint="eastAsia"/>
          <w:bCs/>
          <w:sz w:val="24"/>
          <w:szCs w:val="20"/>
        </w:rPr>
        <w:t>二、修订的基本情况</w:t>
      </w:r>
    </w:p>
    <w:p w:rsidR="00E01E07" w:rsidRPr="008A69A5" w:rsidRDefault="00F72459" w:rsidP="00E01E07">
      <w:pPr>
        <w:adjustRightInd w:val="0"/>
        <w:snapToGrid w:val="0"/>
        <w:spacing w:line="360" w:lineRule="auto"/>
        <w:ind w:firstLineChars="200" w:firstLine="480"/>
        <w:rPr>
          <w:rFonts w:asciiTheme="minorEastAsia" w:hAnsiTheme="minorEastAsia" w:cs="Times New Roman"/>
          <w:bCs/>
          <w:sz w:val="24"/>
          <w:szCs w:val="20"/>
        </w:rPr>
      </w:pPr>
      <w:r w:rsidRPr="008A69A5">
        <w:rPr>
          <w:rFonts w:asciiTheme="minorEastAsia" w:hAnsiTheme="minorEastAsia" w:cs="Times New Roman"/>
          <w:bCs/>
          <w:sz w:val="24"/>
          <w:szCs w:val="20"/>
        </w:rPr>
        <w:t>1、在投资范围中增加存托凭证。</w:t>
      </w:r>
      <w:r w:rsidR="00E01E07" w:rsidRPr="008A69A5">
        <w:rPr>
          <w:rFonts w:asciiTheme="minorEastAsia" w:hAnsiTheme="minorEastAsia" w:cs="Times New Roman" w:hint="eastAsia"/>
          <w:bCs/>
          <w:sz w:val="24"/>
          <w:szCs w:val="20"/>
        </w:rPr>
        <w:t>以“财通资管鑫盛</w:t>
      </w:r>
      <w:r w:rsidR="00E01E07" w:rsidRPr="008A69A5">
        <w:rPr>
          <w:rFonts w:asciiTheme="minorEastAsia" w:hAnsiTheme="minorEastAsia" w:cs="Times New Roman"/>
          <w:bCs/>
          <w:sz w:val="24"/>
          <w:szCs w:val="20"/>
        </w:rPr>
        <w:t>6个月定期开放混合型证券投资基金</w:t>
      </w:r>
      <w:r w:rsidR="00E01E07" w:rsidRPr="008A69A5">
        <w:rPr>
          <w:rFonts w:asciiTheme="minorEastAsia" w:hAnsiTheme="minorEastAsia" w:cs="Times New Roman" w:hint="eastAsia"/>
          <w:bCs/>
          <w:sz w:val="24"/>
          <w:szCs w:val="20"/>
        </w:rPr>
        <w:t>”为例，将“投资范围”修订为：</w:t>
      </w:r>
    </w:p>
    <w:p w:rsidR="00E01E07" w:rsidRPr="008A69A5" w:rsidRDefault="00E01E07" w:rsidP="00E01E07">
      <w:pPr>
        <w:spacing w:line="516" w:lineRule="exact"/>
        <w:ind w:firstLineChars="200" w:firstLine="480"/>
        <w:rPr>
          <w:bCs/>
          <w:sz w:val="24"/>
        </w:rPr>
      </w:pPr>
      <w:r w:rsidRPr="008A69A5">
        <w:rPr>
          <w:rFonts w:asciiTheme="minorEastAsia" w:hAnsiTheme="minorEastAsia" w:cs="Times New Roman" w:hint="eastAsia"/>
          <w:bCs/>
          <w:sz w:val="24"/>
          <w:szCs w:val="20"/>
        </w:rPr>
        <w:t>“</w:t>
      </w:r>
      <w:r w:rsidRPr="008A69A5">
        <w:rPr>
          <w:rFonts w:hint="eastAsia"/>
          <w:bCs/>
          <w:sz w:val="24"/>
        </w:rPr>
        <w:t>本基金的投资范围主要为国内依法发行上市的股票（包括中小板、创业板</w:t>
      </w:r>
      <w:r w:rsidRPr="008A69A5">
        <w:rPr>
          <w:rFonts w:hint="eastAsia"/>
          <w:b/>
          <w:bCs/>
          <w:sz w:val="24"/>
        </w:rPr>
        <w:t>、存托凭证</w:t>
      </w:r>
      <w:r w:rsidRPr="008A69A5">
        <w:rPr>
          <w:rFonts w:hint="eastAsia"/>
          <w:bCs/>
          <w:sz w:val="24"/>
        </w:rPr>
        <w:t>及其他经中国证监会核准上市的股票）、债券（包括国债、央行票据、金融债券、企业债券、公司债券、中期票据、短期融资券、超短期融资券、次级债券、政府支持机构债券、政府支持债券、地方政府债券、可转换债券、可交换</w:t>
      </w:r>
      <w:r w:rsidRPr="008A69A5">
        <w:rPr>
          <w:rFonts w:hint="eastAsia"/>
          <w:bCs/>
          <w:sz w:val="24"/>
        </w:rPr>
        <w:lastRenderedPageBreak/>
        <w:t>债券等）、资产支持证券、债券回购、银行存款（包括协议存款、定期存款及其他银行存款）、同业存单、衍生品（包括权证、股指期货、国债期货等）、货币市场工具以及经中国证监会允许基金投资的其他金融工具。</w:t>
      </w:r>
    </w:p>
    <w:p w:rsidR="00E01E07" w:rsidRPr="008A69A5" w:rsidRDefault="00E01E07" w:rsidP="00F72459">
      <w:pPr>
        <w:adjustRightInd w:val="0"/>
        <w:snapToGrid w:val="0"/>
        <w:spacing w:line="360" w:lineRule="auto"/>
        <w:ind w:firstLineChars="200" w:firstLine="480"/>
        <w:rPr>
          <w:rFonts w:asciiTheme="minorEastAsia" w:hAnsiTheme="minorEastAsia" w:cs="Times New Roman"/>
          <w:bCs/>
          <w:sz w:val="24"/>
          <w:szCs w:val="20"/>
        </w:rPr>
      </w:pPr>
      <w:r w:rsidRPr="008A69A5">
        <w:rPr>
          <w:rFonts w:asciiTheme="minorEastAsia" w:hAnsiTheme="minorEastAsia" w:cs="Times New Roman"/>
          <w:bCs/>
          <w:sz w:val="24"/>
          <w:szCs w:val="20"/>
        </w:rPr>
        <w:t>……</w:t>
      </w:r>
      <w:r w:rsidRPr="008A69A5">
        <w:rPr>
          <w:rFonts w:asciiTheme="minorEastAsia" w:hAnsiTheme="minorEastAsia" w:cs="Times New Roman" w:hint="eastAsia"/>
          <w:bCs/>
          <w:sz w:val="24"/>
          <w:szCs w:val="20"/>
        </w:rPr>
        <w:t>”</w:t>
      </w:r>
    </w:p>
    <w:p w:rsidR="00F72459" w:rsidRPr="008A69A5" w:rsidRDefault="00F72459" w:rsidP="00F72459">
      <w:pPr>
        <w:adjustRightInd w:val="0"/>
        <w:snapToGrid w:val="0"/>
        <w:spacing w:line="360" w:lineRule="auto"/>
        <w:ind w:firstLineChars="200" w:firstLine="480"/>
        <w:rPr>
          <w:rFonts w:asciiTheme="minorEastAsia" w:hAnsiTheme="minorEastAsia" w:cs="Times New Roman"/>
          <w:bCs/>
          <w:sz w:val="24"/>
          <w:szCs w:val="20"/>
        </w:rPr>
      </w:pPr>
      <w:r w:rsidRPr="008A69A5">
        <w:rPr>
          <w:rFonts w:asciiTheme="minorEastAsia" w:hAnsiTheme="minorEastAsia" w:cs="Times New Roman"/>
          <w:bCs/>
          <w:sz w:val="24"/>
          <w:szCs w:val="20"/>
        </w:rPr>
        <w:t>2、在投资策略中增加存托凭证的投资策略</w:t>
      </w:r>
      <w:r w:rsidR="00E203E4" w:rsidRPr="008A69A5">
        <w:rPr>
          <w:rFonts w:asciiTheme="minorEastAsia" w:hAnsiTheme="minorEastAsia" w:cs="Times New Roman" w:hint="eastAsia"/>
          <w:bCs/>
          <w:sz w:val="24"/>
          <w:szCs w:val="20"/>
        </w:rPr>
        <w:t>，</w:t>
      </w:r>
      <w:r w:rsidR="00E01E07" w:rsidRPr="008A69A5">
        <w:rPr>
          <w:rFonts w:asciiTheme="minorEastAsia" w:hAnsiTheme="minorEastAsia" w:cs="Times New Roman" w:hint="eastAsia"/>
          <w:bCs/>
          <w:sz w:val="24"/>
          <w:szCs w:val="20"/>
        </w:rPr>
        <w:t>描述如下：</w:t>
      </w:r>
    </w:p>
    <w:p w:rsidR="00E01E07" w:rsidRPr="008A69A5" w:rsidRDefault="00E01E07" w:rsidP="00603059">
      <w:pPr>
        <w:adjustRightInd w:val="0"/>
        <w:snapToGrid w:val="0"/>
        <w:spacing w:line="360" w:lineRule="auto"/>
        <w:ind w:firstLineChars="200" w:firstLine="480"/>
        <w:rPr>
          <w:rFonts w:asciiTheme="minorEastAsia" w:hAnsiTheme="minorEastAsia" w:cs="Times New Roman"/>
          <w:bCs/>
          <w:sz w:val="24"/>
          <w:szCs w:val="20"/>
        </w:rPr>
      </w:pPr>
      <w:r w:rsidRPr="008A69A5">
        <w:rPr>
          <w:rFonts w:asciiTheme="minorEastAsia" w:hAnsiTheme="minorEastAsia" w:cs="Times New Roman" w:hint="eastAsia"/>
          <w:bCs/>
          <w:sz w:val="24"/>
          <w:szCs w:val="20"/>
        </w:rPr>
        <w:t>“</w:t>
      </w:r>
      <w:r w:rsidRPr="008A69A5">
        <w:rPr>
          <w:rFonts w:asciiTheme="minorEastAsia" w:hAnsiTheme="minorEastAsia" w:cs="Times New Roman" w:hint="eastAsia"/>
          <w:b/>
          <w:bCs/>
          <w:sz w:val="24"/>
          <w:szCs w:val="20"/>
        </w:rPr>
        <w:t>本基金将在充分了解存托凭证存托协议和相关规则的基础上，参照上述股票投资策略优选具有较高投资价值的存托凭证进行投资。</w:t>
      </w:r>
      <w:r w:rsidRPr="008A69A5">
        <w:rPr>
          <w:rFonts w:asciiTheme="minorEastAsia" w:hAnsiTheme="minorEastAsia" w:cs="Times New Roman" w:hint="eastAsia"/>
          <w:bCs/>
          <w:sz w:val="24"/>
          <w:szCs w:val="20"/>
        </w:rPr>
        <w:t>”</w:t>
      </w:r>
    </w:p>
    <w:p w:rsidR="00E01E07" w:rsidRPr="008A69A5" w:rsidRDefault="00F72459" w:rsidP="00F72459">
      <w:pPr>
        <w:adjustRightInd w:val="0"/>
        <w:snapToGrid w:val="0"/>
        <w:spacing w:line="360" w:lineRule="auto"/>
        <w:ind w:firstLineChars="200" w:firstLine="480"/>
        <w:rPr>
          <w:rFonts w:asciiTheme="minorEastAsia" w:hAnsiTheme="minorEastAsia" w:cs="Times New Roman"/>
          <w:bCs/>
          <w:sz w:val="24"/>
          <w:szCs w:val="20"/>
        </w:rPr>
      </w:pPr>
      <w:r w:rsidRPr="008A69A5">
        <w:rPr>
          <w:rFonts w:asciiTheme="minorEastAsia" w:hAnsiTheme="minorEastAsia" w:cs="Times New Roman"/>
          <w:bCs/>
          <w:sz w:val="24"/>
          <w:szCs w:val="20"/>
        </w:rPr>
        <w:t>3、在投资限制中增加存托凭证的投资比例限制</w:t>
      </w:r>
      <w:r w:rsidR="00E203E4" w:rsidRPr="008A69A5">
        <w:rPr>
          <w:rFonts w:asciiTheme="minorEastAsia" w:hAnsiTheme="minorEastAsia" w:cs="Times New Roman" w:hint="eastAsia"/>
          <w:bCs/>
          <w:sz w:val="24"/>
          <w:szCs w:val="20"/>
        </w:rPr>
        <w:t>，</w:t>
      </w:r>
      <w:r w:rsidR="00E01E07" w:rsidRPr="008A69A5">
        <w:rPr>
          <w:rFonts w:asciiTheme="minorEastAsia" w:hAnsiTheme="minorEastAsia" w:cs="Times New Roman" w:hint="eastAsia"/>
          <w:bCs/>
          <w:sz w:val="24"/>
          <w:szCs w:val="20"/>
        </w:rPr>
        <w:t>描述如下：</w:t>
      </w:r>
    </w:p>
    <w:p w:rsidR="00F72459" w:rsidRPr="008A69A5" w:rsidRDefault="00E01E07" w:rsidP="00F72459">
      <w:pPr>
        <w:adjustRightInd w:val="0"/>
        <w:snapToGrid w:val="0"/>
        <w:spacing w:line="360" w:lineRule="auto"/>
        <w:ind w:firstLineChars="200" w:firstLine="480"/>
        <w:rPr>
          <w:rFonts w:asciiTheme="minorEastAsia" w:hAnsiTheme="minorEastAsia" w:cs="Times New Roman"/>
          <w:bCs/>
          <w:sz w:val="24"/>
          <w:szCs w:val="20"/>
        </w:rPr>
      </w:pPr>
      <w:r w:rsidRPr="008A69A5">
        <w:rPr>
          <w:rFonts w:asciiTheme="minorEastAsia" w:hAnsiTheme="minorEastAsia" w:cs="Times New Roman" w:hint="eastAsia"/>
          <w:bCs/>
          <w:sz w:val="24"/>
          <w:szCs w:val="20"/>
        </w:rPr>
        <w:t>“</w:t>
      </w:r>
      <w:r w:rsidRPr="008A69A5">
        <w:rPr>
          <w:rFonts w:asciiTheme="minorEastAsia" w:hAnsiTheme="minorEastAsia" w:cs="Times New Roman" w:hint="eastAsia"/>
          <w:b/>
          <w:bCs/>
          <w:sz w:val="24"/>
          <w:szCs w:val="20"/>
        </w:rPr>
        <w:t>本基金投资存托凭证的比例限制依照境内上市交易的股票执行，与境内上市交易的股票合并计算；</w:t>
      </w:r>
      <w:r w:rsidRPr="008A69A5">
        <w:rPr>
          <w:rFonts w:asciiTheme="minorEastAsia" w:hAnsiTheme="minorEastAsia" w:cs="Times New Roman" w:hint="eastAsia"/>
          <w:bCs/>
          <w:sz w:val="24"/>
          <w:szCs w:val="20"/>
        </w:rPr>
        <w:t>”</w:t>
      </w:r>
    </w:p>
    <w:p w:rsidR="00E01E07" w:rsidRPr="008A69A5" w:rsidRDefault="00F72459" w:rsidP="00F72459">
      <w:pPr>
        <w:adjustRightInd w:val="0"/>
        <w:snapToGrid w:val="0"/>
        <w:spacing w:line="360" w:lineRule="auto"/>
        <w:ind w:firstLineChars="200" w:firstLine="480"/>
        <w:rPr>
          <w:rFonts w:asciiTheme="minorEastAsia" w:hAnsiTheme="minorEastAsia" w:cs="Times New Roman"/>
          <w:bCs/>
          <w:sz w:val="24"/>
          <w:szCs w:val="20"/>
        </w:rPr>
      </w:pPr>
      <w:r w:rsidRPr="008A69A5">
        <w:rPr>
          <w:rFonts w:asciiTheme="minorEastAsia" w:hAnsiTheme="minorEastAsia" w:cs="Times New Roman"/>
          <w:bCs/>
          <w:sz w:val="24"/>
          <w:szCs w:val="20"/>
        </w:rPr>
        <w:t>4、在估值方法中增加存托凭证的估值核算方法</w:t>
      </w:r>
      <w:r w:rsidR="00E203E4" w:rsidRPr="008A69A5">
        <w:rPr>
          <w:rFonts w:asciiTheme="minorEastAsia" w:hAnsiTheme="minorEastAsia" w:cs="Times New Roman" w:hint="eastAsia"/>
          <w:bCs/>
          <w:sz w:val="24"/>
          <w:szCs w:val="20"/>
        </w:rPr>
        <w:t>，</w:t>
      </w:r>
      <w:r w:rsidR="00E01E07" w:rsidRPr="008A69A5">
        <w:rPr>
          <w:rFonts w:asciiTheme="minorEastAsia" w:hAnsiTheme="minorEastAsia" w:cs="Times New Roman" w:hint="eastAsia"/>
          <w:bCs/>
          <w:sz w:val="24"/>
          <w:szCs w:val="20"/>
        </w:rPr>
        <w:t>描述如下：</w:t>
      </w:r>
    </w:p>
    <w:p w:rsidR="00F72459" w:rsidRPr="008A69A5" w:rsidRDefault="00E01E07" w:rsidP="00603059">
      <w:pPr>
        <w:adjustRightInd w:val="0"/>
        <w:snapToGrid w:val="0"/>
        <w:spacing w:line="360" w:lineRule="auto"/>
        <w:ind w:firstLineChars="200" w:firstLine="480"/>
        <w:rPr>
          <w:rFonts w:asciiTheme="minorEastAsia" w:hAnsiTheme="minorEastAsia" w:cs="Times New Roman"/>
          <w:bCs/>
          <w:sz w:val="24"/>
          <w:szCs w:val="20"/>
        </w:rPr>
      </w:pPr>
      <w:r w:rsidRPr="008A69A5">
        <w:rPr>
          <w:rFonts w:asciiTheme="minorEastAsia" w:hAnsiTheme="minorEastAsia" w:cs="Times New Roman" w:hint="eastAsia"/>
          <w:bCs/>
          <w:sz w:val="24"/>
          <w:szCs w:val="20"/>
        </w:rPr>
        <w:t>“</w:t>
      </w:r>
      <w:r w:rsidRPr="008A69A5">
        <w:rPr>
          <w:rFonts w:asciiTheme="minorEastAsia" w:hAnsiTheme="minorEastAsia" w:cs="Times New Roman" w:hint="eastAsia"/>
          <w:b/>
          <w:bCs/>
          <w:sz w:val="24"/>
          <w:szCs w:val="20"/>
        </w:rPr>
        <w:t>本基金投资存托凭证的估值核算，依照境内上市交易的股票执行。</w:t>
      </w:r>
      <w:r w:rsidRPr="008A69A5">
        <w:rPr>
          <w:rFonts w:asciiTheme="minorEastAsia" w:hAnsiTheme="minorEastAsia" w:cs="Times New Roman" w:hint="eastAsia"/>
          <w:bCs/>
          <w:sz w:val="24"/>
          <w:szCs w:val="20"/>
        </w:rPr>
        <w:t>”</w:t>
      </w:r>
    </w:p>
    <w:p w:rsidR="004C731F" w:rsidRPr="008A69A5" w:rsidRDefault="004C731F">
      <w:pPr>
        <w:adjustRightInd w:val="0"/>
        <w:snapToGrid w:val="0"/>
        <w:spacing w:line="360" w:lineRule="auto"/>
        <w:ind w:firstLineChars="200" w:firstLine="480"/>
        <w:rPr>
          <w:rFonts w:asciiTheme="minorEastAsia" w:hAnsiTheme="minorEastAsia" w:cs="Times New Roman"/>
          <w:bCs/>
          <w:sz w:val="24"/>
          <w:szCs w:val="20"/>
        </w:rPr>
      </w:pPr>
      <w:r w:rsidRPr="008A69A5">
        <w:rPr>
          <w:rFonts w:asciiTheme="minorEastAsia" w:hAnsiTheme="minorEastAsia" w:cs="Times New Roman"/>
          <w:bCs/>
          <w:sz w:val="24"/>
          <w:szCs w:val="20"/>
        </w:rPr>
        <w:t>5、在招募说明书、基金产品资料概要中增加投资存托凭证的风险揭示</w:t>
      </w:r>
      <w:r w:rsidR="00E203E4" w:rsidRPr="008A69A5">
        <w:rPr>
          <w:rFonts w:asciiTheme="minorEastAsia" w:hAnsiTheme="minorEastAsia" w:cs="Times New Roman" w:hint="eastAsia"/>
          <w:bCs/>
          <w:sz w:val="24"/>
          <w:szCs w:val="20"/>
        </w:rPr>
        <w:t>：</w:t>
      </w:r>
    </w:p>
    <w:p w:rsidR="00E203E4" w:rsidRPr="008A69A5" w:rsidRDefault="00E203E4" w:rsidP="00E203E4">
      <w:pPr>
        <w:widowControl/>
        <w:adjustRightInd w:val="0"/>
        <w:snapToGrid w:val="0"/>
        <w:spacing w:line="360" w:lineRule="auto"/>
        <w:ind w:firstLineChars="200" w:firstLine="480"/>
        <w:rPr>
          <w:rFonts w:asciiTheme="minorEastAsia" w:hAnsiTheme="minorEastAsia" w:cs="Times New Roman"/>
          <w:color w:val="000000"/>
          <w:kern w:val="0"/>
          <w:sz w:val="24"/>
        </w:rPr>
      </w:pPr>
      <w:r w:rsidRPr="008A69A5">
        <w:rPr>
          <w:rFonts w:asciiTheme="minorEastAsia" w:hAnsiTheme="minorEastAsia" w:cs="Times New Roman" w:hint="eastAsia"/>
          <w:color w:val="000000"/>
          <w:kern w:val="0"/>
          <w:sz w:val="24"/>
        </w:rPr>
        <w:t>（</w:t>
      </w:r>
      <w:r w:rsidRPr="008A69A5">
        <w:rPr>
          <w:rFonts w:asciiTheme="minorEastAsia" w:hAnsiTheme="minorEastAsia" w:cs="Times New Roman"/>
          <w:color w:val="000000"/>
          <w:kern w:val="0"/>
          <w:sz w:val="24"/>
        </w:rPr>
        <w:t>1）</w:t>
      </w:r>
      <w:r w:rsidRPr="008A69A5">
        <w:rPr>
          <w:rFonts w:asciiTheme="minorEastAsia" w:hAnsiTheme="minorEastAsia" w:cs="Times New Roman" w:hint="eastAsia"/>
          <w:color w:val="000000"/>
          <w:kern w:val="0"/>
          <w:sz w:val="24"/>
        </w:rPr>
        <w:t>招募说明书</w:t>
      </w:r>
      <w:r w:rsidRPr="008A69A5">
        <w:rPr>
          <w:rFonts w:asciiTheme="minorEastAsia" w:hAnsiTheme="minorEastAsia" w:cs="Times New Roman"/>
          <w:color w:val="000000"/>
          <w:kern w:val="0"/>
          <w:sz w:val="24"/>
        </w:rPr>
        <w:t xml:space="preserve"> </w:t>
      </w:r>
      <w:r w:rsidRPr="008A69A5">
        <w:rPr>
          <w:rFonts w:asciiTheme="minorEastAsia" w:hAnsiTheme="minorEastAsia" w:cs="Times New Roman" w:hint="eastAsia"/>
          <w:color w:val="000000"/>
          <w:kern w:val="0"/>
          <w:sz w:val="24"/>
        </w:rPr>
        <w:t>“重要提示”章节</w:t>
      </w:r>
      <w:r w:rsidR="00B4514D">
        <w:rPr>
          <w:rFonts w:asciiTheme="minorEastAsia" w:hAnsiTheme="minorEastAsia" w:cs="Times New Roman" w:hint="eastAsia"/>
          <w:color w:val="000000"/>
          <w:kern w:val="0"/>
          <w:sz w:val="24"/>
        </w:rPr>
        <w:t>增加</w:t>
      </w:r>
      <w:r w:rsidR="00B4514D" w:rsidRPr="008A69A5">
        <w:rPr>
          <w:rFonts w:asciiTheme="minorEastAsia" w:hAnsiTheme="minorEastAsia" w:cs="Times New Roman"/>
          <w:bCs/>
          <w:sz w:val="24"/>
          <w:szCs w:val="20"/>
        </w:rPr>
        <w:t>投资存托凭证的风险揭示</w:t>
      </w:r>
      <w:r w:rsidR="00B4514D" w:rsidRPr="008A69A5">
        <w:rPr>
          <w:rFonts w:asciiTheme="minorEastAsia" w:hAnsiTheme="minorEastAsia" w:cs="Times New Roman" w:hint="eastAsia"/>
          <w:bCs/>
          <w:sz w:val="24"/>
          <w:szCs w:val="20"/>
        </w:rPr>
        <w:t>，描述如下</w:t>
      </w:r>
      <w:r w:rsidRPr="008A69A5">
        <w:rPr>
          <w:rFonts w:asciiTheme="minorEastAsia" w:hAnsiTheme="minorEastAsia" w:cs="Times New Roman" w:hint="eastAsia"/>
          <w:color w:val="000000"/>
          <w:kern w:val="0"/>
          <w:sz w:val="24"/>
        </w:rPr>
        <w:t>：</w:t>
      </w:r>
      <w:r w:rsidR="00B4514D" w:rsidRPr="008A69A5" w:rsidDel="00B4514D">
        <w:rPr>
          <w:rFonts w:asciiTheme="minorEastAsia" w:hAnsiTheme="minorEastAsia" w:cs="Times New Roman" w:hint="eastAsia"/>
          <w:color w:val="000000"/>
          <w:kern w:val="0"/>
          <w:sz w:val="24"/>
        </w:rPr>
        <w:t xml:space="preserve"> </w:t>
      </w:r>
      <w:r w:rsidRPr="00603059">
        <w:rPr>
          <w:rFonts w:asciiTheme="minorEastAsia" w:hAnsiTheme="minorEastAsia" w:cs="Times New Roman" w:hint="eastAsia"/>
          <w:b/>
          <w:color w:val="000000"/>
          <w:kern w:val="0"/>
          <w:sz w:val="24"/>
        </w:rPr>
        <w:t>“</w:t>
      </w:r>
      <w:r w:rsidRPr="00603059">
        <w:rPr>
          <w:rFonts w:ascii="宋体" w:hAnsi="宋体" w:hint="eastAsia"/>
          <w:b/>
          <w:kern w:val="0"/>
          <w:sz w:val="24"/>
        </w:rPr>
        <w:t>本基金投资范围包括存托凭证而面临的存托凭证价格大幅波动甚至出现较大亏损的风险、与存托凭证发行机制相关的风险等；</w:t>
      </w:r>
      <w:r w:rsidRPr="00603059">
        <w:rPr>
          <w:rFonts w:asciiTheme="minorEastAsia" w:hAnsiTheme="minorEastAsia" w:cs="Times New Roman" w:hint="eastAsia"/>
          <w:b/>
          <w:color w:val="000000"/>
          <w:kern w:val="0"/>
          <w:sz w:val="24"/>
        </w:rPr>
        <w:t>”</w:t>
      </w:r>
    </w:p>
    <w:p w:rsidR="00E203E4" w:rsidRPr="00B56055" w:rsidRDefault="00E203E4" w:rsidP="00E203E4">
      <w:pPr>
        <w:widowControl/>
        <w:adjustRightInd w:val="0"/>
        <w:snapToGrid w:val="0"/>
        <w:spacing w:line="360" w:lineRule="auto"/>
        <w:ind w:firstLineChars="200" w:firstLine="480"/>
        <w:rPr>
          <w:rFonts w:asciiTheme="minorEastAsia" w:hAnsiTheme="minorEastAsia" w:cs="Times New Roman"/>
          <w:color w:val="000000"/>
          <w:kern w:val="0"/>
          <w:sz w:val="24"/>
        </w:rPr>
      </w:pPr>
      <w:r w:rsidRPr="008A69A5">
        <w:rPr>
          <w:rFonts w:asciiTheme="minorEastAsia" w:hAnsiTheme="minorEastAsia" w:cs="Times New Roman" w:hint="eastAsia"/>
          <w:color w:val="000000"/>
          <w:kern w:val="0"/>
          <w:sz w:val="24"/>
        </w:rPr>
        <w:t>（</w:t>
      </w:r>
      <w:r w:rsidRPr="008A69A5">
        <w:rPr>
          <w:rFonts w:asciiTheme="minorEastAsia" w:hAnsiTheme="minorEastAsia" w:cs="Times New Roman"/>
          <w:color w:val="000000"/>
          <w:kern w:val="0"/>
          <w:sz w:val="24"/>
        </w:rPr>
        <w:t>2）</w:t>
      </w:r>
      <w:r w:rsidRPr="008A69A5">
        <w:rPr>
          <w:rFonts w:asciiTheme="minorEastAsia" w:hAnsiTheme="minorEastAsia" w:cs="Times New Roman" w:hint="eastAsia"/>
          <w:color w:val="000000"/>
          <w:kern w:val="0"/>
          <w:sz w:val="24"/>
        </w:rPr>
        <w:t>招募说明书“风险揭示”章节、</w:t>
      </w:r>
      <w:r w:rsidRPr="008A69A5">
        <w:rPr>
          <w:rFonts w:asciiTheme="minorEastAsia" w:hAnsiTheme="minorEastAsia" w:cs="Times New Roman" w:hint="eastAsia"/>
          <w:bCs/>
          <w:sz w:val="24"/>
          <w:szCs w:val="20"/>
        </w:rPr>
        <w:t>基金产品资料概要“风险揭示”部分</w:t>
      </w:r>
      <w:r w:rsidRPr="008A69A5">
        <w:rPr>
          <w:rFonts w:asciiTheme="minorEastAsia" w:hAnsiTheme="minorEastAsia" w:cs="Times New Roman" w:hint="eastAsia"/>
          <w:color w:val="000000"/>
          <w:kern w:val="0"/>
          <w:sz w:val="24"/>
        </w:rPr>
        <w:t>增加投资存托凭证的特定风险</w:t>
      </w:r>
      <w:r w:rsidR="00B4514D" w:rsidRPr="008A69A5">
        <w:rPr>
          <w:rFonts w:asciiTheme="minorEastAsia" w:hAnsiTheme="minorEastAsia" w:cs="Times New Roman" w:hint="eastAsia"/>
          <w:bCs/>
          <w:sz w:val="24"/>
          <w:szCs w:val="20"/>
        </w:rPr>
        <w:t>，描述如下</w:t>
      </w:r>
      <w:r w:rsidR="00B4514D">
        <w:rPr>
          <w:rFonts w:asciiTheme="minorEastAsia" w:hAnsiTheme="minorEastAsia" w:cs="Times New Roman" w:hint="eastAsia"/>
          <w:bCs/>
          <w:sz w:val="24"/>
          <w:szCs w:val="20"/>
        </w:rPr>
        <w:t>：</w:t>
      </w:r>
      <w:r w:rsidRPr="00603059">
        <w:rPr>
          <w:rFonts w:asciiTheme="minorEastAsia" w:hAnsiTheme="minorEastAsia" w:cs="Times New Roman" w:hint="eastAsia"/>
          <w:b/>
          <w:color w:val="000000"/>
          <w:kern w:val="0"/>
          <w:sz w:val="24"/>
        </w:rPr>
        <w:t>“本基金的投资范围包括存托凭证，除与其他仅投资于沪深市场股票的基金所面临的共同风险外，本基金还将面临存托凭证价格大幅波动甚至出现较大亏损的风险，以及与存托凭证发行机制相关的风险，由此可能导致基金或基金份额持有人利益受损。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01E07" w:rsidRDefault="00E01E07">
      <w:pPr>
        <w:adjustRightInd w:val="0"/>
        <w:snapToGrid w:val="0"/>
        <w:spacing w:line="360" w:lineRule="auto"/>
        <w:ind w:firstLineChars="200" w:firstLine="480"/>
        <w:rPr>
          <w:rFonts w:asciiTheme="minorEastAsia" w:hAnsiTheme="minorEastAsia" w:cs="Times New Roman"/>
          <w:bCs/>
          <w:sz w:val="24"/>
          <w:szCs w:val="20"/>
        </w:rPr>
      </w:pPr>
    </w:p>
    <w:p w:rsidR="004C731F" w:rsidRPr="004C731F" w:rsidRDefault="004C731F" w:rsidP="004C731F">
      <w:pPr>
        <w:adjustRightInd w:val="0"/>
        <w:snapToGrid w:val="0"/>
        <w:spacing w:line="360" w:lineRule="auto"/>
        <w:ind w:firstLineChars="200" w:firstLine="480"/>
        <w:rPr>
          <w:rFonts w:asciiTheme="minorEastAsia" w:hAnsiTheme="minorEastAsia" w:cs="Times New Roman"/>
          <w:bCs/>
          <w:sz w:val="24"/>
          <w:szCs w:val="20"/>
        </w:rPr>
      </w:pPr>
      <w:r w:rsidRPr="004C731F">
        <w:rPr>
          <w:rFonts w:asciiTheme="minorEastAsia" w:hAnsiTheme="minorEastAsia" w:cs="Times New Roman" w:hint="eastAsia"/>
          <w:bCs/>
          <w:sz w:val="24"/>
          <w:szCs w:val="20"/>
        </w:rPr>
        <w:lastRenderedPageBreak/>
        <w:t>本次修订自2020年10月</w:t>
      </w:r>
      <w:r w:rsidR="00770ED2">
        <w:rPr>
          <w:rFonts w:asciiTheme="minorEastAsia" w:hAnsiTheme="minorEastAsia" w:cs="Times New Roman"/>
          <w:bCs/>
          <w:sz w:val="24"/>
          <w:szCs w:val="20"/>
        </w:rPr>
        <w:t>30</w:t>
      </w:r>
      <w:r w:rsidRPr="004C731F">
        <w:rPr>
          <w:rFonts w:asciiTheme="minorEastAsia" w:hAnsiTheme="minorEastAsia" w:cs="Times New Roman" w:hint="eastAsia"/>
          <w:bCs/>
          <w:sz w:val="24"/>
          <w:szCs w:val="20"/>
        </w:rPr>
        <w:t>日起生效。修订后的基金合同、托管协议、招募说明书及基金产品资料概要将在</w:t>
      </w:r>
      <w:r w:rsidR="00875357">
        <w:rPr>
          <w:rFonts w:asciiTheme="minorEastAsia" w:hAnsiTheme="minorEastAsia" w:cs="Times New Roman" w:hint="eastAsia"/>
          <w:bCs/>
          <w:sz w:val="24"/>
          <w:szCs w:val="20"/>
        </w:rPr>
        <w:t>规定媒介上</w:t>
      </w:r>
      <w:r w:rsidRPr="004C731F">
        <w:rPr>
          <w:rFonts w:asciiTheme="minorEastAsia" w:hAnsiTheme="minorEastAsia" w:cs="Times New Roman" w:hint="eastAsia"/>
          <w:bCs/>
          <w:sz w:val="24"/>
          <w:szCs w:val="20"/>
        </w:rPr>
        <w:t>公告。</w:t>
      </w:r>
    </w:p>
    <w:p w:rsidR="0066559F" w:rsidRPr="00AA71F2" w:rsidRDefault="004C731F" w:rsidP="00AA71F2">
      <w:pPr>
        <w:adjustRightInd w:val="0"/>
        <w:snapToGrid w:val="0"/>
        <w:spacing w:line="360" w:lineRule="auto"/>
        <w:ind w:firstLineChars="200" w:firstLine="480"/>
        <w:rPr>
          <w:rFonts w:asciiTheme="minorEastAsia" w:hAnsiTheme="minorEastAsia" w:cs="Times New Roman"/>
          <w:bCs/>
          <w:sz w:val="24"/>
          <w:szCs w:val="20"/>
        </w:rPr>
      </w:pPr>
      <w:r w:rsidRPr="004C731F">
        <w:rPr>
          <w:rFonts w:asciiTheme="minorEastAsia" w:hAnsiTheme="minorEastAsia" w:cs="Times New Roman" w:hint="eastAsia"/>
          <w:bCs/>
          <w:sz w:val="24"/>
          <w:szCs w:val="20"/>
        </w:rPr>
        <w:t>本次修订经基金管理人与基金托管人协商一致，修订的内容和程序均符合法律法规及基金合同的规定。</w:t>
      </w:r>
    </w:p>
    <w:p w:rsidR="0066559F" w:rsidRPr="00762D6B" w:rsidRDefault="0066559F" w:rsidP="00762D6B">
      <w:pPr>
        <w:adjustRightInd w:val="0"/>
        <w:snapToGrid w:val="0"/>
        <w:spacing w:line="360" w:lineRule="auto"/>
        <w:ind w:firstLineChars="200" w:firstLine="480"/>
        <w:rPr>
          <w:rFonts w:asciiTheme="minorEastAsia" w:hAnsiTheme="minorEastAsia" w:cs="Times New Roman"/>
          <w:bCs/>
          <w:sz w:val="24"/>
          <w:szCs w:val="20"/>
        </w:rPr>
      </w:pPr>
    </w:p>
    <w:p w:rsidR="00634973" w:rsidRDefault="00747ACB" w:rsidP="00634973">
      <w:pPr>
        <w:widowControl/>
        <w:adjustRightInd w:val="0"/>
        <w:snapToGrid w:val="0"/>
        <w:spacing w:line="360" w:lineRule="auto"/>
        <w:ind w:firstLineChars="200" w:firstLine="482"/>
        <w:rPr>
          <w:rFonts w:asciiTheme="minorEastAsia" w:hAnsiTheme="minorEastAsia" w:cs="Times New Roman"/>
          <w:b/>
          <w:color w:val="000000"/>
          <w:kern w:val="0"/>
          <w:sz w:val="24"/>
        </w:rPr>
      </w:pPr>
      <w:r>
        <w:rPr>
          <w:rFonts w:asciiTheme="minorEastAsia" w:hAnsiTheme="minorEastAsia" w:cs="Times New Roman" w:hint="eastAsia"/>
          <w:b/>
          <w:color w:val="000000"/>
          <w:kern w:val="0"/>
          <w:sz w:val="24"/>
        </w:rPr>
        <w:t>三</w:t>
      </w:r>
      <w:r w:rsidR="000E2395">
        <w:rPr>
          <w:rFonts w:asciiTheme="minorEastAsia" w:hAnsiTheme="minorEastAsia" w:cs="Times New Roman" w:hint="eastAsia"/>
          <w:b/>
          <w:color w:val="000000"/>
          <w:kern w:val="0"/>
          <w:sz w:val="24"/>
        </w:rPr>
        <w:t>、</w:t>
      </w:r>
      <w:r w:rsidR="000E2395">
        <w:rPr>
          <w:rFonts w:asciiTheme="minorEastAsia" w:hAnsiTheme="minorEastAsia" w:cs="Times New Roman"/>
          <w:b/>
          <w:color w:val="000000"/>
          <w:kern w:val="0"/>
          <w:sz w:val="24"/>
        </w:rPr>
        <w:t>重要提示</w:t>
      </w:r>
    </w:p>
    <w:p w:rsidR="0066559F" w:rsidRDefault="000E2395">
      <w:pPr>
        <w:widowControl/>
        <w:adjustRightInd w:val="0"/>
        <w:snapToGrid w:val="0"/>
        <w:spacing w:line="360" w:lineRule="auto"/>
        <w:ind w:firstLineChars="200" w:firstLine="480"/>
        <w:rPr>
          <w:rFonts w:asciiTheme="minorEastAsia" w:hAnsiTheme="minorEastAsia" w:cs="Times New Roman"/>
          <w:color w:val="000000"/>
          <w:kern w:val="0"/>
          <w:sz w:val="24"/>
        </w:rPr>
      </w:pPr>
      <w:r>
        <w:rPr>
          <w:rFonts w:asciiTheme="minorEastAsia" w:hAnsiTheme="minorEastAsia" w:cs="Times New Roman"/>
          <w:color w:val="000000"/>
          <w:kern w:val="0"/>
          <w:sz w:val="24"/>
        </w:rPr>
        <w:t>1、</w:t>
      </w:r>
      <w:r>
        <w:rPr>
          <w:rFonts w:asciiTheme="minorEastAsia" w:hAnsiTheme="minorEastAsia" w:cs="Times New Roman" w:hint="eastAsia"/>
          <w:color w:val="000000"/>
          <w:kern w:val="0"/>
          <w:sz w:val="24"/>
        </w:rPr>
        <w:t>本次</w:t>
      </w:r>
      <w:r w:rsidR="0086561B">
        <w:rPr>
          <w:rFonts w:asciiTheme="minorEastAsia" w:hAnsiTheme="minorEastAsia" w:cs="Times New Roman" w:hint="eastAsia"/>
          <w:color w:val="000000"/>
          <w:kern w:val="0"/>
          <w:sz w:val="24"/>
        </w:rPr>
        <w:t>修订</w:t>
      </w:r>
      <w:r>
        <w:rPr>
          <w:rFonts w:asciiTheme="minorEastAsia" w:hAnsiTheme="minorEastAsia" w:cs="Times New Roman"/>
          <w:color w:val="000000"/>
          <w:kern w:val="0"/>
          <w:sz w:val="24"/>
        </w:rPr>
        <w:t>遵照法律法规、中国证监会的相关规定和基金合同的约定</w:t>
      </w:r>
      <w:r>
        <w:rPr>
          <w:rFonts w:asciiTheme="minorEastAsia" w:hAnsiTheme="minorEastAsia" w:cs="Times New Roman" w:hint="eastAsia"/>
          <w:color w:val="000000"/>
          <w:kern w:val="0"/>
          <w:sz w:val="24"/>
        </w:rPr>
        <w:t>执行</w:t>
      </w:r>
      <w:r>
        <w:rPr>
          <w:rFonts w:asciiTheme="minorEastAsia" w:hAnsiTheme="minorEastAsia" w:cs="Times New Roman"/>
          <w:color w:val="000000"/>
          <w:kern w:val="0"/>
          <w:sz w:val="24"/>
        </w:rPr>
        <w:t>，</w:t>
      </w:r>
      <w:r w:rsidR="004C731F">
        <w:rPr>
          <w:rFonts w:asciiTheme="minorEastAsia" w:hAnsiTheme="minorEastAsia" w:cs="Times New Roman" w:hint="eastAsia"/>
          <w:color w:val="000000"/>
          <w:kern w:val="0"/>
          <w:sz w:val="24"/>
        </w:rPr>
        <w:t>已履行</w:t>
      </w:r>
      <w:r w:rsidR="004C731F">
        <w:rPr>
          <w:rFonts w:asciiTheme="minorEastAsia" w:hAnsiTheme="minorEastAsia" w:cs="Times New Roman"/>
          <w:color w:val="000000"/>
          <w:kern w:val="0"/>
          <w:sz w:val="24"/>
        </w:rPr>
        <w:t>相应程序</w:t>
      </w:r>
      <w:r>
        <w:rPr>
          <w:rFonts w:asciiTheme="minorEastAsia" w:hAnsiTheme="minorEastAsia" w:cs="Times New Roman"/>
          <w:color w:val="000000"/>
          <w:kern w:val="0"/>
          <w:sz w:val="24"/>
        </w:rPr>
        <w:t>，</w:t>
      </w:r>
      <w:r>
        <w:rPr>
          <w:rFonts w:asciiTheme="minorEastAsia" w:hAnsiTheme="minorEastAsia" w:cs="Times New Roman" w:hint="eastAsia"/>
          <w:color w:val="000000"/>
          <w:kern w:val="0"/>
          <w:sz w:val="24"/>
        </w:rPr>
        <w:t>不需召开</w:t>
      </w:r>
      <w:r>
        <w:rPr>
          <w:rFonts w:asciiTheme="minorEastAsia" w:hAnsiTheme="minorEastAsia" w:cs="Times New Roman"/>
          <w:color w:val="000000"/>
          <w:kern w:val="0"/>
          <w:sz w:val="24"/>
        </w:rPr>
        <w:t>基金份额持有人大会表决。</w:t>
      </w:r>
    </w:p>
    <w:p w:rsidR="0066559F" w:rsidRDefault="000E2395">
      <w:pPr>
        <w:widowControl/>
        <w:adjustRightInd w:val="0"/>
        <w:snapToGrid w:val="0"/>
        <w:spacing w:line="360" w:lineRule="auto"/>
        <w:ind w:firstLineChars="200" w:firstLine="480"/>
        <w:rPr>
          <w:rFonts w:asciiTheme="minorEastAsia" w:hAnsiTheme="minorEastAsia" w:cs="Times New Roman"/>
          <w:color w:val="000000"/>
          <w:kern w:val="0"/>
          <w:sz w:val="24"/>
        </w:rPr>
      </w:pPr>
      <w:r>
        <w:rPr>
          <w:rFonts w:asciiTheme="minorEastAsia" w:hAnsiTheme="minorEastAsia" w:cs="Times New Roman"/>
          <w:color w:val="000000"/>
          <w:kern w:val="0"/>
          <w:sz w:val="24"/>
        </w:rPr>
        <w:t>2、</w:t>
      </w:r>
      <w:r w:rsidR="00634973">
        <w:rPr>
          <w:rFonts w:asciiTheme="minorEastAsia" w:hAnsiTheme="minorEastAsia" w:cs="Times New Roman" w:hint="eastAsia"/>
          <w:color w:val="000000"/>
          <w:kern w:val="0"/>
          <w:sz w:val="24"/>
        </w:rPr>
        <w:t>以上更新修订内容仅为示例，不同基金的基金合同及招募说明书中相应条款表述存在差异，具体请以相关基金披露的修订后的法律文件内容为准。</w:t>
      </w:r>
      <w:r>
        <w:rPr>
          <w:rFonts w:asciiTheme="minorEastAsia" w:hAnsiTheme="minorEastAsia" w:cs="Times New Roman"/>
          <w:color w:val="000000"/>
          <w:kern w:val="0"/>
          <w:sz w:val="24"/>
        </w:rPr>
        <w:t>本基金管理人将在</w:t>
      </w:r>
      <w:r>
        <w:rPr>
          <w:rFonts w:asciiTheme="minorEastAsia" w:hAnsiTheme="minorEastAsia" w:cs="Times New Roman" w:hint="eastAsia"/>
          <w:color w:val="000000"/>
          <w:kern w:val="0"/>
          <w:sz w:val="24"/>
        </w:rPr>
        <w:t>规定媒介</w:t>
      </w:r>
      <w:r>
        <w:rPr>
          <w:rFonts w:asciiTheme="minorEastAsia" w:hAnsiTheme="minorEastAsia" w:cs="Times New Roman"/>
          <w:color w:val="000000"/>
          <w:kern w:val="0"/>
          <w:sz w:val="24"/>
        </w:rPr>
        <w:t>上公布</w:t>
      </w:r>
      <w:r w:rsidR="0086561B">
        <w:rPr>
          <w:rFonts w:asciiTheme="minorEastAsia" w:hAnsiTheme="minorEastAsia" w:cs="Times New Roman" w:hint="eastAsia"/>
          <w:color w:val="000000"/>
          <w:kern w:val="0"/>
          <w:sz w:val="24"/>
        </w:rPr>
        <w:t>修订</w:t>
      </w:r>
      <w:r>
        <w:rPr>
          <w:rFonts w:asciiTheme="minorEastAsia" w:hAnsiTheme="minorEastAsia" w:cs="Times New Roman"/>
          <w:color w:val="000000"/>
          <w:kern w:val="0"/>
          <w:sz w:val="24"/>
        </w:rPr>
        <w:t>后的基金合同</w:t>
      </w:r>
      <w:r w:rsidR="004C731F">
        <w:rPr>
          <w:rFonts w:asciiTheme="minorEastAsia" w:hAnsiTheme="minorEastAsia" w:cs="Times New Roman" w:hint="eastAsia"/>
          <w:color w:val="000000"/>
          <w:kern w:val="0"/>
          <w:sz w:val="24"/>
        </w:rPr>
        <w:t>、</w:t>
      </w:r>
      <w:r>
        <w:rPr>
          <w:rFonts w:asciiTheme="minorEastAsia" w:hAnsiTheme="minorEastAsia" w:cs="Times New Roman"/>
          <w:color w:val="000000"/>
          <w:kern w:val="0"/>
          <w:sz w:val="24"/>
        </w:rPr>
        <w:t>托管协议</w:t>
      </w:r>
      <w:r w:rsidR="004C731F">
        <w:rPr>
          <w:rFonts w:asciiTheme="minorEastAsia" w:hAnsiTheme="minorEastAsia" w:cs="Times New Roman" w:hint="eastAsia"/>
          <w:color w:val="000000"/>
          <w:kern w:val="0"/>
          <w:sz w:val="24"/>
        </w:rPr>
        <w:t>、</w:t>
      </w:r>
      <w:r>
        <w:rPr>
          <w:rFonts w:asciiTheme="minorEastAsia" w:hAnsiTheme="minorEastAsia" w:cs="Times New Roman"/>
          <w:color w:val="000000"/>
          <w:kern w:val="0"/>
          <w:sz w:val="24"/>
        </w:rPr>
        <w:t>招募说明书。</w:t>
      </w:r>
      <w:r w:rsidR="004C731F">
        <w:rPr>
          <w:rFonts w:asciiTheme="minorEastAsia" w:hAnsiTheme="minorEastAsia" w:cs="Times New Roman"/>
          <w:color w:val="000000"/>
          <w:kern w:val="0"/>
          <w:sz w:val="24"/>
        </w:rPr>
        <w:t>投资人办理基金交易等相关业务前</w:t>
      </w:r>
      <w:r w:rsidR="004C731F">
        <w:rPr>
          <w:rFonts w:asciiTheme="minorEastAsia" w:hAnsiTheme="minorEastAsia" w:cs="Times New Roman" w:hint="eastAsia"/>
          <w:color w:val="000000"/>
          <w:kern w:val="0"/>
          <w:sz w:val="24"/>
        </w:rPr>
        <w:t>，</w:t>
      </w:r>
      <w:r w:rsidR="004C731F">
        <w:rPr>
          <w:rFonts w:asciiTheme="minorEastAsia" w:hAnsiTheme="minorEastAsia" w:cs="Times New Roman"/>
          <w:color w:val="000000"/>
          <w:kern w:val="0"/>
          <w:sz w:val="24"/>
        </w:rPr>
        <w:t>应仔细阅读各基金的基金合同</w:t>
      </w:r>
      <w:r w:rsidR="004C731F">
        <w:rPr>
          <w:rFonts w:asciiTheme="minorEastAsia" w:hAnsiTheme="minorEastAsia" w:cs="Times New Roman" w:hint="eastAsia"/>
          <w:color w:val="000000"/>
          <w:kern w:val="0"/>
          <w:sz w:val="24"/>
        </w:rPr>
        <w:t>、</w:t>
      </w:r>
      <w:r w:rsidR="004C731F">
        <w:rPr>
          <w:rFonts w:asciiTheme="minorEastAsia" w:hAnsiTheme="minorEastAsia" w:cs="Times New Roman"/>
          <w:color w:val="000000"/>
          <w:kern w:val="0"/>
          <w:sz w:val="24"/>
        </w:rPr>
        <w:t>托管协议</w:t>
      </w:r>
      <w:r w:rsidR="004C731F">
        <w:rPr>
          <w:rFonts w:asciiTheme="minorEastAsia" w:hAnsiTheme="minorEastAsia" w:cs="Times New Roman" w:hint="eastAsia"/>
          <w:color w:val="000000"/>
          <w:kern w:val="0"/>
          <w:sz w:val="24"/>
        </w:rPr>
        <w:t>、</w:t>
      </w:r>
      <w:r w:rsidR="004C731F">
        <w:rPr>
          <w:rFonts w:asciiTheme="minorEastAsia" w:hAnsiTheme="minorEastAsia" w:cs="Times New Roman"/>
          <w:color w:val="000000"/>
          <w:kern w:val="0"/>
          <w:sz w:val="24"/>
        </w:rPr>
        <w:t>招募说明书</w:t>
      </w:r>
      <w:r w:rsidR="004C731F">
        <w:rPr>
          <w:rFonts w:asciiTheme="minorEastAsia" w:hAnsiTheme="minorEastAsia" w:cs="Times New Roman" w:hint="eastAsia"/>
          <w:color w:val="000000"/>
          <w:kern w:val="0"/>
          <w:sz w:val="24"/>
        </w:rPr>
        <w:t>、</w:t>
      </w:r>
      <w:r w:rsidR="004C731F">
        <w:rPr>
          <w:rFonts w:asciiTheme="minorEastAsia" w:hAnsiTheme="minorEastAsia" w:cs="Times New Roman"/>
          <w:color w:val="000000"/>
          <w:kern w:val="0"/>
          <w:sz w:val="24"/>
        </w:rPr>
        <w:t>产品资料概要等文件</w:t>
      </w:r>
      <w:r w:rsidR="004C731F">
        <w:rPr>
          <w:rFonts w:asciiTheme="minorEastAsia" w:hAnsiTheme="minorEastAsia" w:cs="Times New Roman" w:hint="eastAsia"/>
          <w:color w:val="000000"/>
          <w:kern w:val="0"/>
          <w:sz w:val="24"/>
        </w:rPr>
        <w:t>。</w:t>
      </w:r>
    </w:p>
    <w:p w:rsidR="0066559F" w:rsidRDefault="000E2395">
      <w:pPr>
        <w:widowControl/>
        <w:adjustRightInd w:val="0"/>
        <w:snapToGrid w:val="0"/>
        <w:spacing w:line="360" w:lineRule="auto"/>
        <w:ind w:firstLineChars="200" w:firstLine="480"/>
        <w:rPr>
          <w:rFonts w:asciiTheme="minorEastAsia" w:hAnsiTheme="minorEastAsia" w:cs="Times New Roman"/>
          <w:color w:val="000000"/>
          <w:kern w:val="0"/>
          <w:sz w:val="24"/>
        </w:rPr>
      </w:pPr>
      <w:r>
        <w:rPr>
          <w:rFonts w:asciiTheme="minorEastAsia" w:hAnsiTheme="minorEastAsia" w:cs="Times New Roman"/>
          <w:color w:val="000000"/>
          <w:kern w:val="0"/>
          <w:sz w:val="24"/>
        </w:rPr>
        <w:t>3、投资者可登录本基金管理人网站（www.</w:t>
      </w:r>
      <w:r>
        <w:rPr>
          <w:rFonts w:asciiTheme="minorEastAsia" w:hAnsiTheme="minorEastAsia" w:cs="Times New Roman" w:hint="eastAsia"/>
          <w:color w:val="000000"/>
          <w:kern w:val="0"/>
          <w:sz w:val="24"/>
        </w:rPr>
        <w:t>ctzg</w:t>
      </w:r>
      <w:r>
        <w:rPr>
          <w:rFonts w:asciiTheme="minorEastAsia" w:hAnsiTheme="minorEastAsia" w:cs="Times New Roman"/>
          <w:color w:val="000000"/>
          <w:kern w:val="0"/>
          <w:sz w:val="24"/>
        </w:rPr>
        <w:t>.com）或拨打本基金管理人的客户服务电话</w:t>
      </w:r>
      <w:r>
        <w:rPr>
          <w:rFonts w:asciiTheme="minorEastAsia" w:hAnsiTheme="minorEastAsia" w:cs="Times New Roman" w:hint="eastAsia"/>
          <w:color w:val="000000"/>
          <w:kern w:val="0"/>
          <w:sz w:val="24"/>
        </w:rPr>
        <w:t>95336</w:t>
      </w:r>
      <w:r>
        <w:rPr>
          <w:rFonts w:asciiTheme="minorEastAsia" w:hAnsiTheme="minorEastAsia" w:cs="Times New Roman"/>
          <w:color w:val="000000"/>
          <w:kern w:val="0"/>
          <w:sz w:val="24"/>
        </w:rPr>
        <w:t>进行咨询、查询。</w:t>
      </w:r>
    </w:p>
    <w:p w:rsidR="0066559F" w:rsidRDefault="0066559F">
      <w:pPr>
        <w:widowControl/>
        <w:adjustRightInd w:val="0"/>
        <w:snapToGrid w:val="0"/>
        <w:spacing w:line="360" w:lineRule="auto"/>
        <w:ind w:firstLineChars="200" w:firstLine="480"/>
        <w:rPr>
          <w:rFonts w:asciiTheme="minorEastAsia" w:hAnsiTheme="minorEastAsia" w:cs="Times New Roman"/>
          <w:color w:val="000000"/>
          <w:kern w:val="0"/>
          <w:sz w:val="24"/>
        </w:rPr>
      </w:pPr>
    </w:p>
    <w:p w:rsidR="0066559F" w:rsidRDefault="000E2395">
      <w:pPr>
        <w:widowControl/>
        <w:adjustRightInd w:val="0"/>
        <w:snapToGrid w:val="0"/>
        <w:spacing w:line="360" w:lineRule="auto"/>
        <w:ind w:firstLineChars="200" w:firstLine="480"/>
        <w:rPr>
          <w:rFonts w:asciiTheme="minorEastAsia" w:hAnsiTheme="minorEastAsia" w:cs="Times New Roman"/>
          <w:color w:val="000000"/>
          <w:kern w:val="0"/>
          <w:sz w:val="24"/>
        </w:rPr>
      </w:pPr>
      <w:r>
        <w:rPr>
          <w:rFonts w:asciiTheme="minorEastAsia" w:hAnsiTheme="minorEastAsia" w:cs="Times New Roman"/>
          <w:color w:val="000000"/>
          <w:kern w:val="0"/>
          <w:sz w:val="24"/>
        </w:rPr>
        <w:t>风险提示：本基金管理人承诺以诚实信用、勤勉尽责的原则管理和运用基金财产，但不保证基金一定盈利，也不保证最低收益。基金的过往业绩并不代表其</w:t>
      </w:r>
      <w:r>
        <w:rPr>
          <w:rFonts w:asciiTheme="minorEastAsia" w:hAnsiTheme="minorEastAsia" w:cs="Times New Roman" w:hint="eastAsia"/>
          <w:color w:val="000000"/>
          <w:kern w:val="0"/>
          <w:sz w:val="24"/>
        </w:rPr>
        <w:t>未来</w:t>
      </w:r>
      <w:r>
        <w:rPr>
          <w:rFonts w:asciiTheme="minorEastAsia" w:hAnsiTheme="minorEastAsia" w:cs="Times New Roman"/>
          <w:color w:val="000000"/>
          <w:kern w:val="0"/>
          <w:sz w:val="24"/>
        </w:rPr>
        <w:t>表现。投资有风险，敬请投资人认真阅读基金的相关法律文件，并选择适合自身风险承受能力的投资品种进行投资。</w:t>
      </w:r>
    </w:p>
    <w:p w:rsidR="0066559F" w:rsidRDefault="000E2395">
      <w:pPr>
        <w:widowControl/>
        <w:adjustRightInd w:val="0"/>
        <w:snapToGrid w:val="0"/>
        <w:spacing w:line="360" w:lineRule="auto"/>
        <w:ind w:firstLineChars="200" w:firstLine="480"/>
        <w:rPr>
          <w:rFonts w:asciiTheme="minorEastAsia" w:hAnsiTheme="minorEastAsia" w:cs="Times New Roman"/>
          <w:color w:val="000000"/>
          <w:kern w:val="0"/>
          <w:sz w:val="24"/>
        </w:rPr>
      </w:pPr>
      <w:r>
        <w:rPr>
          <w:rFonts w:asciiTheme="minorEastAsia" w:hAnsiTheme="minorEastAsia" w:cs="Times New Roman"/>
          <w:color w:val="000000"/>
          <w:kern w:val="0"/>
          <w:sz w:val="24"/>
        </w:rPr>
        <w:t>特此</w:t>
      </w:r>
      <w:bookmarkStart w:id="0" w:name="_GoBack"/>
      <w:r>
        <w:rPr>
          <w:rFonts w:asciiTheme="minorEastAsia" w:hAnsiTheme="minorEastAsia" w:cs="Times New Roman"/>
          <w:color w:val="000000"/>
          <w:kern w:val="0"/>
          <w:sz w:val="24"/>
        </w:rPr>
        <w:t>公告</w:t>
      </w:r>
      <w:bookmarkEnd w:id="0"/>
      <w:r>
        <w:rPr>
          <w:rFonts w:asciiTheme="minorEastAsia" w:hAnsiTheme="minorEastAsia" w:cs="Times New Roman"/>
          <w:color w:val="000000"/>
          <w:kern w:val="0"/>
          <w:sz w:val="24"/>
        </w:rPr>
        <w:t>。</w:t>
      </w:r>
    </w:p>
    <w:p w:rsidR="0066559F" w:rsidRDefault="0066559F">
      <w:pPr>
        <w:widowControl/>
        <w:adjustRightInd w:val="0"/>
        <w:snapToGrid w:val="0"/>
        <w:spacing w:line="360" w:lineRule="auto"/>
        <w:ind w:firstLineChars="200" w:firstLine="480"/>
        <w:rPr>
          <w:rFonts w:asciiTheme="minorEastAsia" w:hAnsiTheme="minorEastAsia" w:cs="Times New Roman"/>
          <w:color w:val="000000"/>
          <w:kern w:val="0"/>
          <w:sz w:val="24"/>
        </w:rPr>
      </w:pPr>
    </w:p>
    <w:p w:rsidR="0066559F" w:rsidRDefault="0066559F">
      <w:pPr>
        <w:widowControl/>
        <w:adjustRightInd w:val="0"/>
        <w:snapToGrid w:val="0"/>
        <w:spacing w:line="360" w:lineRule="auto"/>
        <w:ind w:firstLineChars="200" w:firstLine="480"/>
        <w:rPr>
          <w:rFonts w:asciiTheme="minorEastAsia" w:hAnsiTheme="minorEastAsia" w:cs="Times New Roman"/>
          <w:color w:val="000000"/>
          <w:kern w:val="0"/>
          <w:sz w:val="24"/>
        </w:rPr>
      </w:pPr>
    </w:p>
    <w:p w:rsidR="0066559F" w:rsidRDefault="000E2395">
      <w:pPr>
        <w:pStyle w:val="a8"/>
        <w:spacing w:before="0" w:beforeAutospacing="0" w:after="0" w:afterAutospacing="0" w:line="360" w:lineRule="auto"/>
        <w:jc w:val="right"/>
        <w:rPr>
          <w:rFonts w:asciiTheme="minorEastAsia" w:eastAsiaTheme="minorEastAsia" w:hAnsiTheme="minorEastAsia" w:cs="Times New Roman"/>
          <w:color w:val="000000"/>
        </w:rPr>
      </w:pPr>
      <w:r>
        <w:rPr>
          <w:rFonts w:asciiTheme="minorEastAsia" w:eastAsiaTheme="minorEastAsia" w:hAnsiTheme="minorEastAsia" w:cs="Times New Roman"/>
          <w:color w:val="000000"/>
        </w:rPr>
        <w:t>  财通证券资产管理有限公司</w:t>
      </w:r>
    </w:p>
    <w:p w:rsidR="001D10ED" w:rsidRPr="00747ACB" w:rsidRDefault="000E2395" w:rsidP="00747ACB">
      <w:pPr>
        <w:pStyle w:val="a8"/>
        <w:spacing w:before="0" w:beforeAutospacing="0" w:after="0" w:afterAutospacing="0" w:line="360" w:lineRule="auto"/>
        <w:jc w:val="right"/>
        <w:rPr>
          <w:rFonts w:asciiTheme="minorEastAsia" w:eastAsiaTheme="minorEastAsia" w:hAnsiTheme="minorEastAsia" w:cs="Times New Roman"/>
          <w:color w:val="000000"/>
        </w:rPr>
      </w:pPr>
      <w:r>
        <w:rPr>
          <w:rFonts w:asciiTheme="minorEastAsia" w:eastAsiaTheme="minorEastAsia" w:hAnsiTheme="minorEastAsia" w:cs="Times New Roman"/>
          <w:color w:val="000000"/>
        </w:rPr>
        <w:t>  二〇</w:t>
      </w:r>
      <w:r>
        <w:rPr>
          <w:rFonts w:asciiTheme="minorEastAsia" w:eastAsiaTheme="minorEastAsia" w:hAnsiTheme="minorEastAsia" w:cs="Times New Roman" w:hint="eastAsia"/>
          <w:color w:val="000000"/>
        </w:rPr>
        <w:t>二</w:t>
      </w:r>
      <w:r>
        <w:rPr>
          <w:rFonts w:asciiTheme="minorEastAsia" w:eastAsiaTheme="minorEastAsia" w:hAnsiTheme="minorEastAsia" w:cs="Times New Roman"/>
          <w:color w:val="000000"/>
        </w:rPr>
        <w:t>〇年</w:t>
      </w:r>
      <w:r w:rsidR="00770ED2">
        <w:rPr>
          <w:rFonts w:asciiTheme="minorEastAsia" w:eastAsiaTheme="minorEastAsia" w:hAnsiTheme="minorEastAsia" w:cs="Times New Roman" w:hint="eastAsia"/>
          <w:color w:val="000000"/>
        </w:rPr>
        <w:t>十</w:t>
      </w:r>
      <w:r>
        <w:rPr>
          <w:rFonts w:asciiTheme="minorEastAsia" w:eastAsiaTheme="minorEastAsia" w:hAnsiTheme="minorEastAsia" w:cs="Times New Roman"/>
          <w:color w:val="000000"/>
        </w:rPr>
        <w:t>月</w:t>
      </w:r>
      <w:r w:rsidR="00770ED2">
        <w:rPr>
          <w:rFonts w:asciiTheme="minorEastAsia" w:eastAsiaTheme="minorEastAsia" w:hAnsiTheme="minorEastAsia" w:cs="Times New Roman" w:hint="eastAsia"/>
          <w:color w:val="000000"/>
        </w:rPr>
        <w:t>三十</w:t>
      </w:r>
      <w:r>
        <w:rPr>
          <w:rFonts w:asciiTheme="minorEastAsia" w:eastAsiaTheme="minorEastAsia" w:hAnsiTheme="minorEastAsia" w:cs="Times New Roman"/>
          <w:color w:val="000000"/>
        </w:rPr>
        <w:t>日</w:t>
      </w:r>
    </w:p>
    <w:sectPr w:rsidR="001D10ED" w:rsidRPr="00747ACB" w:rsidSect="00933BE9">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325CB8" w16cid:durableId="2333E7E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05F" w:rsidRDefault="0092205F">
      <w:r>
        <w:separator/>
      </w:r>
    </w:p>
  </w:endnote>
  <w:endnote w:type="continuationSeparator" w:id="0">
    <w:p w:rsidR="0092205F" w:rsidRDefault="009220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167124"/>
    </w:sdtPr>
    <w:sdtContent>
      <w:p w:rsidR="0066559F" w:rsidRDefault="00933BE9">
        <w:pPr>
          <w:pStyle w:val="a6"/>
          <w:jc w:val="center"/>
        </w:pPr>
        <w:r>
          <w:fldChar w:fldCharType="begin"/>
        </w:r>
        <w:r w:rsidR="000E2395">
          <w:instrText>PAGE   \* MERGEFORMAT</w:instrText>
        </w:r>
        <w:r>
          <w:fldChar w:fldCharType="separate"/>
        </w:r>
        <w:r w:rsidR="0007450F" w:rsidRPr="0007450F">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05F" w:rsidRDefault="0092205F">
      <w:r>
        <w:separator/>
      </w:r>
    </w:p>
  </w:footnote>
  <w:footnote w:type="continuationSeparator" w:id="0">
    <w:p w:rsidR="0092205F" w:rsidRDefault="009220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708"/>
    <w:rsid w:val="000036BE"/>
    <w:rsid w:val="000068D4"/>
    <w:rsid w:val="00012BFD"/>
    <w:rsid w:val="000242D4"/>
    <w:rsid w:val="00030061"/>
    <w:rsid w:val="00031078"/>
    <w:rsid w:val="00034218"/>
    <w:rsid w:val="000458A4"/>
    <w:rsid w:val="00046B64"/>
    <w:rsid w:val="00047752"/>
    <w:rsid w:val="000548D7"/>
    <w:rsid w:val="00055A83"/>
    <w:rsid w:val="00055F04"/>
    <w:rsid w:val="0006140E"/>
    <w:rsid w:val="00061F8F"/>
    <w:rsid w:val="00063809"/>
    <w:rsid w:val="00064928"/>
    <w:rsid w:val="0006726F"/>
    <w:rsid w:val="000677D9"/>
    <w:rsid w:val="000708CC"/>
    <w:rsid w:val="00072602"/>
    <w:rsid w:val="0007450F"/>
    <w:rsid w:val="000748A9"/>
    <w:rsid w:val="0008214C"/>
    <w:rsid w:val="000873ED"/>
    <w:rsid w:val="000910C2"/>
    <w:rsid w:val="00097C70"/>
    <w:rsid w:val="000A36D6"/>
    <w:rsid w:val="000A3905"/>
    <w:rsid w:val="000B4BB5"/>
    <w:rsid w:val="000B63B2"/>
    <w:rsid w:val="000C0D40"/>
    <w:rsid w:val="000C210F"/>
    <w:rsid w:val="000C453D"/>
    <w:rsid w:val="000C6A94"/>
    <w:rsid w:val="000D00C7"/>
    <w:rsid w:val="000D06B2"/>
    <w:rsid w:val="000D0917"/>
    <w:rsid w:val="000D284F"/>
    <w:rsid w:val="000D4906"/>
    <w:rsid w:val="000D5610"/>
    <w:rsid w:val="000D77E7"/>
    <w:rsid w:val="000D7BDD"/>
    <w:rsid w:val="000E04DE"/>
    <w:rsid w:val="000E0655"/>
    <w:rsid w:val="000E2395"/>
    <w:rsid w:val="000E30A4"/>
    <w:rsid w:val="000E7512"/>
    <w:rsid w:val="000E77C6"/>
    <w:rsid w:val="000F5988"/>
    <w:rsid w:val="000F5D4F"/>
    <w:rsid w:val="000F789C"/>
    <w:rsid w:val="000F7942"/>
    <w:rsid w:val="000F7AFD"/>
    <w:rsid w:val="00105F43"/>
    <w:rsid w:val="00106181"/>
    <w:rsid w:val="001063C0"/>
    <w:rsid w:val="001126EF"/>
    <w:rsid w:val="001174DE"/>
    <w:rsid w:val="0012117C"/>
    <w:rsid w:val="00121287"/>
    <w:rsid w:val="00122002"/>
    <w:rsid w:val="00122BFF"/>
    <w:rsid w:val="00123111"/>
    <w:rsid w:val="00124702"/>
    <w:rsid w:val="001278EA"/>
    <w:rsid w:val="0013040F"/>
    <w:rsid w:val="00134359"/>
    <w:rsid w:val="001346B4"/>
    <w:rsid w:val="00134CC8"/>
    <w:rsid w:val="001369E9"/>
    <w:rsid w:val="0015115E"/>
    <w:rsid w:val="00152996"/>
    <w:rsid w:val="00154213"/>
    <w:rsid w:val="0016103A"/>
    <w:rsid w:val="00166613"/>
    <w:rsid w:val="00171CB5"/>
    <w:rsid w:val="00172138"/>
    <w:rsid w:val="00172A27"/>
    <w:rsid w:val="00180E03"/>
    <w:rsid w:val="00184885"/>
    <w:rsid w:val="00184AB3"/>
    <w:rsid w:val="0018656D"/>
    <w:rsid w:val="00191075"/>
    <w:rsid w:val="00194AF7"/>
    <w:rsid w:val="001A017E"/>
    <w:rsid w:val="001A15E3"/>
    <w:rsid w:val="001A1AD5"/>
    <w:rsid w:val="001A46D6"/>
    <w:rsid w:val="001A4E85"/>
    <w:rsid w:val="001B0211"/>
    <w:rsid w:val="001B21EA"/>
    <w:rsid w:val="001B3BB5"/>
    <w:rsid w:val="001B40BA"/>
    <w:rsid w:val="001B52BD"/>
    <w:rsid w:val="001B54B6"/>
    <w:rsid w:val="001C2429"/>
    <w:rsid w:val="001C5444"/>
    <w:rsid w:val="001D10ED"/>
    <w:rsid w:val="001D4B91"/>
    <w:rsid w:val="001D5BEF"/>
    <w:rsid w:val="001D68B5"/>
    <w:rsid w:val="001D6BA1"/>
    <w:rsid w:val="001E1FE3"/>
    <w:rsid w:val="001E735D"/>
    <w:rsid w:val="001F78B4"/>
    <w:rsid w:val="00213E95"/>
    <w:rsid w:val="00215388"/>
    <w:rsid w:val="002226B9"/>
    <w:rsid w:val="0022594D"/>
    <w:rsid w:val="00225E75"/>
    <w:rsid w:val="00227080"/>
    <w:rsid w:val="002308FC"/>
    <w:rsid w:val="00230A23"/>
    <w:rsid w:val="002360B1"/>
    <w:rsid w:val="00236CAB"/>
    <w:rsid w:val="00245008"/>
    <w:rsid w:val="00246885"/>
    <w:rsid w:val="00250F42"/>
    <w:rsid w:val="00252104"/>
    <w:rsid w:val="00255441"/>
    <w:rsid w:val="0025749D"/>
    <w:rsid w:val="00261460"/>
    <w:rsid w:val="00267310"/>
    <w:rsid w:val="002708EF"/>
    <w:rsid w:val="00274F97"/>
    <w:rsid w:val="00280ECD"/>
    <w:rsid w:val="00290567"/>
    <w:rsid w:val="00292E7A"/>
    <w:rsid w:val="00293287"/>
    <w:rsid w:val="00297699"/>
    <w:rsid w:val="002A0074"/>
    <w:rsid w:val="002A0BEF"/>
    <w:rsid w:val="002A1523"/>
    <w:rsid w:val="002A17EF"/>
    <w:rsid w:val="002A6F38"/>
    <w:rsid w:val="002B0FEC"/>
    <w:rsid w:val="002B7C2A"/>
    <w:rsid w:val="002C2715"/>
    <w:rsid w:val="002C29FF"/>
    <w:rsid w:val="002D289C"/>
    <w:rsid w:val="002D35CA"/>
    <w:rsid w:val="002D42F5"/>
    <w:rsid w:val="002E137A"/>
    <w:rsid w:val="002E56DE"/>
    <w:rsid w:val="002F076A"/>
    <w:rsid w:val="002F09AC"/>
    <w:rsid w:val="002F1720"/>
    <w:rsid w:val="003068EE"/>
    <w:rsid w:val="00306A2C"/>
    <w:rsid w:val="00306CE7"/>
    <w:rsid w:val="003179B9"/>
    <w:rsid w:val="00320090"/>
    <w:rsid w:val="0032437C"/>
    <w:rsid w:val="0032585B"/>
    <w:rsid w:val="00326D55"/>
    <w:rsid w:val="00333C76"/>
    <w:rsid w:val="00335252"/>
    <w:rsid w:val="003352CB"/>
    <w:rsid w:val="00335482"/>
    <w:rsid w:val="00335E45"/>
    <w:rsid w:val="0033686B"/>
    <w:rsid w:val="0033739A"/>
    <w:rsid w:val="003415CF"/>
    <w:rsid w:val="0034401E"/>
    <w:rsid w:val="0035120B"/>
    <w:rsid w:val="00352F5F"/>
    <w:rsid w:val="00355E5F"/>
    <w:rsid w:val="0035725F"/>
    <w:rsid w:val="00357B02"/>
    <w:rsid w:val="00357B32"/>
    <w:rsid w:val="00365C03"/>
    <w:rsid w:val="00370D0A"/>
    <w:rsid w:val="00373957"/>
    <w:rsid w:val="00374829"/>
    <w:rsid w:val="00377E18"/>
    <w:rsid w:val="0038243B"/>
    <w:rsid w:val="00385A6B"/>
    <w:rsid w:val="00387972"/>
    <w:rsid w:val="0039059A"/>
    <w:rsid w:val="003919E2"/>
    <w:rsid w:val="00393004"/>
    <w:rsid w:val="00396ECD"/>
    <w:rsid w:val="00397215"/>
    <w:rsid w:val="003A0688"/>
    <w:rsid w:val="003A236E"/>
    <w:rsid w:val="003A3CAD"/>
    <w:rsid w:val="003A524B"/>
    <w:rsid w:val="003B19AF"/>
    <w:rsid w:val="003B4E5B"/>
    <w:rsid w:val="003C2E12"/>
    <w:rsid w:val="003C52F5"/>
    <w:rsid w:val="003D0442"/>
    <w:rsid w:val="003D0ABE"/>
    <w:rsid w:val="003D36AF"/>
    <w:rsid w:val="003E08D2"/>
    <w:rsid w:val="003E2D35"/>
    <w:rsid w:val="004000FD"/>
    <w:rsid w:val="00400960"/>
    <w:rsid w:val="00406C7A"/>
    <w:rsid w:val="0040777C"/>
    <w:rsid w:val="00407D62"/>
    <w:rsid w:val="00416BF0"/>
    <w:rsid w:val="00420602"/>
    <w:rsid w:val="0043285A"/>
    <w:rsid w:val="0043322C"/>
    <w:rsid w:val="00435FAC"/>
    <w:rsid w:val="0043744B"/>
    <w:rsid w:val="00441ADF"/>
    <w:rsid w:val="0044463C"/>
    <w:rsid w:val="0044629A"/>
    <w:rsid w:val="004503BD"/>
    <w:rsid w:val="0045095B"/>
    <w:rsid w:val="00451B45"/>
    <w:rsid w:val="00457ADE"/>
    <w:rsid w:val="00461813"/>
    <w:rsid w:val="004621C1"/>
    <w:rsid w:val="004649D0"/>
    <w:rsid w:val="00464E02"/>
    <w:rsid w:val="0047240A"/>
    <w:rsid w:val="0047420B"/>
    <w:rsid w:val="0047470B"/>
    <w:rsid w:val="00480D08"/>
    <w:rsid w:val="00480DC2"/>
    <w:rsid w:val="00481828"/>
    <w:rsid w:val="004920EA"/>
    <w:rsid w:val="00495473"/>
    <w:rsid w:val="00496E28"/>
    <w:rsid w:val="004A3EB7"/>
    <w:rsid w:val="004B134F"/>
    <w:rsid w:val="004B1FED"/>
    <w:rsid w:val="004B6E26"/>
    <w:rsid w:val="004C0D25"/>
    <w:rsid w:val="004C336F"/>
    <w:rsid w:val="004C731F"/>
    <w:rsid w:val="004D05DD"/>
    <w:rsid w:val="004D11AD"/>
    <w:rsid w:val="004D756A"/>
    <w:rsid w:val="004E0A61"/>
    <w:rsid w:val="004E2AF7"/>
    <w:rsid w:val="004E6EC2"/>
    <w:rsid w:val="004F2B6D"/>
    <w:rsid w:val="004F4396"/>
    <w:rsid w:val="004F47E6"/>
    <w:rsid w:val="00506E2C"/>
    <w:rsid w:val="00511B61"/>
    <w:rsid w:val="00512939"/>
    <w:rsid w:val="005139AA"/>
    <w:rsid w:val="005155BE"/>
    <w:rsid w:val="0052100A"/>
    <w:rsid w:val="00521DA9"/>
    <w:rsid w:val="005221F2"/>
    <w:rsid w:val="00522A33"/>
    <w:rsid w:val="00523E72"/>
    <w:rsid w:val="0052660E"/>
    <w:rsid w:val="00526BD0"/>
    <w:rsid w:val="00527244"/>
    <w:rsid w:val="0053055F"/>
    <w:rsid w:val="00530EA2"/>
    <w:rsid w:val="00534D44"/>
    <w:rsid w:val="005507BA"/>
    <w:rsid w:val="00551CE4"/>
    <w:rsid w:val="00552487"/>
    <w:rsid w:val="0055311F"/>
    <w:rsid w:val="00553A0A"/>
    <w:rsid w:val="00566B1C"/>
    <w:rsid w:val="005675CA"/>
    <w:rsid w:val="00567F28"/>
    <w:rsid w:val="00572153"/>
    <w:rsid w:val="00577656"/>
    <w:rsid w:val="0057774E"/>
    <w:rsid w:val="005828E6"/>
    <w:rsid w:val="00583B5E"/>
    <w:rsid w:val="00587071"/>
    <w:rsid w:val="005926A3"/>
    <w:rsid w:val="00592E50"/>
    <w:rsid w:val="005A1702"/>
    <w:rsid w:val="005A1D7A"/>
    <w:rsid w:val="005A4570"/>
    <w:rsid w:val="005A7965"/>
    <w:rsid w:val="005B0E95"/>
    <w:rsid w:val="005B5654"/>
    <w:rsid w:val="005B6CBF"/>
    <w:rsid w:val="005C34D0"/>
    <w:rsid w:val="005C4CDB"/>
    <w:rsid w:val="005D1CBA"/>
    <w:rsid w:val="005D2876"/>
    <w:rsid w:val="005D3259"/>
    <w:rsid w:val="005F0590"/>
    <w:rsid w:val="005F13D6"/>
    <w:rsid w:val="005F2AF7"/>
    <w:rsid w:val="005F76B4"/>
    <w:rsid w:val="0060060C"/>
    <w:rsid w:val="00602F37"/>
    <w:rsid w:val="00603059"/>
    <w:rsid w:val="00606E3C"/>
    <w:rsid w:val="00607631"/>
    <w:rsid w:val="00614BA6"/>
    <w:rsid w:val="0061651C"/>
    <w:rsid w:val="0062023F"/>
    <w:rsid w:val="00622E1C"/>
    <w:rsid w:val="00630CF3"/>
    <w:rsid w:val="00631FC4"/>
    <w:rsid w:val="00634973"/>
    <w:rsid w:val="00635225"/>
    <w:rsid w:val="006413CB"/>
    <w:rsid w:val="00643583"/>
    <w:rsid w:val="00644710"/>
    <w:rsid w:val="00646F06"/>
    <w:rsid w:val="00652CEF"/>
    <w:rsid w:val="00653BDA"/>
    <w:rsid w:val="0065514F"/>
    <w:rsid w:val="006558E6"/>
    <w:rsid w:val="00660E52"/>
    <w:rsid w:val="006627D1"/>
    <w:rsid w:val="00662937"/>
    <w:rsid w:val="0066559F"/>
    <w:rsid w:val="00667F9F"/>
    <w:rsid w:val="00671D42"/>
    <w:rsid w:val="00676093"/>
    <w:rsid w:val="0067627B"/>
    <w:rsid w:val="0068243B"/>
    <w:rsid w:val="00685A08"/>
    <w:rsid w:val="006878E4"/>
    <w:rsid w:val="00696384"/>
    <w:rsid w:val="00696762"/>
    <w:rsid w:val="00696AC2"/>
    <w:rsid w:val="006A012B"/>
    <w:rsid w:val="006A1BCB"/>
    <w:rsid w:val="006A3C1D"/>
    <w:rsid w:val="006A44A3"/>
    <w:rsid w:val="006A7856"/>
    <w:rsid w:val="006A7BC8"/>
    <w:rsid w:val="006B429D"/>
    <w:rsid w:val="006B5025"/>
    <w:rsid w:val="006B57B5"/>
    <w:rsid w:val="006B62F0"/>
    <w:rsid w:val="006B746D"/>
    <w:rsid w:val="006C2149"/>
    <w:rsid w:val="006C24AA"/>
    <w:rsid w:val="006C6E13"/>
    <w:rsid w:val="006D5D9E"/>
    <w:rsid w:val="006E1DEB"/>
    <w:rsid w:val="006E490B"/>
    <w:rsid w:val="006E59B4"/>
    <w:rsid w:val="006F0809"/>
    <w:rsid w:val="00702655"/>
    <w:rsid w:val="00703B67"/>
    <w:rsid w:val="00703BD7"/>
    <w:rsid w:val="007128F2"/>
    <w:rsid w:val="00712D98"/>
    <w:rsid w:val="00713CC8"/>
    <w:rsid w:val="00722154"/>
    <w:rsid w:val="00723FA5"/>
    <w:rsid w:val="007248C7"/>
    <w:rsid w:val="007339C7"/>
    <w:rsid w:val="0073563B"/>
    <w:rsid w:val="00735789"/>
    <w:rsid w:val="00737256"/>
    <w:rsid w:val="00737CA6"/>
    <w:rsid w:val="007402E1"/>
    <w:rsid w:val="007426CB"/>
    <w:rsid w:val="00745F29"/>
    <w:rsid w:val="00746DBC"/>
    <w:rsid w:val="00747ACB"/>
    <w:rsid w:val="007519DB"/>
    <w:rsid w:val="00751E2D"/>
    <w:rsid w:val="00751F60"/>
    <w:rsid w:val="00753FDD"/>
    <w:rsid w:val="00762D6B"/>
    <w:rsid w:val="0076454E"/>
    <w:rsid w:val="00765E78"/>
    <w:rsid w:val="0076603A"/>
    <w:rsid w:val="00770880"/>
    <w:rsid w:val="00770ED2"/>
    <w:rsid w:val="00771C26"/>
    <w:rsid w:val="00772AEA"/>
    <w:rsid w:val="00781DAA"/>
    <w:rsid w:val="00783A06"/>
    <w:rsid w:val="00793B59"/>
    <w:rsid w:val="00797A4D"/>
    <w:rsid w:val="007A340D"/>
    <w:rsid w:val="007A57D1"/>
    <w:rsid w:val="007B138F"/>
    <w:rsid w:val="007C0CC2"/>
    <w:rsid w:val="007C234F"/>
    <w:rsid w:val="007C5C0D"/>
    <w:rsid w:val="007C6FC2"/>
    <w:rsid w:val="007D0025"/>
    <w:rsid w:val="007D0E91"/>
    <w:rsid w:val="007E0BE6"/>
    <w:rsid w:val="007E3956"/>
    <w:rsid w:val="007E54F4"/>
    <w:rsid w:val="007F2052"/>
    <w:rsid w:val="007F2891"/>
    <w:rsid w:val="007F2C93"/>
    <w:rsid w:val="007F32D7"/>
    <w:rsid w:val="007F4A23"/>
    <w:rsid w:val="00802FA4"/>
    <w:rsid w:val="00813D47"/>
    <w:rsid w:val="00817F37"/>
    <w:rsid w:val="00825504"/>
    <w:rsid w:val="0083006A"/>
    <w:rsid w:val="0083106D"/>
    <w:rsid w:val="0083456D"/>
    <w:rsid w:val="008345DC"/>
    <w:rsid w:val="00843C9D"/>
    <w:rsid w:val="0085079C"/>
    <w:rsid w:val="008508F2"/>
    <w:rsid w:val="00853791"/>
    <w:rsid w:val="0085658B"/>
    <w:rsid w:val="00856C32"/>
    <w:rsid w:val="0086018E"/>
    <w:rsid w:val="0086045F"/>
    <w:rsid w:val="0086561B"/>
    <w:rsid w:val="00866923"/>
    <w:rsid w:val="0087001C"/>
    <w:rsid w:val="00875357"/>
    <w:rsid w:val="008756B2"/>
    <w:rsid w:val="008777F8"/>
    <w:rsid w:val="0088314E"/>
    <w:rsid w:val="00883A2B"/>
    <w:rsid w:val="008861B2"/>
    <w:rsid w:val="00891E30"/>
    <w:rsid w:val="00893009"/>
    <w:rsid w:val="00893F10"/>
    <w:rsid w:val="0089532B"/>
    <w:rsid w:val="008A0D37"/>
    <w:rsid w:val="008A401F"/>
    <w:rsid w:val="008A69A5"/>
    <w:rsid w:val="008B09A3"/>
    <w:rsid w:val="008C1BA3"/>
    <w:rsid w:val="008C3678"/>
    <w:rsid w:val="008C4AF0"/>
    <w:rsid w:val="008D08F5"/>
    <w:rsid w:val="008D2A51"/>
    <w:rsid w:val="008D31A9"/>
    <w:rsid w:val="008D3272"/>
    <w:rsid w:val="008D33B8"/>
    <w:rsid w:val="008D409D"/>
    <w:rsid w:val="008D68C1"/>
    <w:rsid w:val="008D7FC3"/>
    <w:rsid w:val="008E25CF"/>
    <w:rsid w:val="008E3B48"/>
    <w:rsid w:val="008E4757"/>
    <w:rsid w:val="008E55B0"/>
    <w:rsid w:val="008E6E23"/>
    <w:rsid w:val="008E798C"/>
    <w:rsid w:val="008F71CF"/>
    <w:rsid w:val="00901EAA"/>
    <w:rsid w:val="00902C56"/>
    <w:rsid w:val="00911785"/>
    <w:rsid w:val="0091518A"/>
    <w:rsid w:val="0092205F"/>
    <w:rsid w:val="00924724"/>
    <w:rsid w:val="009260BE"/>
    <w:rsid w:val="009269AF"/>
    <w:rsid w:val="00926FE8"/>
    <w:rsid w:val="009276D8"/>
    <w:rsid w:val="00930C31"/>
    <w:rsid w:val="00933BE9"/>
    <w:rsid w:val="00936C57"/>
    <w:rsid w:val="00936D37"/>
    <w:rsid w:val="00945960"/>
    <w:rsid w:val="009514ED"/>
    <w:rsid w:val="009518D0"/>
    <w:rsid w:val="00952868"/>
    <w:rsid w:val="009601FB"/>
    <w:rsid w:val="00970432"/>
    <w:rsid w:val="00970BC0"/>
    <w:rsid w:val="0097492E"/>
    <w:rsid w:val="009762B9"/>
    <w:rsid w:val="00983304"/>
    <w:rsid w:val="00986C22"/>
    <w:rsid w:val="0098777C"/>
    <w:rsid w:val="00990F45"/>
    <w:rsid w:val="009A7AEE"/>
    <w:rsid w:val="009B0DC3"/>
    <w:rsid w:val="009C18D0"/>
    <w:rsid w:val="009D07E4"/>
    <w:rsid w:val="009D24CF"/>
    <w:rsid w:val="009D6A17"/>
    <w:rsid w:val="009D7CD0"/>
    <w:rsid w:val="009E2573"/>
    <w:rsid w:val="009E6919"/>
    <w:rsid w:val="009E77EF"/>
    <w:rsid w:val="009E7DA1"/>
    <w:rsid w:val="009F5395"/>
    <w:rsid w:val="00A01AC8"/>
    <w:rsid w:val="00A03552"/>
    <w:rsid w:val="00A07AC7"/>
    <w:rsid w:val="00A07DA5"/>
    <w:rsid w:val="00A127CC"/>
    <w:rsid w:val="00A16F49"/>
    <w:rsid w:val="00A207AF"/>
    <w:rsid w:val="00A21B18"/>
    <w:rsid w:val="00A247EA"/>
    <w:rsid w:val="00A27A85"/>
    <w:rsid w:val="00A27BCC"/>
    <w:rsid w:val="00A35657"/>
    <w:rsid w:val="00A365AB"/>
    <w:rsid w:val="00A40AA4"/>
    <w:rsid w:val="00A40BCD"/>
    <w:rsid w:val="00A40C80"/>
    <w:rsid w:val="00A4149A"/>
    <w:rsid w:val="00A42A8E"/>
    <w:rsid w:val="00A43C8D"/>
    <w:rsid w:val="00A477F0"/>
    <w:rsid w:val="00A50C6D"/>
    <w:rsid w:val="00A548DA"/>
    <w:rsid w:val="00A55FAE"/>
    <w:rsid w:val="00A560F2"/>
    <w:rsid w:val="00A57543"/>
    <w:rsid w:val="00A57D2B"/>
    <w:rsid w:val="00A61226"/>
    <w:rsid w:val="00A65DE7"/>
    <w:rsid w:val="00A76382"/>
    <w:rsid w:val="00A7643A"/>
    <w:rsid w:val="00A765CE"/>
    <w:rsid w:val="00A837E1"/>
    <w:rsid w:val="00A85020"/>
    <w:rsid w:val="00A92C69"/>
    <w:rsid w:val="00A95A4B"/>
    <w:rsid w:val="00AA2F03"/>
    <w:rsid w:val="00AA416A"/>
    <w:rsid w:val="00AA4D39"/>
    <w:rsid w:val="00AA71F2"/>
    <w:rsid w:val="00AB2F05"/>
    <w:rsid w:val="00AB316B"/>
    <w:rsid w:val="00AB713A"/>
    <w:rsid w:val="00AC4346"/>
    <w:rsid w:val="00AE03FE"/>
    <w:rsid w:val="00AE05B3"/>
    <w:rsid w:val="00AE2521"/>
    <w:rsid w:val="00AF45F9"/>
    <w:rsid w:val="00B00B8E"/>
    <w:rsid w:val="00B04921"/>
    <w:rsid w:val="00B063E7"/>
    <w:rsid w:val="00B06B02"/>
    <w:rsid w:val="00B1117F"/>
    <w:rsid w:val="00B11669"/>
    <w:rsid w:val="00B128C1"/>
    <w:rsid w:val="00B17CFB"/>
    <w:rsid w:val="00B221C5"/>
    <w:rsid w:val="00B2556D"/>
    <w:rsid w:val="00B3747E"/>
    <w:rsid w:val="00B40DDD"/>
    <w:rsid w:val="00B41DA1"/>
    <w:rsid w:val="00B4514D"/>
    <w:rsid w:val="00B45766"/>
    <w:rsid w:val="00B46AC3"/>
    <w:rsid w:val="00B5038D"/>
    <w:rsid w:val="00B52650"/>
    <w:rsid w:val="00B543E9"/>
    <w:rsid w:val="00B5546A"/>
    <w:rsid w:val="00B55A93"/>
    <w:rsid w:val="00B56055"/>
    <w:rsid w:val="00B5637A"/>
    <w:rsid w:val="00B574D0"/>
    <w:rsid w:val="00B62664"/>
    <w:rsid w:val="00B7286B"/>
    <w:rsid w:val="00B73E48"/>
    <w:rsid w:val="00B74A57"/>
    <w:rsid w:val="00B75F39"/>
    <w:rsid w:val="00B8047E"/>
    <w:rsid w:val="00B8055E"/>
    <w:rsid w:val="00B84BC8"/>
    <w:rsid w:val="00B86761"/>
    <w:rsid w:val="00B90092"/>
    <w:rsid w:val="00B97E46"/>
    <w:rsid w:val="00BB2067"/>
    <w:rsid w:val="00BB3339"/>
    <w:rsid w:val="00BB4E10"/>
    <w:rsid w:val="00BC47BF"/>
    <w:rsid w:val="00BC4AA5"/>
    <w:rsid w:val="00BC535A"/>
    <w:rsid w:val="00BD0849"/>
    <w:rsid w:val="00BD208B"/>
    <w:rsid w:val="00BD63CF"/>
    <w:rsid w:val="00BD6DB5"/>
    <w:rsid w:val="00BE1BED"/>
    <w:rsid w:val="00BE428F"/>
    <w:rsid w:val="00BE67A5"/>
    <w:rsid w:val="00BF1D0F"/>
    <w:rsid w:val="00BF35FB"/>
    <w:rsid w:val="00BF3D90"/>
    <w:rsid w:val="00BF60E7"/>
    <w:rsid w:val="00C02027"/>
    <w:rsid w:val="00C021CA"/>
    <w:rsid w:val="00C02F88"/>
    <w:rsid w:val="00C03283"/>
    <w:rsid w:val="00C034CB"/>
    <w:rsid w:val="00C05537"/>
    <w:rsid w:val="00C0618C"/>
    <w:rsid w:val="00C065B4"/>
    <w:rsid w:val="00C101B0"/>
    <w:rsid w:val="00C104A9"/>
    <w:rsid w:val="00C12E52"/>
    <w:rsid w:val="00C13DB1"/>
    <w:rsid w:val="00C140A2"/>
    <w:rsid w:val="00C1585B"/>
    <w:rsid w:val="00C17FEF"/>
    <w:rsid w:val="00C216FD"/>
    <w:rsid w:val="00C21731"/>
    <w:rsid w:val="00C23710"/>
    <w:rsid w:val="00C24746"/>
    <w:rsid w:val="00C2514E"/>
    <w:rsid w:val="00C329B4"/>
    <w:rsid w:val="00C458FA"/>
    <w:rsid w:val="00C46018"/>
    <w:rsid w:val="00C479F6"/>
    <w:rsid w:val="00C47CE1"/>
    <w:rsid w:val="00C50C4C"/>
    <w:rsid w:val="00C52778"/>
    <w:rsid w:val="00C5453E"/>
    <w:rsid w:val="00C61123"/>
    <w:rsid w:val="00C63130"/>
    <w:rsid w:val="00C643C3"/>
    <w:rsid w:val="00C8308E"/>
    <w:rsid w:val="00C83D95"/>
    <w:rsid w:val="00C92F29"/>
    <w:rsid w:val="00C937B9"/>
    <w:rsid w:val="00C93C94"/>
    <w:rsid w:val="00CA11F3"/>
    <w:rsid w:val="00CA1758"/>
    <w:rsid w:val="00CA211E"/>
    <w:rsid w:val="00CA38E9"/>
    <w:rsid w:val="00CB0D8B"/>
    <w:rsid w:val="00CB442E"/>
    <w:rsid w:val="00CC103C"/>
    <w:rsid w:val="00CC66FD"/>
    <w:rsid w:val="00CC77B2"/>
    <w:rsid w:val="00CC7E7E"/>
    <w:rsid w:val="00CD7D2A"/>
    <w:rsid w:val="00CE246E"/>
    <w:rsid w:val="00CE2C69"/>
    <w:rsid w:val="00CE3AB5"/>
    <w:rsid w:val="00CE3B06"/>
    <w:rsid w:val="00CE4322"/>
    <w:rsid w:val="00CF6CDF"/>
    <w:rsid w:val="00D017A6"/>
    <w:rsid w:val="00D05701"/>
    <w:rsid w:val="00D06C0E"/>
    <w:rsid w:val="00D07423"/>
    <w:rsid w:val="00D12A9B"/>
    <w:rsid w:val="00D15AB6"/>
    <w:rsid w:val="00D21885"/>
    <w:rsid w:val="00D3030B"/>
    <w:rsid w:val="00D32D71"/>
    <w:rsid w:val="00D333B3"/>
    <w:rsid w:val="00D33C0B"/>
    <w:rsid w:val="00D340B4"/>
    <w:rsid w:val="00D361CE"/>
    <w:rsid w:val="00D36DB2"/>
    <w:rsid w:val="00D414A0"/>
    <w:rsid w:val="00D430C1"/>
    <w:rsid w:val="00D433F5"/>
    <w:rsid w:val="00D4370C"/>
    <w:rsid w:val="00D457B8"/>
    <w:rsid w:val="00D45DD7"/>
    <w:rsid w:val="00D60C56"/>
    <w:rsid w:val="00D633B5"/>
    <w:rsid w:val="00D651D5"/>
    <w:rsid w:val="00D6675A"/>
    <w:rsid w:val="00D66E36"/>
    <w:rsid w:val="00D67996"/>
    <w:rsid w:val="00D70AA7"/>
    <w:rsid w:val="00D73B93"/>
    <w:rsid w:val="00D7626F"/>
    <w:rsid w:val="00D82225"/>
    <w:rsid w:val="00D82C4F"/>
    <w:rsid w:val="00D85978"/>
    <w:rsid w:val="00D859A0"/>
    <w:rsid w:val="00D85A41"/>
    <w:rsid w:val="00D85E06"/>
    <w:rsid w:val="00D90AED"/>
    <w:rsid w:val="00D90BFA"/>
    <w:rsid w:val="00D90F47"/>
    <w:rsid w:val="00D91F0D"/>
    <w:rsid w:val="00D93410"/>
    <w:rsid w:val="00D94D58"/>
    <w:rsid w:val="00DA1170"/>
    <w:rsid w:val="00DA5909"/>
    <w:rsid w:val="00DB077C"/>
    <w:rsid w:val="00DB1CAB"/>
    <w:rsid w:val="00DB226E"/>
    <w:rsid w:val="00DC058F"/>
    <w:rsid w:val="00DC314F"/>
    <w:rsid w:val="00DC6C35"/>
    <w:rsid w:val="00DD104D"/>
    <w:rsid w:val="00DD2E22"/>
    <w:rsid w:val="00DD5A3F"/>
    <w:rsid w:val="00DE15B1"/>
    <w:rsid w:val="00DE2038"/>
    <w:rsid w:val="00DE2E1A"/>
    <w:rsid w:val="00DE3CC6"/>
    <w:rsid w:val="00DF0AC7"/>
    <w:rsid w:val="00DF34A5"/>
    <w:rsid w:val="00DF4086"/>
    <w:rsid w:val="00E003E5"/>
    <w:rsid w:val="00E00767"/>
    <w:rsid w:val="00E01E07"/>
    <w:rsid w:val="00E0547E"/>
    <w:rsid w:val="00E06E33"/>
    <w:rsid w:val="00E07E77"/>
    <w:rsid w:val="00E14AAF"/>
    <w:rsid w:val="00E15CA3"/>
    <w:rsid w:val="00E15FCD"/>
    <w:rsid w:val="00E16769"/>
    <w:rsid w:val="00E172ED"/>
    <w:rsid w:val="00E1770E"/>
    <w:rsid w:val="00E203E4"/>
    <w:rsid w:val="00E21C02"/>
    <w:rsid w:val="00E26CCF"/>
    <w:rsid w:val="00E26FA7"/>
    <w:rsid w:val="00E27DAD"/>
    <w:rsid w:val="00E307C8"/>
    <w:rsid w:val="00E33314"/>
    <w:rsid w:val="00E33421"/>
    <w:rsid w:val="00E359EA"/>
    <w:rsid w:val="00E407E4"/>
    <w:rsid w:val="00E427FC"/>
    <w:rsid w:val="00E432C9"/>
    <w:rsid w:val="00E43B75"/>
    <w:rsid w:val="00E44E54"/>
    <w:rsid w:val="00E506A2"/>
    <w:rsid w:val="00E52F6E"/>
    <w:rsid w:val="00E5377B"/>
    <w:rsid w:val="00E54625"/>
    <w:rsid w:val="00E55AE9"/>
    <w:rsid w:val="00E6079F"/>
    <w:rsid w:val="00E66742"/>
    <w:rsid w:val="00E7211D"/>
    <w:rsid w:val="00E73EE8"/>
    <w:rsid w:val="00E746EF"/>
    <w:rsid w:val="00E77765"/>
    <w:rsid w:val="00E802D0"/>
    <w:rsid w:val="00E81ADC"/>
    <w:rsid w:val="00E87201"/>
    <w:rsid w:val="00E92A3C"/>
    <w:rsid w:val="00EA5D98"/>
    <w:rsid w:val="00EB336A"/>
    <w:rsid w:val="00EB36CF"/>
    <w:rsid w:val="00EB4847"/>
    <w:rsid w:val="00EB4B26"/>
    <w:rsid w:val="00EB5DEA"/>
    <w:rsid w:val="00EB7781"/>
    <w:rsid w:val="00EC159D"/>
    <w:rsid w:val="00EC294E"/>
    <w:rsid w:val="00EC2D7F"/>
    <w:rsid w:val="00EC3D1C"/>
    <w:rsid w:val="00EC7214"/>
    <w:rsid w:val="00ED04C9"/>
    <w:rsid w:val="00ED0B86"/>
    <w:rsid w:val="00ED1C9B"/>
    <w:rsid w:val="00ED2D75"/>
    <w:rsid w:val="00ED4ADC"/>
    <w:rsid w:val="00EE2F36"/>
    <w:rsid w:val="00EE6F50"/>
    <w:rsid w:val="00EE7AF1"/>
    <w:rsid w:val="00EF0226"/>
    <w:rsid w:val="00EF4017"/>
    <w:rsid w:val="00F02245"/>
    <w:rsid w:val="00F031BB"/>
    <w:rsid w:val="00F038A6"/>
    <w:rsid w:val="00F03DEE"/>
    <w:rsid w:val="00F07E60"/>
    <w:rsid w:val="00F10752"/>
    <w:rsid w:val="00F10754"/>
    <w:rsid w:val="00F11C9D"/>
    <w:rsid w:val="00F17E2B"/>
    <w:rsid w:val="00F17F73"/>
    <w:rsid w:val="00F232A6"/>
    <w:rsid w:val="00F2465A"/>
    <w:rsid w:val="00F26475"/>
    <w:rsid w:val="00F2798C"/>
    <w:rsid w:val="00F27FFC"/>
    <w:rsid w:val="00F332E6"/>
    <w:rsid w:val="00F42F8F"/>
    <w:rsid w:val="00F4620B"/>
    <w:rsid w:val="00F51BE3"/>
    <w:rsid w:val="00F55003"/>
    <w:rsid w:val="00F55C65"/>
    <w:rsid w:val="00F57D67"/>
    <w:rsid w:val="00F61990"/>
    <w:rsid w:val="00F72459"/>
    <w:rsid w:val="00F72B4C"/>
    <w:rsid w:val="00F74533"/>
    <w:rsid w:val="00F7540C"/>
    <w:rsid w:val="00F76B0C"/>
    <w:rsid w:val="00F7740E"/>
    <w:rsid w:val="00F81507"/>
    <w:rsid w:val="00F85C7B"/>
    <w:rsid w:val="00F85E9F"/>
    <w:rsid w:val="00FA0182"/>
    <w:rsid w:val="00FA1839"/>
    <w:rsid w:val="00FB230F"/>
    <w:rsid w:val="00FB280B"/>
    <w:rsid w:val="00FB4613"/>
    <w:rsid w:val="00FC3A51"/>
    <w:rsid w:val="00FC45EA"/>
    <w:rsid w:val="00FC4B5D"/>
    <w:rsid w:val="00FD3CD5"/>
    <w:rsid w:val="00FE0852"/>
    <w:rsid w:val="00FE129E"/>
    <w:rsid w:val="00FF2F2F"/>
    <w:rsid w:val="00FF309A"/>
    <w:rsid w:val="00FF326C"/>
    <w:rsid w:val="00FF61DF"/>
    <w:rsid w:val="00FF7F32"/>
    <w:rsid w:val="07DA57F6"/>
    <w:rsid w:val="09C86EB2"/>
    <w:rsid w:val="0DE46D89"/>
    <w:rsid w:val="110B74DC"/>
    <w:rsid w:val="244A1FFE"/>
    <w:rsid w:val="2BA56379"/>
    <w:rsid w:val="2C1C72EA"/>
    <w:rsid w:val="3033743A"/>
    <w:rsid w:val="3EEC227B"/>
    <w:rsid w:val="40572E86"/>
    <w:rsid w:val="4CEF0C9C"/>
    <w:rsid w:val="57013E4C"/>
    <w:rsid w:val="5C170B04"/>
    <w:rsid w:val="62244788"/>
    <w:rsid w:val="743B1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9"/>
    <w:pPr>
      <w:widowControl w:val="0"/>
      <w:jc w:val="both"/>
    </w:pPr>
    <w:rPr>
      <w:kern w:val="2"/>
      <w:sz w:val="21"/>
      <w:szCs w:val="22"/>
    </w:rPr>
  </w:style>
  <w:style w:type="paragraph" w:styleId="4">
    <w:name w:val="heading 4"/>
    <w:basedOn w:val="a"/>
    <w:next w:val="a"/>
    <w:link w:val="4Char"/>
    <w:uiPriority w:val="9"/>
    <w:semiHidden/>
    <w:unhideWhenUsed/>
    <w:qFormat/>
    <w:rsid w:val="00933BE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933BE9"/>
    <w:rPr>
      <w:rFonts w:ascii="宋体" w:eastAsia="宋体"/>
      <w:sz w:val="18"/>
      <w:szCs w:val="18"/>
    </w:rPr>
  </w:style>
  <w:style w:type="paragraph" w:styleId="a4">
    <w:name w:val="annotation text"/>
    <w:basedOn w:val="a"/>
    <w:link w:val="Char0"/>
    <w:unhideWhenUsed/>
    <w:qFormat/>
    <w:rsid w:val="00933BE9"/>
    <w:pPr>
      <w:jc w:val="left"/>
    </w:pPr>
  </w:style>
  <w:style w:type="paragraph" w:styleId="a5">
    <w:name w:val="Balloon Text"/>
    <w:basedOn w:val="a"/>
    <w:link w:val="Char1"/>
    <w:uiPriority w:val="99"/>
    <w:semiHidden/>
    <w:unhideWhenUsed/>
    <w:qFormat/>
    <w:rsid w:val="00933BE9"/>
    <w:rPr>
      <w:sz w:val="18"/>
      <w:szCs w:val="18"/>
    </w:rPr>
  </w:style>
  <w:style w:type="paragraph" w:styleId="a6">
    <w:name w:val="footer"/>
    <w:basedOn w:val="a"/>
    <w:link w:val="Char2"/>
    <w:uiPriority w:val="99"/>
    <w:unhideWhenUsed/>
    <w:qFormat/>
    <w:rsid w:val="00933BE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33BE9"/>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933BE9"/>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qFormat/>
    <w:rsid w:val="00933BE9"/>
    <w:rPr>
      <w:b/>
      <w:bCs/>
    </w:rPr>
  </w:style>
  <w:style w:type="table" w:styleId="aa">
    <w:name w:val="Table Grid"/>
    <w:basedOn w:val="a1"/>
    <w:uiPriority w:val="59"/>
    <w:qFormat/>
    <w:rsid w:val="00933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933BE9"/>
    <w:rPr>
      <w:color w:val="0000FF"/>
      <w:u w:val="single"/>
    </w:rPr>
  </w:style>
  <w:style w:type="character" w:styleId="ac">
    <w:name w:val="annotation reference"/>
    <w:basedOn w:val="a0"/>
    <w:unhideWhenUsed/>
    <w:qFormat/>
    <w:rsid w:val="00933BE9"/>
    <w:rPr>
      <w:sz w:val="21"/>
      <w:szCs w:val="21"/>
    </w:rPr>
  </w:style>
  <w:style w:type="character" w:customStyle="1" w:styleId="Char3">
    <w:name w:val="页眉 Char"/>
    <w:basedOn w:val="a0"/>
    <w:link w:val="a7"/>
    <w:uiPriority w:val="99"/>
    <w:qFormat/>
    <w:rsid w:val="00933BE9"/>
    <w:rPr>
      <w:sz w:val="18"/>
      <w:szCs w:val="18"/>
    </w:rPr>
  </w:style>
  <w:style w:type="character" w:customStyle="1" w:styleId="Char2">
    <w:name w:val="页脚 Char"/>
    <w:basedOn w:val="a0"/>
    <w:link w:val="a6"/>
    <w:uiPriority w:val="99"/>
    <w:qFormat/>
    <w:rsid w:val="00933BE9"/>
    <w:rPr>
      <w:sz w:val="18"/>
      <w:szCs w:val="18"/>
    </w:rPr>
  </w:style>
  <w:style w:type="character" w:customStyle="1" w:styleId="Char1">
    <w:name w:val="批注框文本 Char"/>
    <w:basedOn w:val="a0"/>
    <w:link w:val="a5"/>
    <w:uiPriority w:val="99"/>
    <w:semiHidden/>
    <w:qFormat/>
    <w:rsid w:val="00933BE9"/>
    <w:rPr>
      <w:sz w:val="18"/>
      <w:szCs w:val="18"/>
    </w:rPr>
  </w:style>
  <w:style w:type="character" w:customStyle="1" w:styleId="Char0">
    <w:name w:val="批注文字 Char"/>
    <w:basedOn w:val="a0"/>
    <w:link w:val="a4"/>
    <w:qFormat/>
    <w:rsid w:val="00933BE9"/>
  </w:style>
  <w:style w:type="character" w:customStyle="1" w:styleId="Char4">
    <w:name w:val="批注主题 Char"/>
    <w:basedOn w:val="Char0"/>
    <w:link w:val="a9"/>
    <w:uiPriority w:val="99"/>
    <w:semiHidden/>
    <w:qFormat/>
    <w:rsid w:val="00933BE9"/>
    <w:rPr>
      <w:b/>
      <w:bCs/>
    </w:rPr>
  </w:style>
  <w:style w:type="paragraph" w:customStyle="1" w:styleId="1">
    <w:name w:val="修订1"/>
    <w:hidden/>
    <w:uiPriority w:val="99"/>
    <w:semiHidden/>
    <w:qFormat/>
    <w:rsid w:val="00933BE9"/>
    <w:rPr>
      <w:kern w:val="2"/>
      <w:sz w:val="21"/>
      <w:szCs w:val="22"/>
    </w:rPr>
  </w:style>
  <w:style w:type="character" w:customStyle="1" w:styleId="Char">
    <w:name w:val="文档结构图 Char"/>
    <w:basedOn w:val="a0"/>
    <w:link w:val="a3"/>
    <w:uiPriority w:val="99"/>
    <w:semiHidden/>
    <w:qFormat/>
    <w:rsid w:val="00933BE9"/>
    <w:rPr>
      <w:rFonts w:ascii="宋体" w:eastAsia="宋体"/>
      <w:sz w:val="18"/>
      <w:szCs w:val="18"/>
    </w:rPr>
  </w:style>
  <w:style w:type="paragraph" w:customStyle="1" w:styleId="Char5">
    <w:name w:val="Char"/>
    <w:basedOn w:val="a"/>
    <w:qFormat/>
    <w:rsid w:val="00933BE9"/>
    <w:rPr>
      <w:rFonts w:ascii="Times New Roman" w:eastAsia="宋体" w:hAnsi="Times New Roman" w:cs="Times New Roman"/>
      <w:szCs w:val="24"/>
    </w:rPr>
  </w:style>
  <w:style w:type="paragraph" w:customStyle="1" w:styleId="ad">
    <w:name w:val="项目"/>
    <w:basedOn w:val="4"/>
    <w:qFormat/>
    <w:rsid w:val="00933BE9"/>
    <w:pPr>
      <w:snapToGrid w:val="0"/>
      <w:spacing w:before="120" w:after="120" w:line="360" w:lineRule="auto"/>
    </w:pPr>
    <w:rPr>
      <w:rFonts w:ascii="Times New Roman" w:eastAsia="楷体_GB2312" w:hAnsi="Times New Roman" w:cs="Times New Roman"/>
      <w:b w:val="0"/>
      <w:sz w:val="24"/>
      <w:szCs w:val="20"/>
    </w:rPr>
  </w:style>
  <w:style w:type="character" w:customStyle="1" w:styleId="4Char">
    <w:name w:val="标题 4 Char"/>
    <w:basedOn w:val="a0"/>
    <w:link w:val="4"/>
    <w:uiPriority w:val="9"/>
    <w:semiHidden/>
    <w:qFormat/>
    <w:rsid w:val="00933BE9"/>
    <w:rPr>
      <w:rFonts w:asciiTheme="majorHAnsi" w:eastAsiaTheme="majorEastAsia" w:hAnsiTheme="majorHAnsi" w:cstheme="majorBidi"/>
      <w:b/>
      <w:bCs/>
      <w:sz w:val="28"/>
      <w:szCs w:val="28"/>
    </w:rPr>
  </w:style>
  <w:style w:type="paragraph" w:styleId="ae">
    <w:name w:val="List Paragraph"/>
    <w:basedOn w:val="a"/>
    <w:uiPriority w:val="34"/>
    <w:qFormat/>
    <w:rsid w:val="00933BE9"/>
    <w:pPr>
      <w:ind w:firstLineChars="200" w:firstLine="420"/>
    </w:pPr>
  </w:style>
  <w:style w:type="character" w:customStyle="1" w:styleId="apple-converted-space">
    <w:name w:val="apple-converted-space"/>
    <w:basedOn w:val="a0"/>
    <w:qFormat/>
    <w:rsid w:val="00933BE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6A8E3C-DF3E-428A-BD42-CBFD37C6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1780</Characters>
  <Application>Microsoft Office Word</Application>
  <DocSecurity>4</DocSecurity>
  <Lines>14</Lines>
  <Paragraphs>4</Paragraphs>
  <ScaleCrop>false</ScaleCrop>
  <Company>wind</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ZHONGM</cp:lastModifiedBy>
  <cp:revision>2</cp:revision>
  <cp:lastPrinted>2020-05-07T05:46:00Z</cp:lastPrinted>
  <dcterms:created xsi:type="dcterms:W3CDTF">2020-10-29T16:01:00Z</dcterms:created>
  <dcterms:modified xsi:type="dcterms:W3CDTF">2020-10-29T16:01:00Z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