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605" w:rsidRDefault="006C0590" w:rsidP="006C0590">
      <w:pPr>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广发基金管理有限公司关于旗下基金</w:t>
      </w:r>
      <w:r w:rsidR="00D23A3F">
        <w:rPr>
          <w:rFonts w:ascii="仿宋" w:eastAsia="仿宋" w:hAnsi="仿宋" w:hint="eastAsia"/>
          <w:b/>
          <w:color w:val="000000" w:themeColor="text1"/>
          <w:sz w:val="32"/>
          <w:szCs w:val="32"/>
        </w:rPr>
        <w:t>20</w:t>
      </w:r>
      <w:r w:rsidR="00D23A3F">
        <w:rPr>
          <w:rFonts w:ascii="仿宋" w:eastAsia="仿宋" w:hAnsi="仿宋"/>
          <w:b/>
          <w:color w:val="000000" w:themeColor="text1"/>
          <w:sz w:val="32"/>
          <w:szCs w:val="32"/>
        </w:rPr>
        <w:t>20</w:t>
      </w:r>
      <w:r w:rsidR="00D23A3F">
        <w:rPr>
          <w:rFonts w:ascii="仿宋" w:eastAsia="仿宋" w:hAnsi="仿宋" w:hint="eastAsia"/>
          <w:b/>
          <w:color w:val="000000" w:themeColor="text1"/>
          <w:sz w:val="32"/>
          <w:szCs w:val="32"/>
        </w:rPr>
        <w:t>年第</w:t>
      </w:r>
      <w:r w:rsidR="00D23A3F">
        <w:rPr>
          <w:rFonts w:ascii="仿宋" w:eastAsia="仿宋" w:hAnsi="仿宋"/>
          <w:b/>
          <w:color w:val="000000" w:themeColor="text1"/>
          <w:sz w:val="32"/>
          <w:szCs w:val="32"/>
        </w:rPr>
        <w:t>3</w:t>
      </w:r>
      <w:r>
        <w:rPr>
          <w:rFonts w:ascii="仿宋" w:eastAsia="仿宋" w:hAnsi="仿宋" w:hint="eastAsia"/>
          <w:b/>
          <w:color w:val="000000" w:themeColor="text1"/>
          <w:sz w:val="32"/>
          <w:szCs w:val="32"/>
        </w:rPr>
        <w:t>季度报告</w:t>
      </w:r>
      <w:r w:rsidRPr="00025BDA">
        <w:rPr>
          <w:rFonts w:ascii="仿宋" w:eastAsia="仿宋" w:hAnsi="仿宋" w:hint="eastAsia"/>
          <w:b/>
          <w:color w:val="000000" w:themeColor="text1"/>
          <w:sz w:val="32"/>
          <w:szCs w:val="32"/>
        </w:rPr>
        <w:t>提示性公告</w:t>
      </w:r>
    </w:p>
    <w:p w:rsidR="006C0590" w:rsidRDefault="006C0590" w:rsidP="006C0590">
      <w:pPr>
        <w:jc w:val="center"/>
        <w:rPr>
          <w:rFonts w:ascii="仿宋" w:eastAsia="仿宋" w:hAnsi="仿宋"/>
          <w:b/>
          <w:color w:val="000000" w:themeColor="text1"/>
          <w:sz w:val="32"/>
          <w:szCs w:val="32"/>
        </w:rPr>
      </w:pPr>
    </w:p>
    <w:p w:rsidR="006C0590" w:rsidRPr="000073C0" w:rsidRDefault="00DE7F4E" w:rsidP="008E09B0">
      <w:pPr>
        <w:spacing w:line="540" w:lineRule="exact"/>
        <w:ind w:firstLineChars="200" w:firstLine="560"/>
        <w:rPr>
          <w:rFonts w:ascii="仿宋" w:eastAsia="仿宋" w:hAnsi="仿宋"/>
          <w:color w:val="000000" w:themeColor="text1"/>
          <w:sz w:val="28"/>
          <w:szCs w:val="28"/>
        </w:rPr>
      </w:pPr>
      <w:r w:rsidRPr="000073C0">
        <w:rPr>
          <w:rFonts w:ascii="仿宋" w:eastAsia="仿宋" w:hAnsi="仿宋" w:hint="eastAsia"/>
          <w:color w:val="000000" w:themeColor="text1"/>
          <w:sz w:val="28"/>
          <w:szCs w:val="28"/>
        </w:rPr>
        <w:t>广发基金管理有限公司（以下简称“本公司”）</w:t>
      </w:r>
      <w:r w:rsidR="006C0590" w:rsidRPr="000073C0">
        <w:rPr>
          <w:rFonts w:ascii="仿宋" w:eastAsia="仿宋" w:hAnsi="仿宋" w:hint="eastAsia"/>
          <w:color w:val="000000" w:themeColor="text1"/>
          <w:sz w:val="28"/>
          <w:szCs w:val="28"/>
        </w:rPr>
        <w:t>董事会及董事保证</w:t>
      </w:r>
      <w:r w:rsidR="008E09B0" w:rsidRPr="000073C0">
        <w:rPr>
          <w:rFonts w:ascii="仿宋" w:eastAsia="仿宋" w:hAnsi="仿宋" w:hint="eastAsia"/>
          <w:color w:val="000000" w:themeColor="text1"/>
          <w:sz w:val="28"/>
          <w:szCs w:val="28"/>
        </w:rPr>
        <w:t>旗下</w:t>
      </w:r>
      <w:r w:rsidR="006C0590" w:rsidRPr="000073C0">
        <w:rPr>
          <w:rFonts w:ascii="仿宋" w:eastAsia="仿宋" w:hAnsi="仿宋" w:hint="eastAsia"/>
          <w:color w:val="000000" w:themeColor="text1"/>
          <w:sz w:val="28"/>
          <w:szCs w:val="28"/>
        </w:rPr>
        <w:t>基金</w:t>
      </w:r>
      <w:r w:rsidR="00D23A3F" w:rsidRPr="000073C0">
        <w:rPr>
          <w:rFonts w:ascii="仿宋" w:eastAsia="仿宋" w:hAnsi="仿宋" w:hint="eastAsia"/>
          <w:color w:val="000000" w:themeColor="text1"/>
          <w:sz w:val="28"/>
          <w:szCs w:val="28"/>
        </w:rPr>
        <w:t>20</w:t>
      </w:r>
      <w:r w:rsidR="00D23A3F" w:rsidRPr="000073C0">
        <w:rPr>
          <w:rFonts w:ascii="仿宋" w:eastAsia="仿宋" w:hAnsi="仿宋"/>
          <w:color w:val="000000" w:themeColor="text1"/>
          <w:sz w:val="28"/>
          <w:szCs w:val="28"/>
        </w:rPr>
        <w:t>20</w:t>
      </w:r>
      <w:r w:rsidR="00D23A3F" w:rsidRPr="000073C0">
        <w:rPr>
          <w:rFonts w:ascii="仿宋" w:eastAsia="仿宋" w:hAnsi="仿宋" w:hint="eastAsia"/>
          <w:color w:val="000000" w:themeColor="text1"/>
          <w:sz w:val="28"/>
          <w:szCs w:val="28"/>
        </w:rPr>
        <w:t>年第</w:t>
      </w:r>
      <w:r w:rsidR="00D23A3F">
        <w:rPr>
          <w:rFonts w:ascii="仿宋" w:eastAsia="仿宋" w:hAnsi="仿宋"/>
          <w:color w:val="000000" w:themeColor="text1"/>
          <w:sz w:val="28"/>
          <w:szCs w:val="28"/>
        </w:rPr>
        <w:t>3</w:t>
      </w:r>
      <w:r w:rsidR="006C0590" w:rsidRPr="000073C0">
        <w:rPr>
          <w:rFonts w:ascii="仿宋" w:eastAsia="仿宋" w:hAnsi="仿宋" w:hint="eastAsia"/>
          <w:color w:val="000000" w:themeColor="text1"/>
          <w:sz w:val="28"/>
          <w:szCs w:val="28"/>
        </w:rPr>
        <w:t>季度报告所载资料不存在虚假记载、误导性陈述或重大遗漏，并对其内容的真实性、准确性和完整性承担个别及连带责任。</w:t>
      </w:r>
    </w:p>
    <w:p w:rsidR="009D1BF0" w:rsidRDefault="008E09B0" w:rsidP="00935E14">
      <w:pPr>
        <w:spacing w:line="540" w:lineRule="exact"/>
        <w:ind w:firstLineChars="200" w:firstLine="560"/>
        <w:jc w:val="left"/>
        <w:rPr>
          <w:rFonts w:ascii="仿宋" w:eastAsia="仿宋" w:hAnsi="仿宋"/>
          <w:color w:val="000000" w:themeColor="text1"/>
          <w:sz w:val="28"/>
          <w:szCs w:val="28"/>
        </w:rPr>
      </w:pPr>
      <w:r w:rsidRPr="000073C0">
        <w:rPr>
          <w:rFonts w:ascii="仿宋" w:eastAsia="仿宋" w:hAnsi="仿宋" w:hint="eastAsia"/>
          <w:color w:val="000000" w:themeColor="text1"/>
          <w:sz w:val="28"/>
          <w:szCs w:val="28"/>
        </w:rPr>
        <w:t>本</w:t>
      </w:r>
      <w:r w:rsidR="006C0590" w:rsidRPr="000073C0">
        <w:rPr>
          <w:rFonts w:ascii="仿宋" w:eastAsia="仿宋" w:hAnsi="仿宋"/>
          <w:color w:val="000000" w:themeColor="text1"/>
          <w:sz w:val="28"/>
          <w:szCs w:val="28"/>
        </w:rPr>
        <w:t>公司</w:t>
      </w:r>
      <w:r w:rsidR="006C0590" w:rsidRPr="000073C0">
        <w:rPr>
          <w:rFonts w:ascii="仿宋" w:eastAsia="仿宋" w:hAnsi="仿宋" w:hint="eastAsia"/>
          <w:color w:val="000000" w:themeColor="text1"/>
          <w:sz w:val="28"/>
          <w:szCs w:val="28"/>
        </w:rPr>
        <w:t>旗下</w:t>
      </w:r>
      <w:r w:rsidR="00CD7080" w:rsidRPr="000073C0">
        <w:rPr>
          <w:rFonts w:ascii="仿宋" w:eastAsia="仿宋" w:hAnsi="仿宋"/>
          <w:color w:val="000000" w:themeColor="text1"/>
          <w:sz w:val="28"/>
          <w:szCs w:val="28"/>
        </w:rPr>
        <w:t>219</w:t>
      </w:r>
      <w:r w:rsidRPr="000073C0">
        <w:rPr>
          <w:rFonts w:ascii="仿宋" w:eastAsia="仿宋" w:hAnsi="仿宋" w:hint="eastAsia"/>
          <w:color w:val="000000" w:themeColor="text1"/>
          <w:sz w:val="28"/>
          <w:szCs w:val="28"/>
        </w:rPr>
        <w:t>只基金的</w:t>
      </w:r>
      <w:r w:rsidR="00D23A3F" w:rsidRPr="000073C0">
        <w:rPr>
          <w:rFonts w:ascii="仿宋" w:eastAsia="仿宋" w:hAnsi="仿宋"/>
          <w:color w:val="000000" w:themeColor="text1"/>
          <w:sz w:val="28"/>
          <w:szCs w:val="28"/>
        </w:rPr>
        <w:t>2020</w:t>
      </w:r>
      <w:r w:rsidR="00D23A3F" w:rsidRPr="000073C0">
        <w:rPr>
          <w:rFonts w:ascii="仿宋" w:eastAsia="仿宋" w:hAnsi="仿宋" w:hint="eastAsia"/>
          <w:color w:val="000000" w:themeColor="text1"/>
          <w:sz w:val="28"/>
          <w:szCs w:val="28"/>
        </w:rPr>
        <w:t>年第</w:t>
      </w:r>
      <w:r w:rsidR="00D23A3F">
        <w:rPr>
          <w:rFonts w:ascii="仿宋" w:eastAsia="仿宋" w:hAnsi="仿宋"/>
          <w:color w:val="000000" w:themeColor="text1"/>
          <w:sz w:val="28"/>
          <w:szCs w:val="28"/>
        </w:rPr>
        <w:t>3</w:t>
      </w:r>
      <w:r w:rsidRPr="000073C0">
        <w:rPr>
          <w:rFonts w:ascii="仿宋" w:eastAsia="仿宋" w:hAnsi="仿宋" w:hint="eastAsia"/>
          <w:color w:val="000000" w:themeColor="text1"/>
          <w:sz w:val="28"/>
          <w:szCs w:val="28"/>
        </w:rPr>
        <w:t>季度报告全文于</w:t>
      </w:r>
      <w:r w:rsidR="00D23A3F" w:rsidRPr="000073C0">
        <w:rPr>
          <w:rFonts w:ascii="仿宋" w:eastAsia="仿宋" w:hAnsi="仿宋" w:hint="eastAsia"/>
          <w:color w:val="000000" w:themeColor="text1"/>
          <w:sz w:val="28"/>
          <w:szCs w:val="28"/>
        </w:rPr>
        <w:t>2020年</w:t>
      </w:r>
      <w:r w:rsidR="00D23A3F">
        <w:rPr>
          <w:rFonts w:ascii="仿宋" w:eastAsia="仿宋" w:hAnsi="仿宋"/>
          <w:color w:val="000000" w:themeColor="text1"/>
          <w:sz w:val="28"/>
          <w:szCs w:val="28"/>
        </w:rPr>
        <w:t>10</w:t>
      </w:r>
      <w:r w:rsidRPr="000073C0">
        <w:rPr>
          <w:rFonts w:ascii="仿宋" w:eastAsia="仿宋" w:hAnsi="仿宋" w:hint="eastAsia"/>
          <w:color w:val="000000" w:themeColor="text1"/>
          <w:sz w:val="28"/>
          <w:szCs w:val="28"/>
        </w:rPr>
        <w:t>月</w:t>
      </w:r>
      <w:r w:rsidR="00D23A3F">
        <w:rPr>
          <w:rFonts w:ascii="仿宋" w:eastAsia="仿宋" w:hAnsi="仿宋"/>
          <w:color w:val="000000" w:themeColor="text1"/>
          <w:sz w:val="28"/>
          <w:szCs w:val="28"/>
        </w:rPr>
        <w:t>28</w:t>
      </w:r>
      <w:r w:rsidR="006C0590" w:rsidRPr="000073C0">
        <w:rPr>
          <w:rFonts w:ascii="仿宋" w:eastAsia="仿宋" w:hAnsi="仿宋" w:hint="eastAsia"/>
          <w:color w:val="000000" w:themeColor="text1"/>
          <w:sz w:val="28"/>
          <w:szCs w:val="28"/>
        </w:rPr>
        <w:t>日</w:t>
      </w:r>
      <w:r w:rsidR="00935E14" w:rsidRPr="000073C0">
        <w:rPr>
          <w:rFonts w:ascii="仿宋" w:eastAsia="仿宋" w:hAnsi="仿宋" w:hint="eastAsia"/>
          <w:color w:val="000000" w:themeColor="text1"/>
          <w:sz w:val="28"/>
          <w:szCs w:val="28"/>
        </w:rPr>
        <w:t>在本公司网站[www.gffunds.com.cn]和中国证监会基金电子披露网站（http://eid.csrc.gov.cn/fund）披露</w:t>
      </w:r>
      <w:r w:rsidR="006C0590" w:rsidRPr="000073C0">
        <w:rPr>
          <w:rFonts w:ascii="仿宋" w:eastAsia="仿宋" w:hAnsi="仿宋"/>
          <w:color w:val="000000" w:themeColor="text1"/>
          <w:sz w:val="28"/>
          <w:szCs w:val="28"/>
        </w:rPr>
        <w:t>，供投资者查阅。</w:t>
      </w:r>
      <w:r w:rsidR="009D1BF0" w:rsidRPr="000073C0">
        <w:rPr>
          <w:rFonts w:ascii="仿宋" w:eastAsia="仿宋" w:hAnsi="仿宋" w:hint="eastAsia"/>
          <w:color w:val="000000" w:themeColor="text1"/>
          <w:sz w:val="28"/>
          <w:szCs w:val="28"/>
        </w:rPr>
        <w:t>具体基金明细如下：</w:t>
      </w:r>
    </w:p>
    <w:tbl>
      <w:tblPr>
        <w:tblW w:w="8080" w:type="dxa"/>
        <w:tblInd w:w="-5" w:type="dxa"/>
        <w:tblLook w:val="04A0"/>
      </w:tblPr>
      <w:tblGrid>
        <w:gridCol w:w="1080"/>
        <w:gridCol w:w="7000"/>
      </w:tblGrid>
      <w:tr w:rsidR="00D23A3F" w:rsidRPr="00D23A3F" w:rsidTr="00A17E38">
        <w:trPr>
          <w:trHeight w:val="285"/>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3A3F" w:rsidRPr="00A17E38" w:rsidRDefault="00D23A3F" w:rsidP="00A17E38">
            <w:pPr>
              <w:widowControl/>
              <w:jc w:val="center"/>
              <w:rPr>
                <w:rFonts w:ascii="仿宋" w:eastAsia="仿宋" w:hAnsi="仿宋" w:cs="宋体"/>
                <w:b/>
                <w:kern w:val="0"/>
                <w:sz w:val="24"/>
                <w:szCs w:val="24"/>
              </w:rPr>
            </w:pPr>
            <w:r w:rsidRPr="00A17E38">
              <w:rPr>
                <w:rFonts w:ascii="仿宋" w:eastAsia="仿宋" w:hAnsi="仿宋" w:cs="宋体" w:hint="eastAsia"/>
                <w:b/>
                <w:kern w:val="0"/>
                <w:sz w:val="24"/>
                <w:szCs w:val="24"/>
              </w:rPr>
              <w:t>序号</w:t>
            </w:r>
          </w:p>
        </w:tc>
        <w:tc>
          <w:tcPr>
            <w:tcW w:w="7000" w:type="dxa"/>
            <w:tcBorders>
              <w:top w:val="single" w:sz="4" w:space="0" w:color="auto"/>
              <w:left w:val="nil"/>
              <w:bottom w:val="single" w:sz="4" w:space="0" w:color="auto"/>
              <w:right w:val="single" w:sz="4" w:space="0" w:color="auto"/>
            </w:tcBorders>
            <w:shd w:val="clear" w:color="000000" w:fill="FFFFFF"/>
            <w:noWrap/>
            <w:vAlign w:val="center"/>
            <w:hideMark/>
          </w:tcPr>
          <w:p w:rsidR="00D23A3F" w:rsidRPr="00A17E38" w:rsidRDefault="00D23A3F" w:rsidP="00A17E38">
            <w:pPr>
              <w:widowControl/>
              <w:jc w:val="center"/>
              <w:rPr>
                <w:rFonts w:ascii="仿宋" w:eastAsia="仿宋" w:hAnsi="仿宋" w:cs="宋体"/>
                <w:b/>
                <w:kern w:val="0"/>
                <w:sz w:val="24"/>
                <w:szCs w:val="24"/>
              </w:rPr>
            </w:pPr>
            <w:r w:rsidRPr="00A17E38">
              <w:rPr>
                <w:rFonts w:ascii="仿宋" w:eastAsia="仿宋" w:hAnsi="仿宋" w:cs="宋体" w:hint="eastAsia"/>
                <w:b/>
                <w:kern w:val="0"/>
                <w:sz w:val="24"/>
                <w:szCs w:val="24"/>
              </w:rPr>
              <w:t>基金名单</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广发聚富开放式证券投资基金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2</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广发稳健增长开放式证券投资基金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3</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广发小盘成长混合型证券投资基金（LOF）</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4</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广发货币市场基金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5</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广发聚丰混合型证券投资基金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6</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广发策略优选混合型证券投资基金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7</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广发大盘成长混合型证券投资基金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8</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广发增强债券型证券投资基金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9</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广发核心精选混合型证券投资基金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10</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广发沪深300交易型开放式指数证券投资基金联接基金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11</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广发聚瑞混合型证券投资基金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lastRenderedPageBreak/>
              <w:t>12</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广发中证500交易型开放式指数证券投资基金联接基金(LOF)</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13</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广发内需增长灵活配置混合型证券投资基金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14</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广发全球精选股票型证券投资基金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15</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广发行业领先混合型证券投资基金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16</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广发中小板300交易型开放式指数证券投资基金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17</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广发中小板300交易型开放式指数证券投资基金联接基金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18</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广发聚利债券型证券投资基金（LOF）</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19</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广发制造业精选混合型证券投资基金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20</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广发聚财信用债券型证券投资基金</w:t>
            </w:r>
          </w:p>
        </w:tc>
      </w:tr>
      <w:tr w:rsidR="00D23A3F" w:rsidRPr="00D23A3F" w:rsidTr="00A17E38">
        <w:trPr>
          <w:trHeight w:val="48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21</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广发深证100指数证券投资基金（LOF）</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22</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广发消费品精选混合型证券投资基金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23</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广发理财年年红债券型证券投资基金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24</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广发纳斯达克100指数证券投资基金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25</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广发双债添利债券型证券投资基金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26</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广发纯债债券型证券投资基金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27</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广发景荣纯债债券型证券投资基金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28</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广发新经济混合型发起式证券投资基金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29</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广发中证500交易型开放式指数证券投资基金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30</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广发聚源债券型证券投资基金(LOF)</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31</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广发轮动配置混合型证券投资基金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32</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广发聚鑫债券型证券投资基金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33</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广发景宁纯债债券型证券投资基金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lastRenderedPageBreak/>
              <w:t>34</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广发美国房地产指数证券投资基金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35</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广发集利一年定期开放债券型证券投资基金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36</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广发趋势优选灵活配置混合型证券投资基金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37</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广发聚优灵活配置混合型证券投资基金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38</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广发天天红发起式货币市场基金</w:t>
            </w:r>
            <w:bookmarkStart w:id="0" w:name="_GoBack"/>
            <w:bookmarkEnd w:id="0"/>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39</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广发亚太中高收益债券型证券投资基金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40</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广发现金宝场内实时申赎货币市场基金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41</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广发全球医疗保健指数证券投资基金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42</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广发成长优选灵活配置混合型证券投资基金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43</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广发钱袋子货币市场基金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44</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广发天天利货币市场基金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45</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广发竞争优势灵活配置混合型证券投资基金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46</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广发新动力混合型证券投资基金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47</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广发聚祥灵活配置混合型证券投资基金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48</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广发中证全指可选消费交易型开放式指数证券投资基金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49</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广发主题领先灵活配置混合型证券投资基金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50</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广发活期宝货币市场基金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51</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广发逆向策略灵活配置混合型证券投资基金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52</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广发中证百度百发策略100指数型证券投资基金</w:t>
            </w:r>
          </w:p>
        </w:tc>
      </w:tr>
      <w:tr w:rsidR="00D23A3F" w:rsidRPr="00D23A3F" w:rsidTr="00A17E38">
        <w:trPr>
          <w:trHeight w:val="24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53</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广发中证全指医药卫生交易型开放式指数证券投资基金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54</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广发中证全指信息技术交易型开放式指数证券投资基金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55</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广发中证全指信息技术交易型开放式指数证券投资基金发起式联接基金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56</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广发对冲套利定期开放混合型发起式证券投资基金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57</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广发中证养老产业指数型发起式证券投资基金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58</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广发中证全指金融地产交易型开放式指数证券投资基金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59</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广发聚安混合型证券投资基金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60</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广发纳斯达克生物科技指数型发起式证券投资基金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61</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广发聚宝混合型证券投资基金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62</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广发中证全指可选消费交易型开放式指数证券投资基金发起式联接基金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63</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广发中证全指医药卫生交易型开放式指数证券投资基金发起式联接基金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64</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广发聚泰混合型证券投资基金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65</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广发纳斯达克100交易型开放式指数证券投资基金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66</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广发中证全指能源交易型开放式指数证券投资基金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67</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广发中证全指原材料交易型开放式指数证券投资基金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68</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广发中证全指金融地产交易型开放式指数证券投资基金发起式联接基金</w:t>
            </w:r>
          </w:p>
        </w:tc>
      </w:tr>
      <w:tr w:rsidR="00D23A3F" w:rsidRPr="00D23A3F" w:rsidTr="00A17E38">
        <w:trPr>
          <w:trHeight w:val="48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69</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广发中证医疗指数证券投资基金（LOF）</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70</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广发改革先锋灵活配置混合型证券投资基金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71</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广发沪深300交易型开放式指数证券投资基金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72</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广发百发大数据策略精选灵活配置混合型证券投资基金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73</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广发百发大数据策略成长灵活配置混合型证券投资基金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74</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广发聚盛灵活配置混合型证券投资基金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75</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广发多策略灵活配置混合型证券投资基金</w:t>
            </w:r>
          </w:p>
        </w:tc>
      </w:tr>
      <w:tr w:rsidR="00D23A3F" w:rsidRPr="00D23A3F" w:rsidTr="00A17E38">
        <w:trPr>
          <w:trHeight w:val="41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76</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广发安宏回报灵活配置混合型证券投资基金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77</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广发鑫享灵活配置混合型证券投资基金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78</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广发新兴产业精选灵活配置混合型证券投资基金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79</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广发安享灵活配置混合型证券投资基金</w:t>
            </w:r>
          </w:p>
        </w:tc>
      </w:tr>
      <w:tr w:rsidR="00D23A3F" w:rsidRPr="00D23A3F" w:rsidTr="00A17E38">
        <w:trPr>
          <w:trHeight w:val="43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80</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广发鑫裕灵活配置混合型证券投资基金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81</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广发集裕债券型证券投资基金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82</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广发沪港深新机遇股票型证券投资基金</w:t>
            </w:r>
          </w:p>
        </w:tc>
      </w:tr>
      <w:tr w:rsidR="00D23A3F" w:rsidRPr="00D23A3F" w:rsidTr="00A17E38">
        <w:trPr>
          <w:trHeight w:val="48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83</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广发优企精选灵活配置混合型证券投资基金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84</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广发创新升级灵活配置混合型证券投资基金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85</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广发中证军工交易型开放式指数证券投资基金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86</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广发中证军工交易型开放式指数证券投资基金发起式联接基金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87</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广发中债7-10年期国开行债券指数证券投资基金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88</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广发集丰债券型证券投资基金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89</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广发沪港深新起点股票型证券投资基金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90</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广发鑫源灵活配置混合型证券投资基金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91</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广发安悦回报灵活配置混合型证券投资基金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92</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广发鑫益灵活配置混合型证券投资基金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93</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广发集瑞债券型证券投资基金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94</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广发添利交易型货币市场基金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95</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广发景丰纯债债券型证券投资基金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96</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广发景华纯债债券型证券投资基金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97</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广发安盈灵活配置混合型证券投资基金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98</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广发多因子灵活配置混合型证券投资基金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99</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广发集富纯债债券型证券投资基金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100</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广发集源债券型证券投资基金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101</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广发中证环保产业交易型开放式指数证券投资基金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102</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广发汇富一年定期开放债券型证券投资基金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103</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广发景源纯债债券型证券投资基金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104</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广发道琼斯美国石油开发与生产指数证券投资基金（QDII-LOF）</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105</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广发景祥纯债债券型证券投资基金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106</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广发汇安18个月定期开放债券型证券投资基金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107</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广发创业板交易型开放式指数证券投资基金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108</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广发多元新兴股票型证券投资基金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109</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广发创业板交易型开放式指数证券投资基金发起式联接基金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110</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广发创新驱动灵活配置混合型证券投资基金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111</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广发中证全指工业交易型开放式指数证券投资基金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112</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广发百发大数据策略价值灵活配置混合型证券投资基金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113</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广发中证全指汽车指数型发起式证券投资基金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114</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广发中证全指建筑材料指数型发起式证券投资基金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115</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广发医疗保健股票型证券投资基金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116</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广发高端制造股票型发起式证券投资基金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117</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广发中证全指家用电器指数型发起式证券投资基金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118</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广发新兴成长灵活配置混合型证券投资基金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119</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广发港股通恒生综合中型股指数证券投资基金(LOF)</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120</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广发价值回报混合型证券投资基金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121</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广发电子信息传媒产业精选股票型发起式证券投资基金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122</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广发东财大数据精选灵活配置混合型证券投资基金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123</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广发资源优选股票型发起式证券投资基金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124</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广发睿毅领先混合型证券投资基金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125</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广发品牌消费股票型发起式证券投资基金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126</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广发中证传媒交易型开放式指数证券投资基金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127</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广发中证传媒交易型开放式指数证券投资基金发起式联接基金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128</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广发鑫和灵活配置混合型证券投资基金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129</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广发汇吉3个月定期开放债券型发起式证券投资基金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130</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广发中证基建工程指数型发起式证券投资基金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131</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广发海外多元配置证券投资基金（QDII）</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132</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广发汇佳定期开放债券型发起式证券投资基金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133</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广发鑫惠纯债定期开放债券型发起式证券投资基金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134</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广发沪港深行业龙头混合型证券投资基金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135</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广发量化多因子灵活配置混合型证券投资基金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136</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广发再融资主题灵活配置混合型证券投资基金（LOF）</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137</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广发汇元纯债定期开放债券型发起式证券投资基金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138</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广发汇康定期开放债券型发起式证券投资基金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139</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广发中证京津冀协同发展主题交易型开放式指数证券投资基金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140</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广发中证京津冀协同发展主题交易型开放式指数证券投资基金发起式联接基金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141</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广发中债1-3年农发行债券指数证券投资基金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142</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广发中证环保产业交易型开放式指数证券投资基金发起式联接基金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143</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广发中小盘精选混合型证券投资基金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144</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广发科技动力股票型证券投资基金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145</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广发汇瑞3个月定期开放债券型发起式证券投资基金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146</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广发汇誉3个月定期开放债券型发起式证券投资基金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147</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广发沪深300指数增强型发起式证券投资基金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148</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广发龙头优选灵活配置混合型证券投资基金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149</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广发估值优势混合型证券投资基金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150</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广发汇承定期开放债券型发起式证券投资基金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151</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广发汇兴3个月定期开放债券型发起式证券投资基金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152</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广发安泽短债债券型证券投资基金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153</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广发双擎升级混合型证券投资基金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154</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广发中证1000指数型发起式证券投资基金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155</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广发可转债债券型发起式证券投资基金</w:t>
            </w:r>
          </w:p>
        </w:tc>
      </w:tr>
      <w:tr w:rsidR="00D23A3F" w:rsidRPr="00D23A3F" w:rsidTr="00A17E38">
        <w:trPr>
          <w:trHeight w:val="534"/>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156</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广发景智纯债债券型证券投资基金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157</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广发中债1-3年国开行债券指数证券投资基金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158</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广发景润纯债债券型证券投资基金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159</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广发景明中短债债券型证券投资基金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160</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广发汇立定期开放债券型发起式证券投资基金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161</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广发稳健养老目标一年持有期混合型基金中基金（FOF）</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162</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广发集嘉债券型证券投资基金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163</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广发趋势动力灵活配置混合型证券投资基金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164</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广发招财短债债券型证券投资基金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165</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广发睿阳三年定期开放混合型证券投资基金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166</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广发稳安灵活配置混合型证券投资基金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167</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广发利鑫灵活配置混合型证券投资基金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168</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广发稳健策略混合型证券投资基金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169</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广发恒生中国企业精明指数型发起式证券投资基金（QDII）</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170</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广发景和中短债债券型证券投资基金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171</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广发景兴中短债债券型证券投资基金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172</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广发景秀纯债债券型证券投资基金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173</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广发养老目标日期2050五年持有期混合型发起式基金中基金（FOF）</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174</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广发港股通优质增长混合型证券投资基金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175</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广发汇宏6个月定期开放债券型发起式证券投资基金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176</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color w:val="000000"/>
                <w:kern w:val="0"/>
                <w:sz w:val="24"/>
                <w:szCs w:val="24"/>
              </w:rPr>
            </w:pPr>
            <w:r w:rsidRPr="00D23A3F">
              <w:rPr>
                <w:rFonts w:ascii="仿宋" w:eastAsia="仿宋" w:hAnsi="仿宋" w:cs="宋体" w:hint="eastAsia"/>
                <w:color w:val="000000"/>
                <w:kern w:val="0"/>
                <w:sz w:val="24"/>
                <w:szCs w:val="24"/>
              </w:rPr>
              <w:t>广发消费升级股票型证券投资基金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177</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color w:val="000000"/>
                <w:kern w:val="0"/>
                <w:sz w:val="24"/>
                <w:szCs w:val="24"/>
              </w:rPr>
            </w:pPr>
            <w:r w:rsidRPr="00D23A3F">
              <w:rPr>
                <w:rFonts w:ascii="仿宋" w:eastAsia="仿宋" w:hAnsi="仿宋" w:cs="宋体" w:hint="eastAsia"/>
                <w:color w:val="000000"/>
                <w:kern w:val="0"/>
                <w:sz w:val="24"/>
                <w:szCs w:val="24"/>
              </w:rPr>
              <w:t>广发中证100交易型开放式指数证券投资基金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178</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color w:val="000000"/>
                <w:kern w:val="0"/>
                <w:sz w:val="24"/>
                <w:szCs w:val="24"/>
              </w:rPr>
            </w:pPr>
            <w:r w:rsidRPr="00D23A3F">
              <w:rPr>
                <w:rFonts w:ascii="仿宋" w:eastAsia="仿宋" w:hAnsi="仿宋" w:cs="宋体" w:hint="eastAsia"/>
                <w:color w:val="000000"/>
                <w:kern w:val="0"/>
                <w:sz w:val="24"/>
                <w:szCs w:val="24"/>
              </w:rPr>
              <w:t>广发中证100交易型开放式指数证券投资基金发起式联接基金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179</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color w:val="000000"/>
                <w:kern w:val="0"/>
                <w:sz w:val="24"/>
                <w:szCs w:val="24"/>
              </w:rPr>
            </w:pPr>
            <w:r w:rsidRPr="00D23A3F">
              <w:rPr>
                <w:rFonts w:ascii="仿宋" w:eastAsia="仿宋" w:hAnsi="仿宋" w:cs="宋体" w:hint="eastAsia"/>
                <w:color w:val="000000"/>
                <w:kern w:val="0"/>
                <w:sz w:val="24"/>
                <w:szCs w:val="24"/>
              </w:rPr>
              <w:t>广发科创主题3年封闭运作灵活配置混合型证券投资基金</w:t>
            </w:r>
          </w:p>
        </w:tc>
      </w:tr>
      <w:tr w:rsidR="00D23A3F" w:rsidRPr="00D23A3F" w:rsidTr="00A17E38">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color w:val="000000"/>
                <w:kern w:val="0"/>
                <w:sz w:val="24"/>
                <w:szCs w:val="24"/>
              </w:rPr>
            </w:pPr>
            <w:r w:rsidRPr="00D23A3F">
              <w:rPr>
                <w:rFonts w:ascii="仿宋" w:eastAsia="仿宋" w:hAnsi="仿宋" w:cs="宋体" w:hint="eastAsia"/>
                <w:color w:val="000000"/>
                <w:kern w:val="0"/>
                <w:sz w:val="24"/>
                <w:szCs w:val="24"/>
              </w:rPr>
              <w:t>180</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color w:val="000000"/>
                <w:kern w:val="0"/>
                <w:sz w:val="24"/>
                <w:szCs w:val="24"/>
              </w:rPr>
            </w:pPr>
            <w:r w:rsidRPr="00D23A3F">
              <w:rPr>
                <w:rFonts w:ascii="仿宋" w:eastAsia="仿宋" w:hAnsi="仿宋" w:cs="宋体" w:hint="eastAsia"/>
                <w:color w:val="000000"/>
                <w:kern w:val="0"/>
                <w:sz w:val="24"/>
                <w:szCs w:val="24"/>
              </w:rPr>
              <w:t>广发均衡价值混合型证券投资基金</w:t>
            </w:r>
          </w:p>
        </w:tc>
      </w:tr>
      <w:tr w:rsidR="00D23A3F" w:rsidRPr="00D23A3F" w:rsidTr="00A17E38">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color w:val="000000"/>
                <w:kern w:val="0"/>
                <w:sz w:val="24"/>
                <w:szCs w:val="24"/>
              </w:rPr>
            </w:pPr>
            <w:r w:rsidRPr="00D23A3F">
              <w:rPr>
                <w:rFonts w:ascii="仿宋" w:eastAsia="仿宋" w:hAnsi="仿宋" w:cs="宋体" w:hint="eastAsia"/>
                <w:color w:val="000000"/>
                <w:kern w:val="0"/>
                <w:sz w:val="24"/>
                <w:szCs w:val="24"/>
              </w:rPr>
              <w:t>181</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color w:val="000000"/>
                <w:kern w:val="0"/>
                <w:sz w:val="24"/>
                <w:szCs w:val="24"/>
              </w:rPr>
            </w:pPr>
            <w:r w:rsidRPr="00D23A3F">
              <w:rPr>
                <w:rFonts w:ascii="仿宋" w:eastAsia="仿宋" w:hAnsi="仿宋" w:cs="宋体" w:hint="eastAsia"/>
                <w:color w:val="000000"/>
                <w:kern w:val="0"/>
                <w:sz w:val="24"/>
                <w:szCs w:val="24"/>
              </w:rPr>
              <w:t>广发稳裕混合型证券投资基金</w:t>
            </w:r>
          </w:p>
        </w:tc>
      </w:tr>
      <w:tr w:rsidR="00D23A3F" w:rsidRPr="00D23A3F" w:rsidTr="00A17E38">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color w:val="000000"/>
                <w:kern w:val="0"/>
                <w:sz w:val="24"/>
                <w:szCs w:val="24"/>
              </w:rPr>
            </w:pPr>
            <w:r w:rsidRPr="00D23A3F">
              <w:rPr>
                <w:rFonts w:ascii="仿宋" w:eastAsia="仿宋" w:hAnsi="仿宋" w:cs="宋体" w:hint="eastAsia"/>
                <w:color w:val="000000"/>
                <w:kern w:val="0"/>
                <w:sz w:val="24"/>
                <w:szCs w:val="24"/>
              </w:rPr>
              <w:t>182</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color w:val="000000"/>
                <w:kern w:val="0"/>
                <w:sz w:val="24"/>
                <w:szCs w:val="24"/>
              </w:rPr>
            </w:pPr>
            <w:r w:rsidRPr="00D23A3F">
              <w:rPr>
                <w:rFonts w:ascii="仿宋" w:eastAsia="仿宋" w:hAnsi="仿宋" w:cs="宋体" w:hint="eastAsia"/>
                <w:color w:val="000000"/>
                <w:kern w:val="0"/>
                <w:sz w:val="24"/>
                <w:szCs w:val="24"/>
              </w:rPr>
              <w:t>广发景利纯债债券型证券投资基金</w:t>
            </w:r>
          </w:p>
        </w:tc>
      </w:tr>
      <w:tr w:rsidR="00D23A3F" w:rsidRPr="00D23A3F" w:rsidTr="00A17E38">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color w:val="000000"/>
                <w:kern w:val="0"/>
                <w:sz w:val="24"/>
                <w:szCs w:val="24"/>
              </w:rPr>
            </w:pPr>
            <w:r w:rsidRPr="00D23A3F">
              <w:rPr>
                <w:rFonts w:ascii="仿宋" w:eastAsia="仿宋" w:hAnsi="仿宋" w:cs="宋体" w:hint="eastAsia"/>
                <w:color w:val="000000"/>
                <w:kern w:val="0"/>
                <w:sz w:val="24"/>
                <w:szCs w:val="24"/>
              </w:rPr>
              <w:t>183</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color w:val="000000"/>
                <w:kern w:val="0"/>
                <w:sz w:val="24"/>
                <w:szCs w:val="24"/>
              </w:rPr>
            </w:pPr>
            <w:r w:rsidRPr="00D23A3F">
              <w:rPr>
                <w:rFonts w:ascii="仿宋" w:eastAsia="仿宋" w:hAnsi="仿宋" w:cs="宋体" w:hint="eastAsia"/>
                <w:color w:val="000000"/>
                <w:kern w:val="0"/>
                <w:sz w:val="24"/>
                <w:szCs w:val="24"/>
              </w:rPr>
              <w:t>广发政策性金融债债券型证券投资基金</w:t>
            </w:r>
          </w:p>
        </w:tc>
      </w:tr>
      <w:tr w:rsidR="00D23A3F" w:rsidRPr="00D23A3F" w:rsidTr="00A17E38">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color w:val="000000"/>
                <w:kern w:val="0"/>
                <w:sz w:val="24"/>
                <w:szCs w:val="24"/>
              </w:rPr>
            </w:pPr>
            <w:r w:rsidRPr="00D23A3F">
              <w:rPr>
                <w:rFonts w:ascii="仿宋" w:eastAsia="仿宋" w:hAnsi="仿宋" w:cs="宋体" w:hint="eastAsia"/>
                <w:color w:val="000000"/>
                <w:kern w:val="0"/>
                <w:sz w:val="24"/>
                <w:szCs w:val="24"/>
              </w:rPr>
              <w:t>184</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color w:val="000000"/>
                <w:kern w:val="0"/>
                <w:sz w:val="24"/>
                <w:szCs w:val="24"/>
              </w:rPr>
            </w:pPr>
            <w:r w:rsidRPr="00D23A3F">
              <w:rPr>
                <w:rFonts w:ascii="仿宋" w:eastAsia="仿宋" w:hAnsi="仿宋" w:cs="宋体" w:hint="eastAsia"/>
                <w:color w:val="000000"/>
                <w:kern w:val="0"/>
                <w:sz w:val="24"/>
                <w:szCs w:val="24"/>
              </w:rPr>
              <w:t>广发睿享稳健增利混合型证券投资基金</w:t>
            </w:r>
          </w:p>
        </w:tc>
      </w:tr>
      <w:tr w:rsidR="00D23A3F" w:rsidRPr="00D23A3F" w:rsidTr="00A17E38">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color w:val="000000"/>
                <w:kern w:val="0"/>
                <w:sz w:val="24"/>
                <w:szCs w:val="24"/>
              </w:rPr>
            </w:pPr>
            <w:r w:rsidRPr="00D23A3F">
              <w:rPr>
                <w:rFonts w:ascii="仿宋" w:eastAsia="仿宋" w:hAnsi="仿宋" w:cs="宋体" w:hint="eastAsia"/>
                <w:color w:val="000000"/>
                <w:kern w:val="0"/>
                <w:sz w:val="24"/>
                <w:szCs w:val="24"/>
              </w:rPr>
              <w:t>185</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color w:val="000000"/>
                <w:kern w:val="0"/>
                <w:sz w:val="24"/>
                <w:szCs w:val="24"/>
              </w:rPr>
            </w:pPr>
            <w:r w:rsidRPr="00D23A3F">
              <w:rPr>
                <w:rFonts w:ascii="仿宋" w:eastAsia="仿宋" w:hAnsi="仿宋" w:cs="宋体" w:hint="eastAsia"/>
                <w:color w:val="000000"/>
                <w:kern w:val="0"/>
                <w:sz w:val="24"/>
                <w:szCs w:val="24"/>
              </w:rPr>
              <w:t>广发中证央企创新驱动交易型开放式指数证券投资基金</w:t>
            </w:r>
          </w:p>
        </w:tc>
      </w:tr>
      <w:tr w:rsidR="00D23A3F" w:rsidRPr="00D23A3F" w:rsidTr="00A17E38">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color w:val="000000"/>
                <w:kern w:val="0"/>
                <w:sz w:val="24"/>
                <w:szCs w:val="24"/>
              </w:rPr>
            </w:pPr>
            <w:r w:rsidRPr="00D23A3F">
              <w:rPr>
                <w:rFonts w:ascii="仿宋" w:eastAsia="仿宋" w:hAnsi="仿宋" w:cs="宋体" w:hint="eastAsia"/>
                <w:color w:val="000000"/>
                <w:kern w:val="0"/>
                <w:sz w:val="24"/>
                <w:szCs w:val="24"/>
              </w:rPr>
              <w:t>186</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color w:val="000000"/>
                <w:kern w:val="0"/>
                <w:sz w:val="24"/>
                <w:szCs w:val="24"/>
              </w:rPr>
            </w:pPr>
            <w:r w:rsidRPr="00D23A3F">
              <w:rPr>
                <w:rFonts w:ascii="仿宋" w:eastAsia="仿宋" w:hAnsi="仿宋" w:cs="宋体" w:hint="eastAsia"/>
                <w:color w:val="000000"/>
                <w:kern w:val="0"/>
                <w:sz w:val="24"/>
                <w:szCs w:val="24"/>
              </w:rPr>
              <w:t>广发均衡养老目标三年持有期混合型基金中基金（FOF）</w:t>
            </w:r>
          </w:p>
        </w:tc>
      </w:tr>
      <w:tr w:rsidR="00D23A3F" w:rsidRPr="00D23A3F" w:rsidTr="00A17E38">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color w:val="000000"/>
                <w:kern w:val="0"/>
                <w:sz w:val="24"/>
                <w:szCs w:val="24"/>
              </w:rPr>
            </w:pPr>
            <w:r w:rsidRPr="00D23A3F">
              <w:rPr>
                <w:rFonts w:ascii="仿宋" w:eastAsia="仿宋" w:hAnsi="仿宋" w:cs="宋体" w:hint="eastAsia"/>
                <w:color w:val="000000"/>
                <w:kern w:val="0"/>
                <w:sz w:val="24"/>
                <w:szCs w:val="24"/>
              </w:rPr>
              <w:t>187</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color w:val="000000"/>
                <w:kern w:val="0"/>
                <w:sz w:val="24"/>
                <w:szCs w:val="24"/>
              </w:rPr>
            </w:pPr>
            <w:r w:rsidRPr="00D23A3F">
              <w:rPr>
                <w:rFonts w:ascii="仿宋" w:eastAsia="仿宋" w:hAnsi="仿宋" w:cs="宋体" w:hint="eastAsia"/>
                <w:color w:val="000000"/>
                <w:kern w:val="0"/>
                <w:sz w:val="24"/>
                <w:szCs w:val="24"/>
              </w:rPr>
              <w:t>广发景富纯债债券型证券投资基金</w:t>
            </w:r>
          </w:p>
        </w:tc>
      </w:tr>
      <w:tr w:rsidR="00D23A3F" w:rsidRPr="00D23A3F" w:rsidTr="00A17E38">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color w:val="000000"/>
                <w:kern w:val="0"/>
                <w:sz w:val="24"/>
                <w:szCs w:val="24"/>
              </w:rPr>
            </w:pPr>
            <w:r w:rsidRPr="00D23A3F">
              <w:rPr>
                <w:rFonts w:ascii="仿宋" w:eastAsia="仿宋" w:hAnsi="仿宋" w:cs="宋体" w:hint="eastAsia"/>
                <w:color w:val="000000"/>
                <w:kern w:val="0"/>
                <w:sz w:val="24"/>
                <w:szCs w:val="24"/>
              </w:rPr>
              <w:t>188</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color w:val="000000"/>
                <w:kern w:val="0"/>
                <w:sz w:val="24"/>
                <w:szCs w:val="24"/>
              </w:rPr>
            </w:pPr>
            <w:r w:rsidRPr="00D23A3F">
              <w:rPr>
                <w:rFonts w:ascii="仿宋" w:eastAsia="仿宋" w:hAnsi="仿宋" w:cs="宋体" w:hint="eastAsia"/>
                <w:color w:val="000000"/>
                <w:kern w:val="0"/>
                <w:sz w:val="24"/>
                <w:szCs w:val="24"/>
              </w:rPr>
              <w:t>广发中证央企创新驱动交易型开放式指数证券投资基金联接基金</w:t>
            </w:r>
          </w:p>
        </w:tc>
      </w:tr>
      <w:tr w:rsidR="00D23A3F" w:rsidRPr="00D23A3F" w:rsidTr="00A17E38">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color w:val="000000"/>
                <w:kern w:val="0"/>
                <w:sz w:val="24"/>
                <w:szCs w:val="24"/>
              </w:rPr>
            </w:pPr>
            <w:r w:rsidRPr="00D23A3F">
              <w:rPr>
                <w:rFonts w:ascii="仿宋" w:eastAsia="仿宋" w:hAnsi="仿宋" w:cs="宋体" w:hint="eastAsia"/>
                <w:color w:val="000000"/>
                <w:kern w:val="0"/>
                <w:sz w:val="24"/>
                <w:szCs w:val="24"/>
              </w:rPr>
              <w:t>189</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color w:val="000000"/>
                <w:kern w:val="0"/>
                <w:sz w:val="24"/>
                <w:szCs w:val="24"/>
              </w:rPr>
            </w:pPr>
            <w:r w:rsidRPr="00D23A3F">
              <w:rPr>
                <w:rFonts w:ascii="仿宋" w:eastAsia="仿宋" w:hAnsi="仿宋" w:cs="宋体" w:hint="eastAsia"/>
                <w:color w:val="000000"/>
                <w:kern w:val="0"/>
                <w:sz w:val="24"/>
                <w:szCs w:val="24"/>
              </w:rPr>
              <w:t>广发中债农发行债券总指数证券投资基金</w:t>
            </w:r>
          </w:p>
        </w:tc>
      </w:tr>
      <w:tr w:rsidR="00D23A3F" w:rsidRPr="00D23A3F" w:rsidTr="00A17E38">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color w:val="000000"/>
                <w:kern w:val="0"/>
                <w:sz w:val="24"/>
                <w:szCs w:val="24"/>
              </w:rPr>
            </w:pPr>
            <w:r w:rsidRPr="00D23A3F">
              <w:rPr>
                <w:rFonts w:ascii="仿宋" w:eastAsia="仿宋" w:hAnsi="仿宋" w:cs="宋体" w:hint="eastAsia"/>
                <w:color w:val="000000"/>
                <w:kern w:val="0"/>
                <w:sz w:val="24"/>
                <w:szCs w:val="24"/>
              </w:rPr>
              <w:t>190</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color w:val="000000"/>
                <w:kern w:val="0"/>
                <w:sz w:val="24"/>
                <w:szCs w:val="24"/>
              </w:rPr>
            </w:pPr>
            <w:r w:rsidRPr="00D23A3F">
              <w:rPr>
                <w:rFonts w:ascii="仿宋" w:eastAsia="仿宋" w:hAnsi="仿宋" w:cs="宋体" w:hint="eastAsia"/>
                <w:color w:val="000000"/>
                <w:kern w:val="0"/>
                <w:sz w:val="24"/>
                <w:szCs w:val="24"/>
              </w:rPr>
              <w:t>广发汇阳三个月定期开放债券型发起式证券投资基金</w:t>
            </w:r>
          </w:p>
        </w:tc>
      </w:tr>
      <w:tr w:rsidR="00D23A3F" w:rsidRPr="00D23A3F" w:rsidTr="00A17E38">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color w:val="000000"/>
                <w:kern w:val="0"/>
                <w:sz w:val="24"/>
                <w:szCs w:val="24"/>
              </w:rPr>
            </w:pPr>
            <w:r w:rsidRPr="00D23A3F">
              <w:rPr>
                <w:rFonts w:ascii="仿宋" w:eastAsia="仿宋" w:hAnsi="仿宋" w:cs="宋体" w:hint="eastAsia"/>
                <w:color w:val="000000"/>
                <w:kern w:val="0"/>
                <w:sz w:val="24"/>
                <w:szCs w:val="24"/>
              </w:rPr>
              <w:t>191</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color w:val="000000"/>
                <w:kern w:val="0"/>
                <w:sz w:val="24"/>
                <w:szCs w:val="24"/>
              </w:rPr>
            </w:pPr>
            <w:r w:rsidRPr="00D23A3F">
              <w:rPr>
                <w:rFonts w:ascii="仿宋" w:eastAsia="仿宋" w:hAnsi="仿宋" w:cs="宋体" w:hint="eastAsia"/>
                <w:color w:val="000000"/>
                <w:kern w:val="0"/>
                <w:sz w:val="24"/>
                <w:szCs w:val="24"/>
              </w:rPr>
              <w:t>广发锐意进取3个月持有期混合型发起式基金中基金（FOF）</w:t>
            </w:r>
          </w:p>
        </w:tc>
      </w:tr>
      <w:tr w:rsidR="00D23A3F" w:rsidRPr="00D23A3F" w:rsidTr="00A17E38">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color w:val="000000"/>
                <w:kern w:val="0"/>
                <w:sz w:val="24"/>
                <w:szCs w:val="24"/>
              </w:rPr>
            </w:pPr>
            <w:r w:rsidRPr="00D23A3F">
              <w:rPr>
                <w:rFonts w:ascii="仿宋" w:eastAsia="仿宋" w:hAnsi="仿宋" w:cs="宋体" w:hint="eastAsia"/>
                <w:color w:val="000000"/>
                <w:kern w:val="0"/>
                <w:sz w:val="24"/>
                <w:szCs w:val="24"/>
              </w:rPr>
              <w:t>192</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广发景辉纯债债券型证券投资基金</w:t>
            </w:r>
          </w:p>
        </w:tc>
      </w:tr>
      <w:tr w:rsidR="00D23A3F" w:rsidRPr="00D23A3F" w:rsidTr="00A17E38">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color w:val="000000"/>
                <w:kern w:val="0"/>
                <w:sz w:val="24"/>
                <w:szCs w:val="24"/>
              </w:rPr>
            </w:pPr>
            <w:r w:rsidRPr="00D23A3F">
              <w:rPr>
                <w:rFonts w:ascii="仿宋" w:eastAsia="仿宋" w:hAnsi="仿宋" w:cs="宋体" w:hint="eastAsia"/>
                <w:color w:val="000000"/>
                <w:kern w:val="0"/>
                <w:sz w:val="24"/>
                <w:szCs w:val="24"/>
              </w:rPr>
              <w:t>193</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广发汇优66个月定期开放债券型证券投资基金</w:t>
            </w:r>
          </w:p>
        </w:tc>
      </w:tr>
      <w:tr w:rsidR="00D23A3F" w:rsidRPr="00D23A3F" w:rsidTr="00A17E38">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color w:val="000000"/>
                <w:kern w:val="0"/>
                <w:sz w:val="24"/>
                <w:szCs w:val="24"/>
              </w:rPr>
            </w:pPr>
            <w:r w:rsidRPr="00D23A3F">
              <w:rPr>
                <w:rFonts w:ascii="仿宋" w:eastAsia="仿宋" w:hAnsi="仿宋" w:cs="宋体" w:hint="eastAsia"/>
                <w:color w:val="000000"/>
                <w:kern w:val="0"/>
                <w:sz w:val="24"/>
                <w:szCs w:val="24"/>
              </w:rPr>
              <w:t>194</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广发粤港澳大湾区创新100交易型开放式指数证券投资基金</w:t>
            </w:r>
          </w:p>
        </w:tc>
      </w:tr>
      <w:tr w:rsidR="00D23A3F" w:rsidRPr="00D23A3F" w:rsidTr="00A17E38">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color w:val="000000"/>
                <w:kern w:val="0"/>
                <w:sz w:val="24"/>
                <w:szCs w:val="24"/>
              </w:rPr>
            </w:pPr>
            <w:r w:rsidRPr="00D23A3F">
              <w:rPr>
                <w:rFonts w:ascii="仿宋" w:eastAsia="仿宋" w:hAnsi="仿宋" w:cs="宋体" w:hint="eastAsia"/>
                <w:color w:val="000000"/>
                <w:kern w:val="0"/>
                <w:sz w:val="24"/>
                <w:szCs w:val="24"/>
              </w:rPr>
              <w:t>195</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广发科技创新混合型证券投资基金</w:t>
            </w:r>
          </w:p>
        </w:tc>
      </w:tr>
      <w:tr w:rsidR="00D23A3F" w:rsidRPr="00D23A3F" w:rsidTr="00A17E38">
        <w:trPr>
          <w:trHeight w:val="30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196</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广发优势增长股票型证券投资基金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197</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广发汇利一年定期开放债券型发起式证券投资基金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198</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广发高股息优享混合型证券投资基金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199</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广发国证半导体芯片交易型开放式指数证券投资基金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200</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广发民玉纯债债券型证券投资基金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201</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广发汇成一年定期开放债券型发起式证券投资基金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202</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广发科技先锋混合型证券投资基金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203</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广发汇择纯债一年定期开放债券型证券投资基金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204</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广发汇达纯债3个月定期开放债券型发起式证券投资基金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205</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广发价值优势混合型证券投资基金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206</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广发招泰混合型证券投资基金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207</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广发恒隆一年持有期混合型证券投资基金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208</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广发优质生活混合型证券投资基金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209</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广发中证800交易型开放式指数证券投资基金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210</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广发招享混合型证券投资基金</w:t>
            </w:r>
          </w:p>
        </w:tc>
      </w:tr>
      <w:tr w:rsidR="00D23A3F" w:rsidRPr="00D23A3F" w:rsidTr="00A17E38">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211</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广发上海清算所0-4年央企80债券指数证券投资基金</w:t>
            </w:r>
          </w:p>
        </w:tc>
      </w:tr>
      <w:tr w:rsidR="00D23A3F" w:rsidRPr="00D23A3F" w:rsidTr="00A17E3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212</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广发价值领先混合型证券投资基金</w:t>
            </w:r>
          </w:p>
        </w:tc>
      </w:tr>
      <w:tr w:rsidR="00D23A3F" w:rsidRPr="00D23A3F" w:rsidTr="00A17E3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213</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广发粤港澳大湾区创新100交易型开放式指数证券投资基金联接基金</w:t>
            </w:r>
          </w:p>
        </w:tc>
      </w:tr>
      <w:tr w:rsidR="00D23A3F" w:rsidRPr="00D23A3F" w:rsidTr="00A17E3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214</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广发养老目标日期2040三年持有期混合型发起式基金中基金（FOF）</w:t>
            </w:r>
          </w:p>
        </w:tc>
      </w:tr>
      <w:tr w:rsidR="00D23A3F" w:rsidRPr="00D23A3F" w:rsidTr="00A17E3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215</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广发品质回报混合型证券投资基金</w:t>
            </w:r>
          </w:p>
        </w:tc>
      </w:tr>
      <w:tr w:rsidR="00D23A3F" w:rsidRPr="00D23A3F" w:rsidTr="00A17E3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216</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广发中债3-5年政策性金融债指数证券投资基金</w:t>
            </w:r>
          </w:p>
        </w:tc>
      </w:tr>
      <w:tr w:rsidR="00D23A3F" w:rsidRPr="00D23A3F" w:rsidTr="00A17E3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217</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广发聚荣一年持有期混合型证券投资基金</w:t>
            </w:r>
          </w:p>
        </w:tc>
      </w:tr>
      <w:tr w:rsidR="00D23A3F" w:rsidRPr="00D23A3F" w:rsidTr="00A17E3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218</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广发上海金交易型开放式证券投资基金</w:t>
            </w:r>
          </w:p>
        </w:tc>
      </w:tr>
      <w:tr w:rsidR="00D23A3F" w:rsidRPr="00D23A3F" w:rsidTr="00A17E3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23A3F" w:rsidRPr="00D23A3F" w:rsidRDefault="00D23A3F" w:rsidP="00D23A3F">
            <w:pPr>
              <w:widowControl/>
              <w:jc w:val="center"/>
              <w:rPr>
                <w:rFonts w:ascii="仿宋" w:eastAsia="仿宋" w:hAnsi="仿宋" w:cs="宋体"/>
                <w:kern w:val="0"/>
                <w:sz w:val="24"/>
                <w:szCs w:val="24"/>
              </w:rPr>
            </w:pPr>
            <w:r w:rsidRPr="00D23A3F">
              <w:rPr>
                <w:rFonts w:ascii="仿宋" w:eastAsia="仿宋" w:hAnsi="仿宋" w:cs="宋体" w:hint="eastAsia"/>
                <w:kern w:val="0"/>
                <w:sz w:val="24"/>
                <w:szCs w:val="24"/>
              </w:rPr>
              <w:t>219</w:t>
            </w:r>
          </w:p>
        </w:tc>
        <w:tc>
          <w:tcPr>
            <w:tcW w:w="7000" w:type="dxa"/>
            <w:tcBorders>
              <w:top w:val="nil"/>
              <w:left w:val="nil"/>
              <w:bottom w:val="single" w:sz="4" w:space="0" w:color="auto"/>
              <w:right w:val="single" w:sz="4" w:space="0" w:color="auto"/>
            </w:tcBorders>
            <w:shd w:val="clear" w:color="000000" w:fill="FFFFFF"/>
            <w:noWrap/>
            <w:vAlign w:val="center"/>
            <w:hideMark/>
          </w:tcPr>
          <w:p w:rsidR="00D23A3F" w:rsidRPr="00D23A3F" w:rsidRDefault="00D23A3F" w:rsidP="00D23A3F">
            <w:pPr>
              <w:widowControl/>
              <w:jc w:val="left"/>
              <w:rPr>
                <w:rFonts w:ascii="仿宋" w:eastAsia="仿宋" w:hAnsi="仿宋" w:cs="宋体"/>
                <w:kern w:val="0"/>
                <w:sz w:val="24"/>
                <w:szCs w:val="24"/>
              </w:rPr>
            </w:pPr>
            <w:r w:rsidRPr="00D23A3F">
              <w:rPr>
                <w:rFonts w:ascii="仿宋" w:eastAsia="仿宋" w:hAnsi="仿宋" w:cs="宋体" w:hint="eastAsia"/>
                <w:kern w:val="0"/>
                <w:sz w:val="24"/>
                <w:szCs w:val="24"/>
              </w:rPr>
              <w:t>广发汇浦三年定期开放债券型证券投资基金</w:t>
            </w:r>
          </w:p>
        </w:tc>
      </w:tr>
    </w:tbl>
    <w:p w:rsidR="00D23A3F" w:rsidRPr="00D23A3F" w:rsidRDefault="00D23A3F" w:rsidP="00935E14">
      <w:pPr>
        <w:spacing w:line="540" w:lineRule="exact"/>
        <w:ind w:firstLineChars="200" w:firstLine="560"/>
        <w:jc w:val="left"/>
        <w:rPr>
          <w:rFonts w:ascii="仿宋" w:eastAsia="仿宋" w:hAnsi="仿宋"/>
          <w:color w:val="000000" w:themeColor="text1"/>
          <w:sz w:val="28"/>
          <w:szCs w:val="28"/>
        </w:rPr>
      </w:pPr>
    </w:p>
    <w:p w:rsidR="006C0590" w:rsidRPr="000073C0" w:rsidRDefault="006C0590" w:rsidP="000073C0">
      <w:pPr>
        <w:spacing w:line="540" w:lineRule="exact"/>
        <w:ind w:firstLineChars="200" w:firstLine="560"/>
        <w:rPr>
          <w:rFonts w:ascii="仿宋" w:eastAsia="仿宋" w:hAnsi="仿宋"/>
          <w:color w:val="000000" w:themeColor="text1"/>
          <w:sz w:val="28"/>
          <w:szCs w:val="28"/>
        </w:rPr>
      </w:pPr>
      <w:r w:rsidRPr="000073C0">
        <w:rPr>
          <w:rFonts w:ascii="仿宋" w:eastAsia="仿宋" w:hAnsi="仿宋" w:hint="eastAsia"/>
          <w:color w:val="000000" w:themeColor="text1"/>
          <w:sz w:val="28"/>
          <w:szCs w:val="28"/>
        </w:rPr>
        <w:t>如有疑问可拨打本公司客服电话（</w:t>
      </w:r>
      <w:r w:rsidR="008E09B0" w:rsidRPr="000073C0">
        <w:rPr>
          <w:rFonts w:ascii="仿宋" w:eastAsia="仿宋" w:hAnsi="仿宋" w:hint="eastAsia"/>
          <w:color w:val="000000" w:themeColor="text1"/>
          <w:sz w:val="28"/>
          <w:szCs w:val="28"/>
        </w:rPr>
        <w:t>95105828（免长途费）或020-83936999</w:t>
      </w:r>
      <w:r w:rsidRPr="000073C0">
        <w:rPr>
          <w:rFonts w:ascii="仿宋" w:eastAsia="仿宋" w:hAnsi="仿宋" w:hint="eastAsia"/>
          <w:color w:val="000000" w:themeColor="text1"/>
          <w:sz w:val="28"/>
          <w:szCs w:val="28"/>
        </w:rPr>
        <w:t>）咨询</w:t>
      </w:r>
      <w:r w:rsidRPr="000073C0">
        <w:rPr>
          <w:rFonts w:ascii="仿宋" w:eastAsia="仿宋" w:hAnsi="仿宋"/>
          <w:color w:val="000000" w:themeColor="text1"/>
          <w:sz w:val="28"/>
          <w:szCs w:val="28"/>
        </w:rPr>
        <w:t>。</w:t>
      </w:r>
    </w:p>
    <w:p w:rsidR="006C0590" w:rsidRPr="000073C0" w:rsidRDefault="006C0590" w:rsidP="000073C0">
      <w:pPr>
        <w:spacing w:line="540" w:lineRule="exact"/>
        <w:ind w:firstLineChars="200" w:firstLine="560"/>
        <w:rPr>
          <w:rFonts w:ascii="仿宋" w:eastAsia="仿宋" w:hAnsi="仿宋"/>
          <w:color w:val="000000" w:themeColor="text1"/>
          <w:sz w:val="28"/>
          <w:szCs w:val="28"/>
        </w:rPr>
      </w:pPr>
      <w:r w:rsidRPr="000073C0">
        <w:rPr>
          <w:rFonts w:ascii="仿宋" w:eastAsia="仿宋" w:hAnsi="仿宋" w:hint="eastAsia"/>
          <w:color w:val="000000" w:themeColor="text1"/>
          <w:sz w:val="28"/>
          <w:szCs w:val="28"/>
        </w:rPr>
        <w:t>本基金管理人承诺以诚实信用、勤勉尽责的原则管理和运用基金资产，但不保证基金一定盈利，也不保证最低收益。请充分了解基金的风险收益特征，审慎做出投资决定。</w:t>
      </w:r>
    </w:p>
    <w:p w:rsidR="006C0590" w:rsidRPr="000073C0" w:rsidRDefault="006C0590" w:rsidP="000073C0">
      <w:pPr>
        <w:spacing w:line="540" w:lineRule="exact"/>
        <w:ind w:firstLineChars="200" w:firstLine="560"/>
        <w:rPr>
          <w:rFonts w:ascii="仿宋" w:eastAsia="仿宋" w:hAnsi="仿宋"/>
          <w:color w:val="000000" w:themeColor="text1"/>
          <w:sz w:val="28"/>
          <w:szCs w:val="28"/>
        </w:rPr>
      </w:pPr>
      <w:r w:rsidRPr="000073C0">
        <w:rPr>
          <w:rFonts w:ascii="仿宋" w:eastAsia="仿宋" w:hAnsi="仿宋" w:hint="eastAsia"/>
          <w:color w:val="000000" w:themeColor="text1"/>
          <w:sz w:val="28"/>
          <w:szCs w:val="28"/>
        </w:rPr>
        <w:t>特此公告。</w:t>
      </w:r>
    </w:p>
    <w:p w:rsidR="004A07CD" w:rsidRPr="000073C0" w:rsidRDefault="004A07CD" w:rsidP="000073C0">
      <w:pPr>
        <w:spacing w:line="540" w:lineRule="exact"/>
        <w:ind w:firstLineChars="200" w:firstLine="560"/>
        <w:rPr>
          <w:rFonts w:ascii="仿宋" w:eastAsia="仿宋" w:hAnsi="仿宋"/>
          <w:color w:val="000000" w:themeColor="text1"/>
          <w:sz w:val="28"/>
          <w:szCs w:val="28"/>
        </w:rPr>
      </w:pPr>
    </w:p>
    <w:p w:rsidR="006C0590" w:rsidRPr="000073C0" w:rsidRDefault="00994C0E" w:rsidP="000073C0">
      <w:pPr>
        <w:spacing w:line="540" w:lineRule="exact"/>
        <w:ind w:firstLineChars="200" w:firstLine="560"/>
        <w:jc w:val="right"/>
        <w:rPr>
          <w:rFonts w:ascii="仿宋" w:eastAsia="仿宋" w:hAnsi="仿宋"/>
          <w:color w:val="000000" w:themeColor="text1"/>
          <w:sz w:val="28"/>
          <w:szCs w:val="28"/>
        </w:rPr>
      </w:pPr>
      <w:r w:rsidRPr="000073C0">
        <w:rPr>
          <w:rFonts w:ascii="仿宋" w:eastAsia="仿宋" w:hAnsi="仿宋" w:hint="eastAsia"/>
          <w:color w:val="000000" w:themeColor="text1"/>
          <w:sz w:val="28"/>
          <w:szCs w:val="28"/>
        </w:rPr>
        <w:t xml:space="preserve">                          广发基金管理有限</w:t>
      </w:r>
      <w:r w:rsidR="006C0590" w:rsidRPr="000073C0">
        <w:rPr>
          <w:rFonts w:ascii="仿宋" w:eastAsia="仿宋" w:hAnsi="仿宋"/>
          <w:color w:val="000000" w:themeColor="text1"/>
          <w:sz w:val="28"/>
          <w:szCs w:val="28"/>
        </w:rPr>
        <w:t>公司</w:t>
      </w:r>
    </w:p>
    <w:p w:rsidR="006C0590" w:rsidRPr="000073C0" w:rsidRDefault="006C0590" w:rsidP="000073C0">
      <w:pPr>
        <w:spacing w:line="540" w:lineRule="exact"/>
        <w:ind w:firstLineChars="200" w:firstLine="560"/>
        <w:jc w:val="right"/>
        <w:rPr>
          <w:rFonts w:ascii="仿宋" w:eastAsia="仿宋" w:hAnsi="仿宋"/>
          <w:color w:val="000000" w:themeColor="text1"/>
          <w:sz w:val="28"/>
          <w:szCs w:val="28"/>
        </w:rPr>
      </w:pPr>
      <w:r w:rsidRPr="000073C0">
        <w:rPr>
          <w:rFonts w:ascii="仿宋" w:eastAsia="仿宋" w:hAnsi="仿宋" w:hint="eastAsia"/>
          <w:color w:val="000000" w:themeColor="text1"/>
          <w:sz w:val="28"/>
          <w:szCs w:val="28"/>
        </w:rPr>
        <w:t xml:space="preserve">                      </w:t>
      </w:r>
      <w:r w:rsidR="00CD7080" w:rsidRPr="000073C0">
        <w:rPr>
          <w:rFonts w:ascii="仿宋" w:eastAsia="仿宋" w:hAnsi="仿宋" w:hint="eastAsia"/>
          <w:color w:val="000000" w:themeColor="text1"/>
          <w:sz w:val="28"/>
          <w:szCs w:val="28"/>
        </w:rPr>
        <w:t>2020</w:t>
      </w:r>
      <w:r w:rsidR="00CD7080" w:rsidRPr="000073C0">
        <w:rPr>
          <w:rFonts w:ascii="仿宋" w:eastAsia="仿宋" w:hAnsi="仿宋"/>
          <w:color w:val="000000" w:themeColor="text1"/>
          <w:sz w:val="28"/>
          <w:szCs w:val="28"/>
        </w:rPr>
        <w:t>年</w:t>
      </w:r>
      <w:r w:rsidR="00D23A3F">
        <w:rPr>
          <w:rFonts w:ascii="仿宋" w:eastAsia="仿宋" w:hAnsi="仿宋"/>
          <w:color w:val="000000" w:themeColor="text1"/>
          <w:sz w:val="28"/>
          <w:szCs w:val="28"/>
        </w:rPr>
        <w:t>10</w:t>
      </w:r>
      <w:r w:rsidRPr="000073C0">
        <w:rPr>
          <w:rFonts w:ascii="仿宋" w:eastAsia="仿宋" w:hAnsi="仿宋"/>
          <w:color w:val="000000" w:themeColor="text1"/>
          <w:sz w:val="28"/>
          <w:szCs w:val="28"/>
        </w:rPr>
        <w:t>月</w:t>
      </w:r>
      <w:r w:rsidR="00D23A3F">
        <w:rPr>
          <w:rFonts w:ascii="仿宋" w:eastAsia="仿宋" w:hAnsi="仿宋"/>
          <w:color w:val="000000" w:themeColor="text1"/>
          <w:sz w:val="28"/>
          <w:szCs w:val="28"/>
        </w:rPr>
        <w:t>28</w:t>
      </w:r>
      <w:r w:rsidRPr="000073C0">
        <w:rPr>
          <w:rFonts w:ascii="仿宋" w:eastAsia="仿宋" w:hAnsi="仿宋"/>
          <w:color w:val="000000" w:themeColor="text1"/>
          <w:sz w:val="28"/>
          <w:szCs w:val="28"/>
        </w:rPr>
        <w:t>日</w:t>
      </w:r>
    </w:p>
    <w:p w:rsidR="006C0590" w:rsidRPr="006C0590" w:rsidRDefault="006C0590" w:rsidP="006C0590">
      <w:pPr>
        <w:jc w:val="center"/>
      </w:pPr>
    </w:p>
    <w:sectPr w:rsidR="006C0590" w:rsidRPr="006C0590" w:rsidSect="009416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AB4" w:rsidRDefault="00BF7AB4" w:rsidP="00673D45">
      <w:r>
        <w:separator/>
      </w:r>
    </w:p>
  </w:endnote>
  <w:endnote w:type="continuationSeparator" w:id="0">
    <w:p w:rsidR="00BF7AB4" w:rsidRDefault="00BF7AB4" w:rsidP="00673D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AB4" w:rsidRDefault="00BF7AB4" w:rsidP="00673D45">
      <w:r>
        <w:separator/>
      </w:r>
    </w:p>
  </w:footnote>
  <w:footnote w:type="continuationSeparator" w:id="0">
    <w:p w:rsidR="00BF7AB4" w:rsidRDefault="00BF7AB4" w:rsidP="00673D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008F"/>
    <w:rsid w:val="00002BE6"/>
    <w:rsid w:val="000073C0"/>
    <w:rsid w:val="00022A1C"/>
    <w:rsid w:val="000F6E4B"/>
    <w:rsid w:val="001134C0"/>
    <w:rsid w:val="00134325"/>
    <w:rsid w:val="001913B1"/>
    <w:rsid w:val="001953E0"/>
    <w:rsid w:val="00257DF8"/>
    <w:rsid w:val="00450DC6"/>
    <w:rsid w:val="00456205"/>
    <w:rsid w:val="004A07CD"/>
    <w:rsid w:val="00520EBB"/>
    <w:rsid w:val="00580909"/>
    <w:rsid w:val="005E2605"/>
    <w:rsid w:val="0064590D"/>
    <w:rsid w:val="00673D45"/>
    <w:rsid w:val="0068008F"/>
    <w:rsid w:val="006A51C0"/>
    <w:rsid w:val="006C0590"/>
    <w:rsid w:val="006D0F2E"/>
    <w:rsid w:val="00733678"/>
    <w:rsid w:val="007761D2"/>
    <w:rsid w:val="008B7989"/>
    <w:rsid w:val="008C2266"/>
    <w:rsid w:val="008D4FC8"/>
    <w:rsid w:val="008E09B0"/>
    <w:rsid w:val="008F1B76"/>
    <w:rsid w:val="009031D9"/>
    <w:rsid w:val="00935E14"/>
    <w:rsid w:val="0094166D"/>
    <w:rsid w:val="00994C0E"/>
    <w:rsid w:val="009D1BF0"/>
    <w:rsid w:val="00A13CB1"/>
    <w:rsid w:val="00A17E38"/>
    <w:rsid w:val="00A342FD"/>
    <w:rsid w:val="00A56EDB"/>
    <w:rsid w:val="00A7107B"/>
    <w:rsid w:val="00B3251D"/>
    <w:rsid w:val="00BC1B19"/>
    <w:rsid w:val="00BF7AB4"/>
    <w:rsid w:val="00CD7080"/>
    <w:rsid w:val="00D23A3F"/>
    <w:rsid w:val="00DA62E4"/>
    <w:rsid w:val="00DE7F4E"/>
    <w:rsid w:val="00ED722E"/>
    <w:rsid w:val="00F25771"/>
    <w:rsid w:val="00F333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6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0590"/>
    <w:rPr>
      <w:color w:val="0563C1" w:themeColor="hyperlink"/>
      <w:u w:val="single"/>
    </w:rPr>
  </w:style>
  <w:style w:type="table" w:styleId="a4">
    <w:name w:val="Table Grid"/>
    <w:basedOn w:val="a1"/>
    <w:uiPriority w:val="39"/>
    <w:rsid w:val="00B32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673D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73D45"/>
    <w:rPr>
      <w:sz w:val="18"/>
      <w:szCs w:val="18"/>
    </w:rPr>
  </w:style>
  <w:style w:type="paragraph" w:styleId="a6">
    <w:name w:val="footer"/>
    <w:basedOn w:val="a"/>
    <w:link w:val="Char0"/>
    <w:uiPriority w:val="99"/>
    <w:unhideWhenUsed/>
    <w:rsid w:val="00673D45"/>
    <w:pPr>
      <w:tabs>
        <w:tab w:val="center" w:pos="4153"/>
        <w:tab w:val="right" w:pos="8306"/>
      </w:tabs>
      <w:snapToGrid w:val="0"/>
      <w:jc w:val="left"/>
    </w:pPr>
    <w:rPr>
      <w:sz w:val="18"/>
      <w:szCs w:val="18"/>
    </w:rPr>
  </w:style>
  <w:style w:type="character" w:customStyle="1" w:styleId="Char0">
    <w:name w:val="页脚 Char"/>
    <w:basedOn w:val="a0"/>
    <w:link w:val="a6"/>
    <w:uiPriority w:val="99"/>
    <w:rsid w:val="00673D45"/>
    <w:rPr>
      <w:sz w:val="18"/>
      <w:szCs w:val="18"/>
    </w:rPr>
  </w:style>
  <w:style w:type="numbering" w:customStyle="1" w:styleId="1">
    <w:name w:val="无列表1"/>
    <w:next w:val="a2"/>
    <w:uiPriority w:val="99"/>
    <w:semiHidden/>
    <w:unhideWhenUsed/>
    <w:rsid w:val="000F6E4B"/>
  </w:style>
  <w:style w:type="character" w:styleId="a7">
    <w:name w:val="FollowedHyperlink"/>
    <w:basedOn w:val="a0"/>
    <w:uiPriority w:val="99"/>
    <w:semiHidden/>
    <w:unhideWhenUsed/>
    <w:rsid w:val="000F6E4B"/>
    <w:rPr>
      <w:color w:val="800080"/>
      <w:u w:val="single"/>
    </w:rPr>
  </w:style>
  <w:style w:type="paragraph" w:customStyle="1" w:styleId="msonormal0">
    <w:name w:val="msonormal"/>
    <w:basedOn w:val="a"/>
    <w:rsid w:val="000F6E4B"/>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0F6E4B"/>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0F6E4B"/>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0F6E4B"/>
    <w:pPr>
      <w:widowControl/>
      <w:spacing w:before="100" w:beforeAutospacing="1" w:after="100" w:afterAutospacing="1"/>
      <w:jc w:val="left"/>
    </w:pPr>
    <w:rPr>
      <w:rFonts w:ascii="宋体" w:eastAsia="宋体" w:hAnsi="宋体" w:cs="宋体"/>
      <w:kern w:val="0"/>
      <w:sz w:val="18"/>
      <w:szCs w:val="18"/>
    </w:rPr>
  </w:style>
  <w:style w:type="paragraph" w:customStyle="1" w:styleId="xl66">
    <w:name w:val="xl66"/>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67">
    <w:name w:val="xl67"/>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68">
    <w:name w:val="xl68"/>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69">
    <w:name w:val="xl69"/>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rsid w:val="000F6E4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b/>
      <w:bCs/>
      <w:kern w:val="0"/>
      <w:sz w:val="24"/>
      <w:szCs w:val="24"/>
    </w:rPr>
  </w:style>
  <w:style w:type="paragraph" w:customStyle="1" w:styleId="xl73">
    <w:name w:val="xl73"/>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5">
    <w:name w:val="xl75"/>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76">
    <w:name w:val="xl76"/>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7">
    <w:name w:val="xl77"/>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8">
    <w:name w:val="xl78"/>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9">
    <w:name w:val="xl79"/>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81">
    <w:name w:val="xl81"/>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82">
    <w:name w:val="xl82"/>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83">
    <w:name w:val="xl83"/>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84">
    <w:name w:val="xl84"/>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styleId="a8">
    <w:name w:val="Balloon Text"/>
    <w:basedOn w:val="a"/>
    <w:link w:val="Char1"/>
    <w:uiPriority w:val="99"/>
    <w:semiHidden/>
    <w:unhideWhenUsed/>
    <w:rsid w:val="00BC1B19"/>
    <w:rPr>
      <w:sz w:val="18"/>
      <w:szCs w:val="18"/>
    </w:rPr>
  </w:style>
  <w:style w:type="character" w:customStyle="1" w:styleId="Char1">
    <w:name w:val="批注框文本 Char"/>
    <w:basedOn w:val="a0"/>
    <w:link w:val="a8"/>
    <w:uiPriority w:val="99"/>
    <w:semiHidden/>
    <w:rsid w:val="00BC1B19"/>
    <w:rPr>
      <w:sz w:val="18"/>
      <w:szCs w:val="18"/>
    </w:rPr>
  </w:style>
</w:styles>
</file>

<file path=word/webSettings.xml><?xml version="1.0" encoding="utf-8"?>
<w:webSettings xmlns:r="http://schemas.openxmlformats.org/officeDocument/2006/relationships" xmlns:w="http://schemas.openxmlformats.org/wordprocessingml/2006/main">
  <w:divs>
    <w:div w:id="28573809">
      <w:bodyDiv w:val="1"/>
      <w:marLeft w:val="0"/>
      <w:marRight w:val="0"/>
      <w:marTop w:val="0"/>
      <w:marBottom w:val="0"/>
      <w:divBdr>
        <w:top w:val="none" w:sz="0" w:space="0" w:color="auto"/>
        <w:left w:val="none" w:sz="0" w:space="0" w:color="auto"/>
        <w:bottom w:val="none" w:sz="0" w:space="0" w:color="auto"/>
        <w:right w:val="none" w:sz="0" w:space="0" w:color="auto"/>
      </w:divBdr>
    </w:div>
    <w:div w:id="1494028271">
      <w:bodyDiv w:val="1"/>
      <w:marLeft w:val="0"/>
      <w:marRight w:val="0"/>
      <w:marTop w:val="0"/>
      <w:marBottom w:val="0"/>
      <w:divBdr>
        <w:top w:val="none" w:sz="0" w:space="0" w:color="auto"/>
        <w:left w:val="none" w:sz="0" w:space="0" w:color="auto"/>
        <w:bottom w:val="none" w:sz="0" w:space="0" w:color="auto"/>
        <w:right w:val="none" w:sz="0" w:space="0" w:color="auto"/>
      </w:divBdr>
    </w:div>
    <w:div w:id="1654063781">
      <w:bodyDiv w:val="1"/>
      <w:marLeft w:val="0"/>
      <w:marRight w:val="0"/>
      <w:marTop w:val="0"/>
      <w:marBottom w:val="0"/>
      <w:divBdr>
        <w:top w:val="none" w:sz="0" w:space="0" w:color="auto"/>
        <w:left w:val="none" w:sz="0" w:space="0" w:color="auto"/>
        <w:bottom w:val="none" w:sz="0" w:space="0" w:color="auto"/>
        <w:right w:val="none" w:sz="0" w:space="0" w:color="auto"/>
      </w:divBdr>
    </w:div>
    <w:div w:id="170513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4987</Characters>
  <Application>Microsoft Office Word</Application>
  <DocSecurity>4</DocSecurity>
  <Lines>41</Lines>
  <Paragraphs>11</Paragraphs>
  <ScaleCrop>false</ScaleCrop>
  <Company>gffunds</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雷致雨</dc:creator>
  <cp:keywords/>
  <dc:description/>
  <cp:lastModifiedBy>ZHONGM</cp:lastModifiedBy>
  <cp:revision>2</cp:revision>
  <dcterms:created xsi:type="dcterms:W3CDTF">2020-10-27T16:41:00Z</dcterms:created>
  <dcterms:modified xsi:type="dcterms:W3CDTF">2020-10-27T16:41:00Z</dcterms:modified>
</cp:coreProperties>
</file>