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78" w:rsidRDefault="008B3EC8" w:rsidP="009111F2">
      <w:pPr>
        <w:autoSpaceDE w:val="0"/>
        <w:autoSpaceDN w:val="0"/>
        <w:adjustRightInd w:val="0"/>
        <w:ind w:firstLineChars="200" w:firstLine="560"/>
        <w:jc w:val="center"/>
        <w:rPr>
          <w:rFonts w:ascii="仿宋" w:eastAsia="仿宋" w:hAnsi="仿宋" w:cs="宋体"/>
          <w:b/>
          <w:color w:val="000000"/>
          <w:kern w:val="0"/>
          <w:sz w:val="28"/>
          <w:szCs w:val="28"/>
        </w:rPr>
      </w:pPr>
      <w:r w:rsidRPr="008A6949">
        <w:rPr>
          <w:rFonts w:ascii="仿宋" w:eastAsia="仿宋" w:hAnsi="仿宋" w:cs="宋体" w:hint="eastAsia"/>
          <w:b/>
          <w:color w:val="000000"/>
          <w:kern w:val="0"/>
          <w:sz w:val="28"/>
          <w:szCs w:val="28"/>
        </w:rPr>
        <w:t>泰信基金管理有限公司</w:t>
      </w:r>
    </w:p>
    <w:p w:rsidR="00C700FA" w:rsidRDefault="00A82F10" w:rsidP="009111F2">
      <w:pPr>
        <w:autoSpaceDE w:val="0"/>
        <w:autoSpaceDN w:val="0"/>
        <w:adjustRightInd w:val="0"/>
        <w:ind w:firstLineChars="200" w:firstLine="560"/>
        <w:jc w:val="center"/>
        <w:rPr>
          <w:rFonts w:ascii="仿宋" w:eastAsia="仿宋" w:hAnsi="仿宋" w:cs="宋体"/>
          <w:b/>
          <w:color w:val="000000"/>
          <w:kern w:val="0"/>
          <w:sz w:val="28"/>
          <w:szCs w:val="28"/>
        </w:rPr>
      </w:pPr>
      <w:r w:rsidRPr="008A6949">
        <w:rPr>
          <w:rFonts w:ascii="仿宋" w:eastAsia="仿宋" w:hAnsi="仿宋" w:cs="宋体" w:hint="eastAsia"/>
          <w:b/>
          <w:color w:val="000000"/>
          <w:kern w:val="0"/>
          <w:sz w:val="28"/>
          <w:szCs w:val="28"/>
        </w:rPr>
        <w:t>关于</w:t>
      </w:r>
      <w:r w:rsidR="00E26F4D" w:rsidRPr="008A6949">
        <w:rPr>
          <w:rFonts w:ascii="仿宋" w:eastAsia="仿宋" w:hAnsi="仿宋" w:cs="宋体" w:hint="eastAsia"/>
          <w:b/>
          <w:color w:val="000000"/>
          <w:kern w:val="0"/>
          <w:sz w:val="28"/>
          <w:szCs w:val="28"/>
        </w:rPr>
        <w:t>新增</w:t>
      </w:r>
      <w:r w:rsidR="00C700FA" w:rsidRPr="00C700FA">
        <w:rPr>
          <w:rFonts w:ascii="仿宋" w:eastAsia="仿宋" w:hAnsi="仿宋" w:cs="宋体" w:hint="eastAsia"/>
          <w:b/>
          <w:color w:val="000000"/>
          <w:kern w:val="0"/>
          <w:sz w:val="28"/>
          <w:szCs w:val="28"/>
        </w:rPr>
        <w:t>东吴证券股份有限公司</w:t>
      </w:r>
      <w:r w:rsidR="002371C6" w:rsidRPr="008A6949">
        <w:rPr>
          <w:rFonts w:ascii="仿宋" w:eastAsia="仿宋" w:hAnsi="仿宋" w:cs="宋体" w:hint="eastAsia"/>
          <w:b/>
          <w:color w:val="000000"/>
          <w:kern w:val="0"/>
          <w:sz w:val="28"/>
          <w:szCs w:val="28"/>
        </w:rPr>
        <w:t>为</w:t>
      </w:r>
      <w:r w:rsidRPr="008A6949">
        <w:rPr>
          <w:rFonts w:ascii="仿宋" w:eastAsia="仿宋" w:hAnsi="仿宋" w:cs="宋体" w:hint="eastAsia"/>
          <w:b/>
          <w:color w:val="000000"/>
          <w:kern w:val="0"/>
          <w:sz w:val="28"/>
          <w:szCs w:val="28"/>
        </w:rPr>
        <w:t>销</w:t>
      </w:r>
      <w:r w:rsidR="002371C6" w:rsidRPr="008A6949">
        <w:rPr>
          <w:rFonts w:ascii="仿宋" w:eastAsia="仿宋" w:hAnsi="仿宋" w:cs="宋体" w:hint="eastAsia"/>
          <w:b/>
          <w:color w:val="000000"/>
          <w:kern w:val="0"/>
          <w:sz w:val="28"/>
          <w:szCs w:val="28"/>
        </w:rPr>
        <w:t>售</w:t>
      </w:r>
      <w:r w:rsidRPr="008A6949">
        <w:rPr>
          <w:rFonts w:ascii="仿宋" w:eastAsia="仿宋" w:hAnsi="仿宋" w:cs="宋体" w:hint="eastAsia"/>
          <w:b/>
          <w:color w:val="000000"/>
          <w:kern w:val="0"/>
          <w:sz w:val="28"/>
          <w:szCs w:val="28"/>
        </w:rPr>
        <w:t>机构并</w:t>
      </w:r>
      <w:r w:rsidR="00515E44" w:rsidRPr="008A6949">
        <w:rPr>
          <w:rFonts w:ascii="仿宋" w:eastAsia="仿宋" w:hAnsi="仿宋" w:cs="宋体" w:hint="eastAsia"/>
          <w:b/>
          <w:color w:val="000000"/>
          <w:kern w:val="0"/>
          <w:sz w:val="28"/>
          <w:szCs w:val="28"/>
        </w:rPr>
        <w:t>开通</w:t>
      </w:r>
      <w:r w:rsidR="006563D2" w:rsidRPr="008A6949">
        <w:rPr>
          <w:rFonts w:ascii="仿宋" w:eastAsia="仿宋" w:hAnsi="仿宋" w:cs="宋体" w:hint="eastAsia"/>
          <w:b/>
          <w:color w:val="000000"/>
          <w:kern w:val="0"/>
          <w:sz w:val="28"/>
          <w:szCs w:val="28"/>
        </w:rPr>
        <w:t>转换</w:t>
      </w:r>
      <w:r w:rsidR="007F6210" w:rsidRPr="008A6949">
        <w:rPr>
          <w:rFonts w:ascii="仿宋" w:eastAsia="仿宋" w:hAnsi="仿宋" w:cs="宋体" w:hint="eastAsia"/>
          <w:b/>
          <w:color w:val="000000"/>
          <w:kern w:val="0"/>
          <w:sz w:val="28"/>
          <w:szCs w:val="28"/>
        </w:rPr>
        <w:t>、</w:t>
      </w:r>
      <w:r w:rsidR="00224BD1" w:rsidRPr="008A6949">
        <w:rPr>
          <w:rFonts w:ascii="仿宋" w:eastAsia="仿宋" w:hAnsi="仿宋" w:cs="宋体" w:hint="eastAsia"/>
          <w:b/>
          <w:color w:val="000000"/>
          <w:kern w:val="0"/>
          <w:sz w:val="28"/>
          <w:szCs w:val="28"/>
        </w:rPr>
        <w:t>定投</w:t>
      </w:r>
    </w:p>
    <w:p w:rsidR="00A82F10" w:rsidRPr="008A6949" w:rsidRDefault="00C22E4B" w:rsidP="009111F2">
      <w:pPr>
        <w:autoSpaceDE w:val="0"/>
        <w:autoSpaceDN w:val="0"/>
        <w:adjustRightInd w:val="0"/>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业务</w:t>
      </w:r>
      <w:r w:rsidRPr="00C22E4B">
        <w:rPr>
          <w:rFonts w:ascii="仿宋" w:eastAsia="仿宋" w:hAnsi="仿宋" w:cs="宋体" w:hint="eastAsia"/>
          <w:b/>
          <w:color w:val="000000"/>
          <w:kern w:val="0"/>
          <w:sz w:val="28"/>
          <w:szCs w:val="28"/>
        </w:rPr>
        <w:t>及参加其申购费率优惠活动</w:t>
      </w:r>
      <w:r w:rsidR="00A82F10" w:rsidRPr="008A6949">
        <w:rPr>
          <w:rFonts w:ascii="仿宋" w:eastAsia="仿宋" w:hAnsi="仿宋" w:cs="宋体" w:hint="eastAsia"/>
          <w:b/>
          <w:color w:val="000000"/>
          <w:kern w:val="0"/>
          <w:sz w:val="28"/>
          <w:szCs w:val="28"/>
        </w:rPr>
        <w:t>的公告</w:t>
      </w:r>
    </w:p>
    <w:p w:rsidR="00A82F10" w:rsidRPr="008A6949" w:rsidRDefault="00A82F10" w:rsidP="00973CFE">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根据泰信基金管理有限公司</w:t>
      </w:r>
      <w:r w:rsidR="004F6333" w:rsidRPr="008A6949">
        <w:rPr>
          <w:rFonts w:ascii="仿宋" w:eastAsia="仿宋" w:hAnsi="仿宋" w:cs="仿宋_GB2312" w:hint="eastAsia"/>
          <w:kern w:val="0"/>
          <w:sz w:val="28"/>
          <w:szCs w:val="28"/>
        </w:rPr>
        <w:t>（以下简称“</w:t>
      </w:r>
      <w:r w:rsidR="004F6333">
        <w:rPr>
          <w:rFonts w:ascii="仿宋" w:eastAsia="仿宋" w:hAnsi="仿宋" w:cs="仿宋_GB2312" w:hint="eastAsia"/>
          <w:kern w:val="0"/>
          <w:sz w:val="28"/>
          <w:szCs w:val="28"/>
        </w:rPr>
        <w:t>本公司</w:t>
      </w:r>
      <w:r w:rsidR="004F6333" w:rsidRPr="008A6949">
        <w:rPr>
          <w:rFonts w:ascii="仿宋" w:eastAsia="仿宋" w:hAnsi="仿宋" w:cs="仿宋_GB2312" w:hint="eastAsia"/>
          <w:kern w:val="0"/>
          <w:sz w:val="28"/>
          <w:szCs w:val="28"/>
        </w:rPr>
        <w:t>”）</w:t>
      </w:r>
      <w:r w:rsidRPr="008A6949">
        <w:rPr>
          <w:rFonts w:ascii="仿宋" w:eastAsia="仿宋" w:hAnsi="仿宋" w:cs="仿宋_GB2312" w:hint="eastAsia"/>
          <w:kern w:val="0"/>
          <w:sz w:val="28"/>
          <w:szCs w:val="28"/>
        </w:rPr>
        <w:t>与</w:t>
      </w:r>
      <w:r w:rsidR="00C700FA" w:rsidRPr="00C700FA">
        <w:rPr>
          <w:rFonts w:ascii="仿宋" w:eastAsia="仿宋" w:hAnsi="仿宋" w:cs="仿宋_GB2312" w:hint="eastAsia"/>
          <w:kern w:val="0"/>
          <w:sz w:val="28"/>
          <w:szCs w:val="28"/>
        </w:rPr>
        <w:t>东吴证券股份有限公司</w:t>
      </w:r>
      <w:r w:rsidRPr="008A6949">
        <w:rPr>
          <w:rFonts w:ascii="仿宋" w:eastAsia="仿宋" w:hAnsi="仿宋" w:cs="仿宋_GB2312" w:hint="eastAsia"/>
          <w:kern w:val="0"/>
          <w:sz w:val="28"/>
          <w:szCs w:val="28"/>
        </w:rPr>
        <w:t>（以下简称“</w:t>
      </w:r>
      <w:r w:rsidR="00C700FA">
        <w:rPr>
          <w:rFonts w:ascii="仿宋" w:eastAsia="仿宋" w:hAnsi="仿宋" w:cs="仿宋_GB2312" w:hint="eastAsia"/>
          <w:kern w:val="0"/>
          <w:sz w:val="28"/>
          <w:szCs w:val="28"/>
        </w:rPr>
        <w:t>东吴证券</w:t>
      </w:r>
      <w:r w:rsidRPr="008A6949">
        <w:rPr>
          <w:rFonts w:ascii="仿宋" w:eastAsia="仿宋" w:hAnsi="仿宋" w:cs="仿宋_GB2312" w:hint="eastAsia"/>
          <w:kern w:val="0"/>
          <w:sz w:val="28"/>
          <w:szCs w:val="28"/>
        </w:rPr>
        <w:t>”）签署的相关协议，自20</w:t>
      </w:r>
      <w:r w:rsidR="00C22E4B">
        <w:rPr>
          <w:rFonts w:ascii="仿宋" w:eastAsia="仿宋" w:hAnsi="仿宋" w:cs="仿宋_GB2312" w:hint="eastAsia"/>
          <w:kern w:val="0"/>
          <w:sz w:val="28"/>
          <w:szCs w:val="28"/>
        </w:rPr>
        <w:t>20</w:t>
      </w:r>
      <w:r w:rsidRPr="008A6949">
        <w:rPr>
          <w:rFonts w:ascii="仿宋" w:eastAsia="仿宋" w:hAnsi="仿宋" w:cs="仿宋_GB2312" w:hint="eastAsia"/>
          <w:kern w:val="0"/>
          <w:sz w:val="28"/>
          <w:szCs w:val="28"/>
        </w:rPr>
        <w:t>年</w:t>
      </w:r>
      <w:r w:rsidR="00F37301">
        <w:rPr>
          <w:rFonts w:ascii="仿宋" w:eastAsia="仿宋" w:hAnsi="仿宋" w:cs="仿宋_GB2312" w:hint="eastAsia"/>
          <w:kern w:val="0"/>
          <w:sz w:val="28"/>
          <w:szCs w:val="28"/>
        </w:rPr>
        <w:t>10</w:t>
      </w:r>
      <w:r w:rsidRPr="008A6949">
        <w:rPr>
          <w:rFonts w:ascii="仿宋" w:eastAsia="仿宋" w:hAnsi="仿宋" w:cs="仿宋_GB2312" w:hint="eastAsia"/>
          <w:kern w:val="0"/>
          <w:sz w:val="28"/>
          <w:szCs w:val="28"/>
        </w:rPr>
        <w:t>月</w:t>
      </w:r>
      <w:r w:rsidR="00E9441F">
        <w:rPr>
          <w:rFonts w:ascii="仿宋" w:eastAsia="仿宋" w:hAnsi="仿宋" w:cs="仿宋_GB2312" w:hint="eastAsia"/>
          <w:kern w:val="0"/>
          <w:sz w:val="28"/>
          <w:szCs w:val="28"/>
        </w:rPr>
        <w:t>2</w:t>
      </w:r>
      <w:r w:rsidR="00E9441F">
        <w:rPr>
          <w:rFonts w:ascii="仿宋" w:eastAsia="仿宋" w:hAnsi="仿宋" w:cs="仿宋_GB2312"/>
          <w:kern w:val="0"/>
          <w:sz w:val="28"/>
          <w:szCs w:val="28"/>
        </w:rPr>
        <w:t>7</w:t>
      </w:r>
      <w:r w:rsidR="00973CFE" w:rsidRPr="008A6949">
        <w:rPr>
          <w:rFonts w:ascii="仿宋" w:eastAsia="仿宋" w:hAnsi="仿宋" w:cs="仿宋_GB2312" w:hint="eastAsia"/>
          <w:kern w:val="0"/>
          <w:sz w:val="28"/>
          <w:szCs w:val="28"/>
        </w:rPr>
        <w:t>日</w:t>
      </w:r>
      <w:r w:rsidR="006259BF" w:rsidRPr="008A6949">
        <w:rPr>
          <w:rFonts w:ascii="仿宋" w:eastAsia="仿宋" w:hAnsi="仿宋" w:cs="仿宋_GB2312" w:hint="eastAsia"/>
          <w:kern w:val="0"/>
          <w:sz w:val="28"/>
          <w:szCs w:val="28"/>
        </w:rPr>
        <w:t>起</w:t>
      </w:r>
      <w:r w:rsidR="003046EE">
        <w:rPr>
          <w:rFonts w:ascii="仿宋" w:eastAsia="仿宋" w:hAnsi="仿宋" w:cs="仿宋_GB2312" w:hint="eastAsia"/>
          <w:kern w:val="0"/>
          <w:sz w:val="28"/>
          <w:szCs w:val="28"/>
        </w:rPr>
        <w:t>本公司</w:t>
      </w:r>
      <w:r w:rsidR="00AF5F2D" w:rsidRPr="008A6949">
        <w:rPr>
          <w:rFonts w:ascii="仿宋" w:eastAsia="仿宋" w:hAnsi="仿宋" w:cs="仿宋_GB2312" w:hint="eastAsia"/>
          <w:kern w:val="0"/>
          <w:sz w:val="28"/>
          <w:szCs w:val="28"/>
        </w:rPr>
        <w:t>旗下</w:t>
      </w:r>
      <w:r w:rsidR="006563D2" w:rsidRPr="008A6949">
        <w:rPr>
          <w:rFonts w:ascii="仿宋" w:eastAsia="仿宋" w:hAnsi="仿宋" w:cs="仿宋_GB2312" w:hint="eastAsia"/>
          <w:kern w:val="0"/>
          <w:sz w:val="28"/>
          <w:szCs w:val="28"/>
        </w:rPr>
        <w:t>部分</w:t>
      </w:r>
      <w:r w:rsidR="00492155" w:rsidRPr="008A6949">
        <w:rPr>
          <w:rFonts w:ascii="仿宋" w:eastAsia="仿宋" w:hAnsi="仿宋" w:cs="仿宋_GB2312" w:hint="eastAsia"/>
          <w:kern w:val="0"/>
          <w:sz w:val="28"/>
          <w:szCs w:val="28"/>
        </w:rPr>
        <w:t>开放式</w:t>
      </w:r>
      <w:r w:rsidR="00AF5F2D" w:rsidRPr="008A6949">
        <w:rPr>
          <w:rFonts w:ascii="仿宋" w:eastAsia="仿宋" w:hAnsi="仿宋" w:cs="仿宋_GB2312" w:hint="eastAsia"/>
          <w:kern w:val="0"/>
          <w:sz w:val="28"/>
          <w:szCs w:val="28"/>
        </w:rPr>
        <w:t>基金</w:t>
      </w:r>
      <w:r w:rsidR="002371C6" w:rsidRPr="008A6949">
        <w:rPr>
          <w:rFonts w:ascii="仿宋" w:eastAsia="仿宋" w:hAnsi="仿宋" w:cs="仿宋_GB2312" w:hint="eastAsia"/>
          <w:kern w:val="0"/>
          <w:sz w:val="28"/>
          <w:szCs w:val="28"/>
        </w:rPr>
        <w:t>新增</w:t>
      </w:r>
      <w:r w:rsidR="00381E0B">
        <w:rPr>
          <w:rFonts w:ascii="仿宋" w:eastAsia="仿宋" w:hAnsi="仿宋" w:cs="仿宋_GB2312" w:hint="eastAsia"/>
          <w:kern w:val="0"/>
          <w:sz w:val="28"/>
          <w:szCs w:val="28"/>
        </w:rPr>
        <w:t>东吴证券</w:t>
      </w:r>
      <w:r w:rsidR="002371C6" w:rsidRPr="008A6949">
        <w:rPr>
          <w:rFonts w:ascii="仿宋" w:eastAsia="仿宋" w:hAnsi="仿宋" w:cs="仿宋_GB2312" w:hint="eastAsia"/>
          <w:kern w:val="0"/>
          <w:sz w:val="28"/>
          <w:szCs w:val="28"/>
        </w:rPr>
        <w:t>为销</w:t>
      </w:r>
      <w:r w:rsidRPr="008A6949">
        <w:rPr>
          <w:rFonts w:ascii="仿宋" w:eastAsia="仿宋" w:hAnsi="仿宋" w:cs="仿宋_GB2312" w:hint="eastAsia"/>
          <w:kern w:val="0"/>
          <w:sz w:val="28"/>
          <w:szCs w:val="28"/>
        </w:rPr>
        <w:t>售</w:t>
      </w:r>
      <w:r w:rsidR="002371C6" w:rsidRPr="008A6949">
        <w:rPr>
          <w:rFonts w:ascii="仿宋" w:eastAsia="仿宋" w:hAnsi="仿宋" w:cs="仿宋_GB2312" w:hint="eastAsia"/>
          <w:kern w:val="0"/>
          <w:sz w:val="28"/>
          <w:szCs w:val="28"/>
        </w:rPr>
        <w:t>机构</w:t>
      </w:r>
      <w:r w:rsidR="009D16A1" w:rsidRPr="008A6949">
        <w:rPr>
          <w:rFonts w:ascii="仿宋" w:eastAsia="仿宋" w:hAnsi="仿宋" w:cs="仿宋_GB2312" w:hint="eastAsia"/>
          <w:kern w:val="0"/>
          <w:sz w:val="28"/>
          <w:szCs w:val="28"/>
        </w:rPr>
        <w:t>并</w:t>
      </w:r>
      <w:r w:rsidR="00515E44" w:rsidRPr="008A6949">
        <w:rPr>
          <w:rFonts w:ascii="仿宋" w:eastAsia="仿宋" w:hAnsi="仿宋" w:cs="仿宋_GB2312" w:hint="eastAsia"/>
          <w:kern w:val="0"/>
          <w:sz w:val="28"/>
          <w:szCs w:val="28"/>
        </w:rPr>
        <w:t>开通</w:t>
      </w:r>
      <w:r w:rsidR="00F468CE" w:rsidRPr="008A6949">
        <w:rPr>
          <w:rFonts w:ascii="仿宋" w:eastAsia="仿宋" w:hAnsi="仿宋" w:cs="仿宋_GB2312" w:hint="eastAsia"/>
          <w:kern w:val="0"/>
          <w:sz w:val="28"/>
          <w:szCs w:val="28"/>
        </w:rPr>
        <w:t>转换</w:t>
      </w:r>
      <w:r w:rsidR="007F6210" w:rsidRPr="008A6949">
        <w:rPr>
          <w:rFonts w:ascii="仿宋" w:eastAsia="仿宋" w:hAnsi="仿宋" w:cs="仿宋_GB2312" w:hint="eastAsia"/>
          <w:kern w:val="0"/>
          <w:sz w:val="28"/>
          <w:szCs w:val="28"/>
        </w:rPr>
        <w:t>、</w:t>
      </w:r>
      <w:r w:rsidR="00224BD1" w:rsidRPr="008A6949">
        <w:rPr>
          <w:rFonts w:ascii="仿宋" w:eastAsia="仿宋" w:hAnsi="仿宋" w:cs="仿宋_GB2312" w:hint="eastAsia"/>
          <w:kern w:val="0"/>
          <w:sz w:val="28"/>
          <w:szCs w:val="28"/>
        </w:rPr>
        <w:t>定投</w:t>
      </w:r>
      <w:r w:rsidR="00C22E4B">
        <w:rPr>
          <w:rFonts w:ascii="仿宋" w:eastAsia="仿宋" w:hAnsi="仿宋" w:cs="仿宋_GB2312" w:hint="eastAsia"/>
          <w:kern w:val="0"/>
          <w:sz w:val="28"/>
          <w:szCs w:val="28"/>
        </w:rPr>
        <w:t>业务</w:t>
      </w:r>
      <w:r w:rsidR="00C22E4B" w:rsidRPr="00C22E4B">
        <w:rPr>
          <w:rFonts w:ascii="仿宋" w:eastAsia="仿宋" w:hAnsi="仿宋" w:cs="仿宋_GB2312" w:hint="eastAsia"/>
          <w:kern w:val="0"/>
          <w:sz w:val="28"/>
          <w:szCs w:val="28"/>
        </w:rPr>
        <w:t>及参加其申购费率优惠活动</w:t>
      </w:r>
      <w:r w:rsidRPr="008A6949">
        <w:rPr>
          <w:rFonts w:ascii="仿宋" w:eastAsia="仿宋" w:hAnsi="仿宋" w:cs="仿宋_GB2312" w:hint="eastAsia"/>
          <w:kern w:val="0"/>
          <w:sz w:val="28"/>
          <w:szCs w:val="28"/>
        </w:rPr>
        <w:t>。</w:t>
      </w:r>
      <w:r w:rsidR="002371C6" w:rsidRPr="008A6949">
        <w:rPr>
          <w:rFonts w:ascii="仿宋" w:eastAsia="仿宋" w:hAnsi="仿宋" w:cs="仿宋_GB2312" w:hint="eastAsia"/>
          <w:kern w:val="0"/>
          <w:sz w:val="28"/>
          <w:szCs w:val="28"/>
        </w:rPr>
        <w:t>具体业务情况如下：</w:t>
      </w:r>
    </w:p>
    <w:p w:rsidR="005F67BA" w:rsidRPr="008A6949" w:rsidRDefault="002371C6" w:rsidP="00FB7675">
      <w:pPr>
        <w:pStyle w:val="a4"/>
        <w:numPr>
          <w:ilvl w:val="0"/>
          <w:numId w:val="3"/>
        </w:numPr>
        <w:autoSpaceDE w:val="0"/>
        <w:autoSpaceDN w:val="0"/>
        <w:adjustRightInd w:val="0"/>
        <w:ind w:firstLineChars="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适用基金范围</w:t>
      </w:r>
      <w:r w:rsidR="00A82F10" w:rsidRPr="008A6949">
        <w:rPr>
          <w:rFonts w:ascii="仿宋" w:eastAsia="仿宋" w:hAnsi="仿宋" w:cs="仿宋_GB2312" w:hint="eastAsia"/>
          <w:kern w:val="0"/>
          <w:sz w:val="28"/>
          <w:szCs w:val="28"/>
        </w:rPr>
        <w:t>及</w:t>
      </w:r>
      <w:r w:rsidRPr="008A6949">
        <w:rPr>
          <w:rFonts w:ascii="仿宋" w:eastAsia="仿宋" w:hAnsi="仿宋" w:cs="仿宋_GB2312" w:hint="eastAsia"/>
          <w:kern w:val="0"/>
          <w:sz w:val="28"/>
          <w:szCs w:val="28"/>
        </w:rPr>
        <w:t>业务开通情况：</w:t>
      </w:r>
    </w:p>
    <w:tbl>
      <w:tblPr>
        <w:tblW w:w="8348" w:type="dxa"/>
        <w:jc w:val="center"/>
        <w:tblLook w:val="04A0"/>
      </w:tblPr>
      <w:tblGrid>
        <w:gridCol w:w="2780"/>
        <w:gridCol w:w="1984"/>
        <w:gridCol w:w="993"/>
        <w:gridCol w:w="1315"/>
        <w:gridCol w:w="1276"/>
      </w:tblGrid>
      <w:tr w:rsidR="00224BD1" w:rsidRPr="008A6949" w:rsidTr="00B7719F">
        <w:trPr>
          <w:trHeight w:val="285"/>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D1" w:rsidRPr="008A6949" w:rsidRDefault="00224BD1"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基金名称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4BD1" w:rsidRPr="008A6949" w:rsidRDefault="00224BD1"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基金代码</w:t>
            </w:r>
          </w:p>
        </w:tc>
        <w:tc>
          <w:tcPr>
            <w:tcW w:w="993" w:type="dxa"/>
            <w:tcBorders>
              <w:top w:val="single" w:sz="4" w:space="0" w:color="auto"/>
              <w:left w:val="nil"/>
              <w:bottom w:val="single" w:sz="4" w:space="0" w:color="auto"/>
              <w:right w:val="single" w:sz="4" w:space="0" w:color="auto"/>
            </w:tcBorders>
            <w:vAlign w:val="center"/>
          </w:tcPr>
          <w:p w:rsidR="00224BD1" w:rsidRPr="008A6949" w:rsidRDefault="00224BD1" w:rsidP="00D4104D">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转换</w:t>
            </w:r>
          </w:p>
        </w:tc>
        <w:tc>
          <w:tcPr>
            <w:tcW w:w="1315" w:type="dxa"/>
            <w:tcBorders>
              <w:top w:val="single" w:sz="4" w:space="0" w:color="auto"/>
              <w:left w:val="nil"/>
              <w:bottom w:val="single" w:sz="4" w:space="0" w:color="auto"/>
              <w:right w:val="single" w:sz="4" w:space="0" w:color="auto"/>
            </w:tcBorders>
            <w:vAlign w:val="center"/>
          </w:tcPr>
          <w:p w:rsidR="00224BD1" w:rsidRPr="008A6949" w:rsidRDefault="00224BD1"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定投</w:t>
            </w:r>
            <w:r w:rsidR="006C2E48" w:rsidRPr="008A6949">
              <w:rPr>
                <w:rFonts w:ascii="仿宋" w:eastAsia="仿宋" w:hAnsi="仿宋" w:cs="宋体" w:hint="eastAsia"/>
                <w:color w:val="000000"/>
                <w:kern w:val="0"/>
                <w:sz w:val="24"/>
                <w:szCs w:val="24"/>
              </w:rPr>
              <w:t>下限</w:t>
            </w:r>
          </w:p>
        </w:tc>
        <w:tc>
          <w:tcPr>
            <w:tcW w:w="1276" w:type="dxa"/>
            <w:tcBorders>
              <w:top w:val="single" w:sz="4" w:space="0" w:color="auto"/>
              <w:left w:val="single" w:sz="4" w:space="0" w:color="auto"/>
              <w:bottom w:val="single" w:sz="4" w:space="0" w:color="auto"/>
              <w:right w:val="single" w:sz="4" w:space="0" w:color="auto"/>
            </w:tcBorders>
            <w:vAlign w:val="center"/>
          </w:tcPr>
          <w:p w:rsidR="00224BD1" w:rsidRPr="008A6949" w:rsidRDefault="00224BD1"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费率优惠</w:t>
            </w: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0F4975">
              <w:rPr>
                <w:rFonts w:ascii="仿宋" w:eastAsia="仿宋" w:hAnsi="仿宋" w:cs="宋体" w:hint="eastAsia"/>
                <w:color w:val="000000"/>
                <w:kern w:val="0"/>
                <w:sz w:val="24"/>
                <w:szCs w:val="24"/>
              </w:rPr>
              <w:t>泰信天天收益货币A</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0F4975">
              <w:rPr>
                <w:rFonts w:ascii="仿宋" w:eastAsia="仿宋" w:hAnsi="仿宋" w:cs="宋体"/>
                <w:color w:val="000000"/>
                <w:kern w:val="0"/>
                <w:sz w:val="24"/>
                <w:szCs w:val="24"/>
              </w:rPr>
              <w:t>290001</w:t>
            </w:r>
          </w:p>
        </w:tc>
        <w:tc>
          <w:tcPr>
            <w:tcW w:w="993" w:type="dxa"/>
            <w:vMerge w:val="restart"/>
            <w:tcBorders>
              <w:top w:val="single" w:sz="4" w:space="0" w:color="auto"/>
              <w:left w:val="nil"/>
              <w:right w:val="single" w:sz="4" w:space="0" w:color="auto"/>
            </w:tcBorders>
            <w:vAlign w:val="center"/>
          </w:tcPr>
          <w:p w:rsidR="00C700FA" w:rsidRPr="008A6949" w:rsidRDefault="00C700FA" w:rsidP="00C700FA">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是</w:t>
            </w:r>
          </w:p>
        </w:tc>
        <w:tc>
          <w:tcPr>
            <w:tcW w:w="1315" w:type="dxa"/>
            <w:tcBorders>
              <w:top w:val="single" w:sz="4" w:space="0" w:color="auto"/>
              <w:left w:val="nil"/>
              <w:bottom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val="restart"/>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是</w:t>
            </w: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0F4975">
              <w:rPr>
                <w:rFonts w:ascii="仿宋" w:eastAsia="仿宋" w:hAnsi="仿宋" w:cs="宋体" w:hint="eastAsia"/>
                <w:color w:val="000000"/>
                <w:kern w:val="0"/>
                <w:sz w:val="24"/>
                <w:szCs w:val="24"/>
              </w:rPr>
              <w:t>泰信天天收益货币B</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0F4975">
              <w:rPr>
                <w:rFonts w:ascii="仿宋" w:eastAsia="仿宋" w:hAnsi="仿宋" w:cs="宋体"/>
                <w:color w:val="000000"/>
                <w:kern w:val="0"/>
                <w:sz w:val="24"/>
                <w:szCs w:val="24"/>
              </w:rPr>
              <w:t>002234</w:t>
            </w:r>
          </w:p>
        </w:tc>
        <w:tc>
          <w:tcPr>
            <w:tcW w:w="993" w:type="dxa"/>
            <w:vMerge/>
            <w:tcBorders>
              <w:left w:val="nil"/>
              <w:right w:val="single" w:sz="4" w:space="0" w:color="auto"/>
            </w:tcBorders>
            <w:vAlign w:val="center"/>
          </w:tcPr>
          <w:p w:rsidR="00C700FA" w:rsidRDefault="00C700FA" w:rsidP="00FB0859">
            <w:pPr>
              <w:jc w:val="center"/>
              <w:rPr>
                <w:rFonts w:ascii="仿宋" w:eastAsia="仿宋" w:hAnsi="仿宋" w:cs="宋体"/>
                <w:color w:val="000000"/>
                <w:kern w:val="0"/>
                <w:sz w:val="24"/>
                <w:szCs w:val="24"/>
              </w:rPr>
            </w:pPr>
          </w:p>
        </w:tc>
        <w:tc>
          <w:tcPr>
            <w:tcW w:w="1315" w:type="dxa"/>
            <w:tcBorders>
              <w:top w:val="single" w:sz="4" w:space="0" w:color="auto"/>
              <w:left w:val="nil"/>
              <w:bottom w:val="single" w:sz="4" w:space="0" w:color="auto"/>
              <w:right w:val="single" w:sz="4" w:space="0" w:color="auto"/>
            </w:tcBorders>
            <w:vAlign w:val="center"/>
          </w:tcPr>
          <w:p w:rsidR="00C700FA" w:rsidRDefault="00C700FA" w:rsidP="000F4975">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否</w:t>
            </w:r>
          </w:p>
        </w:tc>
        <w:tc>
          <w:tcPr>
            <w:tcW w:w="1276" w:type="dxa"/>
            <w:vMerge/>
            <w:tcBorders>
              <w:left w:val="single" w:sz="4" w:space="0" w:color="auto"/>
              <w:right w:val="single" w:sz="4" w:space="0" w:color="auto"/>
            </w:tcBorders>
            <w:vAlign w:val="center"/>
          </w:tcPr>
          <w:p w:rsidR="00C700FA"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DE5C28">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泰信先行策略混合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DE5C28">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290002</w:t>
            </w:r>
          </w:p>
        </w:tc>
        <w:tc>
          <w:tcPr>
            <w:tcW w:w="993" w:type="dxa"/>
            <w:vMerge/>
            <w:tcBorders>
              <w:left w:val="nil"/>
              <w:right w:val="single" w:sz="4" w:space="0" w:color="auto"/>
            </w:tcBorders>
            <w:vAlign w:val="center"/>
          </w:tcPr>
          <w:p w:rsidR="00C700FA" w:rsidRDefault="00C700FA" w:rsidP="00FB0859">
            <w:pPr>
              <w:jc w:val="center"/>
              <w:rPr>
                <w:rFonts w:ascii="仿宋" w:eastAsia="仿宋" w:hAnsi="仿宋" w:cs="宋体"/>
                <w:color w:val="000000"/>
                <w:kern w:val="0"/>
                <w:sz w:val="24"/>
                <w:szCs w:val="24"/>
              </w:rPr>
            </w:pPr>
          </w:p>
        </w:tc>
        <w:tc>
          <w:tcPr>
            <w:tcW w:w="1315" w:type="dxa"/>
            <w:vMerge w:val="restart"/>
            <w:tcBorders>
              <w:top w:val="single" w:sz="4" w:space="0" w:color="auto"/>
              <w:left w:val="nil"/>
              <w:right w:val="single" w:sz="4" w:space="0" w:color="auto"/>
            </w:tcBorders>
            <w:vAlign w:val="center"/>
          </w:tcPr>
          <w:p w:rsidR="00C700FA" w:rsidRDefault="00C700FA" w:rsidP="00224BD1">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tcBorders>
              <w:left w:val="single" w:sz="4" w:space="0" w:color="auto"/>
              <w:right w:val="single" w:sz="4" w:space="0" w:color="auto"/>
            </w:tcBorders>
            <w:vAlign w:val="center"/>
          </w:tcPr>
          <w:p w:rsidR="00C700FA"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泰信双息双利债券</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290003</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泰信优质生活混合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290004</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泰信优势增长混合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290005</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泰信蓝筹精选混合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290006</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31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泰信增强收益债券</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A类：290007</w:t>
            </w:r>
          </w:p>
          <w:p w:rsidR="00C700FA" w:rsidRPr="008A6949" w:rsidRDefault="00C700FA"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C类：291007</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泰信发展主题混合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290008</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泰信周期回报债券</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290009</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泰信中证200指数</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290010</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泰信中小盘精选混合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290011</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jc w:val="center"/>
              <w:rPr>
                <w:rFonts w:ascii="仿宋" w:eastAsia="仿宋" w:hAnsi="仿宋" w:cs="宋体"/>
                <w:color w:val="000000"/>
                <w:kern w:val="0"/>
                <w:sz w:val="24"/>
                <w:szCs w:val="24"/>
              </w:rPr>
            </w:pPr>
          </w:p>
        </w:tc>
      </w:tr>
      <w:tr w:rsidR="00C700FA" w:rsidRPr="008A6949" w:rsidTr="00F35AC8">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lastRenderedPageBreak/>
              <w:t>泰信行业精选混合A</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290012</w:t>
            </w:r>
          </w:p>
        </w:tc>
        <w:tc>
          <w:tcPr>
            <w:tcW w:w="993" w:type="dxa"/>
            <w:vMerge/>
            <w:tcBorders>
              <w:left w:val="nil"/>
              <w:right w:val="single" w:sz="4" w:space="0" w:color="auto"/>
            </w:tcBorders>
            <w:vAlign w:val="center"/>
          </w:tcPr>
          <w:p w:rsidR="00C700FA" w:rsidRPr="008A6949" w:rsidRDefault="00C700FA" w:rsidP="00FB0859">
            <w:pPr>
              <w:jc w:val="center"/>
              <w:rPr>
                <w:rFonts w:ascii="仿宋" w:eastAsia="仿宋" w:hAnsi="仿宋" w:cs="宋体"/>
                <w:color w:val="000000"/>
                <w:kern w:val="0"/>
                <w:sz w:val="24"/>
                <w:szCs w:val="24"/>
              </w:rPr>
            </w:pPr>
          </w:p>
        </w:tc>
        <w:tc>
          <w:tcPr>
            <w:tcW w:w="1315" w:type="dxa"/>
            <w:vMerge/>
            <w:tcBorders>
              <w:left w:val="nil"/>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F35AC8">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泰信现代服务业混合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290014</w:t>
            </w:r>
          </w:p>
        </w:tc>
        <w:tc>
          <w:tcPr>
            <w:tcW w:w="993" w:type="dxa"/>
            <w:vMerge/>
            <w:tcBorders>
              <w:left w:val="nil"/>
              <w:right w:val="single" w:sz="4" w:space="0" w:color="auto"/>
            </w:tcBorders>
            <w:vAlign w:val="center"/>
          </w:tcPr>
          <w:p w:rsidR="00C700FA" w:rsidRPr="008A6949" w:rsidRDefault="00C700FA" w:rsidP="00FB0859">
            <w:pPr>
              <w:widowControl/>
              <w:jc w:val="center"/>
              <w:rPr>
                <w:rFonts w:ascii="仿宋" w:eastAsia="仿宋" w:hAnsi="仿宋" w:cs="宋体"/>
                <w:color w:val="000000"/>
                <w:kern w:val="0"/>
                <w:sz w:val="24"/>
                <w:szCs w:val="24"/>
              </w:rPr>
            </w:pPr>
          </w:p>
        </w:tc>
        <w:tc>
          <w:tcPr>
            <w:tcW w:w="1315" w:type="dxa"/>
            <w:vMerge/>
            <w:tcBorders>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泰信鑫益定期开放债券</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A类：000212</w:t>
            </w:r>
          </w:p>
          <w:p w:rsidR="00C700FA" w:rsidRPr="008A6949" w:rsidRDefault="00C700FA"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C类：000213</w:t>
            </w:r>
          </w:p>
        </w:tc>
        <w:tc>
          <w:tcPr>
            <w:tcW w:w="993" w:type="dxa"/>
            <w:vMerge/>
            <w:tcBorders>
              <w:left w:val="nil"/>
              <w:right w:val="single" w:sz="4" w:space="0" w:color="auto"/>
            </w:tcBorders>
            <w:vAlign w:val="center"/>
          </w:tcPr>
          <w:p w:rsidR="00C700FA" w:rsidRPr="008A6949" w:rsidRDefault="00C700FA" w:rsidP="00EC7DC6">
            <w:pPr>
              <w:jc w:val="center"/>
              <w:rPr>
                <w:rFonts w:ascii="仿宋" w:eastAsia="仿宋" w:hAnsi="仿宋" w:cs="宋体"/>
                <w:color w:val="000000"/>
                <w:kern w:val="0"/>
                <w:sz w:val="24"/>
                <w:szCs w:val="24"/>
              </w:rPr>
            </w:pPr>
          </w:p>
        </w:tc>
        <w:tc>
          <w:tcPr>
            <w:tcW w:w="1315" w:type="dxa"/>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否</w:t>
            </w: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泰信国策驱动混合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001569</w:t>
            </w:r>
          </w:p>
        </w:tc>
        <w:tc>
          <w:tcPr>
            <w:tcW w:w="993" w:type="dxa"/>
            <w:vMerge/>
            <w:tcBorders>
              <w:left w:val="nil"/>
              <w:right w:val="single" w:sz="4" w:space="0" w:color="auto"/>
            </w:tcBorders>
            <w:vAlign w:val="center"/>
          </w:tcPr>
          <w:p w:rsidR="00C700FA" w:rsidRPr="008A6949" w:rsidRDefault="00C700FA" w:rsidP="00EC7DC6">
            <w:pPr>
              <w:jc w:val="center"/>
              <w:rPr>
                <w:rFonts w:ascii="仿宋" w:eastAsia="仿宋" w:hAnsi="仿宋" w:cs="宋体"/>
                <w:color w:val="000000"/>
                <w:kern w:val="0"/>
                <w:sz w:val="24"/>
                <w:szCs w:val="24"/>
              </w:rPr>
            </w:pPr>
          </w:p>
        </w:tc>
        <w:tc>
          <w:tcPr>
            <w:tcW w:w="1315" w:type="dxa"/>
            <w:vMerge w:val="restart"/>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r w:rsidRPr="008A6949">
              <w:rPr>
                <w:rFonts w:ascii="仿宋" w:eastAsia="仿宋" w:hAnsi="仿宋" w:cs="宋体" w:hint="eastAsia"/>
                <w:color w:val="000000"/>
                <w:kern w:val="0"/>
                <w:sz w:val="24"/>
                <w:szCs w:val="24"/>
              </w:rPr>
              <w:t>元</w:t>
            </w: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泰信鑫选混合A</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001970</w:t>
            </w:r>
          </w:p>
        </w:tc>
        <w:tc>
          <w:tcPr>
            <w:tcW w:w="993" w:type="dxa"/>
            <w:vMerge/>
            <w:tcBorders>
              <w:left w:val="nil"/>
              <w:right w:val="single" w:sz="4" w:space="0" w:color="auto"/>
            </w:tcBorders>
            <w:vAlign w:val="center"/>
          </w:tcPr>
          <w:p w:rsidR="00C700FA" w:rsidRPr="008A6949" w:rsidRDefault="00C700FA"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泰信互联网+混合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EC7DC6">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001978</w:t>
            </w:r>
          </w:p>
        </w:tc>
        <w:tc>
          <w:tcPr>
            <w:tcW w:w="993" w:type="dxa"/>
            <w:vMerge/>
            <w:tcBorders>
              <w:left w:val="nil"/>
              <w:right w:val="single" w:sz="4" w:space="0" w:color="auto"/>
            </w:tcBorders>
            <w:vAlign w:val="center"/>
          </w:tcPr>
          <w:p w:rsidR="00C700FA" w:rsidRPr="008A6949" w:rsidRDefault="00C700FA"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8B2F8C">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泰信智选成长</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8B2F8C">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003333</w:t>
            </w:r>
          </w:p>
        </w:tc>
        <w:tc>
          <w:tcPr>
            <w:tcW w:w="993" w:type="dxa"/>
            <w:vMerge/>
            <w:tcBorders>
              <w:left w:val="nil"/>
              <w:right w:val="single" w:sz="4" w:space="0" w:color="auto"/>
            </w:tcBorders>
            <w:vAlign w:val="center"/>
          </w:tcPr>
          <w:p w:rsidR="00C700FA" w:rsidRPr="008A6949" w:rsidRDefault="00C700FA"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泰信鑫利混合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A类：004227</w:t>
            </w:r>
          </w:p>
          <w:p w:rsidR="00C700FA" w:rsidRPr="008A6949" w:rsidRDefault="00C700FA" w:rsidP="004E6939">
            <w:pPr>
              <w:widowControl/>
              <w:jc w:val="center"/>
              <w:rPr>
                <w:rFonts w:ascii="仿宋" w:eastAsia="仿宋" w:hAnsi="仿宋" w:cs="宋体"/>
                <w:color w:val="000000"/>
                <w:kern w:val="0"/>
                <w:sz w:val="24"/>
                <w:szCs w:val="24"/>
              </w:rPr>
            </w:pPr>
            <w:r w:rsidRPr="008A6949">
              <w:rPr>
                <w:rFonts w:ascii="仿宋" w:eastAsia="仿宋" w:hAnsi="仿宋" w:cs="宋体" w:hint="eastAsia"/>
                <w:color w:val="000000"/>
                <w:kern w:val="0"/>
                <w:sz w:val="24"/>
                <w:szCs w:val="24"/>
              </w:rPr>
              <w:t>C类：004228</w:t>
            </w:r>
          </w:p>
        </w:tc>
        <w:tc>
          <w:tcPr>
            <w:tcW w:w="993" w:type="dxa"/>
            <w:vMerge/>
            <w:tcBorders>
              <w:left w:val="nil"/>
              <w:right w:val="single" w:sz="4" w:space="0" w:color="auto"/>
            </w:tcBorders>
            <w:vAlign w:val="center"/>
          </w:tcPr>
          <w:p w:rsidR="00C700FA" w:rsidRPr="008A6949" w:rsidRDefault="00C700FA" w:rsidP="00EC7DC6">
            <w:pPr>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r w:rsidR="00C700FA" w:rsidRPr="008A6949" w:rsidTr="00895F12">
        <w:trPr>
          <w:trHeight w:val="28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700FA" w:rsidRPr="008A6949" w:rsidRDefault="00C700FA" w:rsidP="008A694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泰信竞争优选混合</w:t>
            </w:r>
          </w:p>
        </w:tc>
        <w:tc>
          <w:tcPr>
            <w:tcW w:w="1984" w:type="dxa"/>
            <w:tcBorders>
              <w:top w:val="nil"/>
              <w:left w:val="nil"/>
              <w:bottom w:val="single" w:sz="4" w:space="0" w:color="auto"/>
              <w:right w:val="single" w:sz="4" w:space="0" w:color="auto"/>
            </w:tcBorders>
            <w:shd w:val="clear" w:color="auto" w:fill="auto"/>
            <w:vAlign w:val="center"/>
          </w:tcPr>
          <w:p w:rsidR="00C700FA" w:rsidRPr="008A6949" w:rsidRDefault="00C700FA" w:rsidP="008A694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005535</w:t>
            </w:r>
          </w:p>
        </w:tc>
        <w:tc>
          <w:tcPr>
            <w:tcW w:w="993" w:type="dxa"/>
            <w:vMerge/>
            <w:tcBorders>
              <w:left w:val="nil"/>
              <w:bottom w:val="single" w:sz="4" w:space="0" w:color="auto"/>
              <w:right w:val="single" w:sz="4" w:space="0" w:color="auto"/>
            </w:tcBorders>
            <w:vAlign w:val="center"/>
          </w:tcPr>
          <w:p w:rsidR="00C700FA" w:rsidRPr="008A6949" w:rsidRDefault="00C700FA" w:rsidP="00EC7DC6">
            <w:pPr>
              <w:widowControl/>
              <w:jc w:val="center"/>
              <w:rPr>
                <w:rFonts w:ascii="仿宋" w:eastAsia="仿宋" w:hAnsi="仿宋" w:cs="宋体"/>
                <w:color w:val="000000"/>
                <w:kern w:val="0"/>
                <w:sz w:val="24"/>
                <w:szCs w:val="24"/>
              </w:rPr>
            </w:pPr>
          </w:p>
        </w:tc>
        <w:tc>
          <w:tcPr>
            <w:tcW w:w="1315" w:type="dxa"/>
            <w:vMerge/>
            <w:tcBorders>
              <w:top w:val="single" w:sz="4" w:space="0" w:color="auto"/>
              <w:left w:val="nil"/>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c>
          <w:tcPr>
            <w:tcW w:w="1276" w:type="dxa"/>
            <w:vMerge/>
            <w:tcBorders>
              <w:left w:val="single" w:sz="4" w:space="0" w:color="auto"/>
              <w:bottom w:val="single" w:sz="4" w:space="0" w:color="auto"/>
              <w:right w:val="single" w:sz="4" w:space="0" w:color="auto"/>
            </w:tcBorders>
            <w:vAlign w:val="center"/>
          </w:tcPr>
          <w:p w:rsidR="00C700FA" w:rsidRPr="008A6949" w:rsidRDefault="00C700FA" w:rsidP="00224BD1">
            <w:pPr>
              <w:widowControl/>
              <w:jc w:val="center"/>
              <w:rPr>
                <w:rFonts w:ascii="仿宋" w:eastAsia="仿宋" w:hAnsi="仿宋" w:cs="宋体"/>
                <w:color w:val="000000"/>
                <w:kern w:val="0"/>
                <w:sz w:val="24"/>
                <w:szCs w:val="24"/>
              </w:rPr>
            </w:pPr>
          </w:p>
        </w:tc>
      </w:tr>
    </w:tbl>
    <w:p w:rsidR="005C41B3" w:rsidRPr="008A6949" w:rsidRDefault="00AF5F2D" w:rsidP="007B3B8E">
      <w:pPr>
        <w:autoSpaceDE w:val="0"/>
        <w:autoSpaceDN w:val="0"/>
        <w:adjustRightInd w:val="0"/>
        <w:spacing w:line="360" w:lineRule="auto"/>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注：1、</w:t>
      </w:r>
      <w:r w:rsidR="00DC1BF9" w:rsidRPr="008A6949">
        <w:rPr>
          <w:rFonts w:ascii="仿宋" w:eastAsia="仿宋" w:hAnsi="仿宋" w:cs="宋体" w:hint="eastAsia"/>
          <w:color w:val="000000"/>
          <w:kern w:val="0"/>
          <w:szCs w:val="21"/>
        </w:rPr>
        <w:t>泰信鑫益定期开放债券基金为定期开放式基金，</w:t>
      </w:r>
      <w:r w:rsidR="00DC1BF9" w:rsidRPr="008A6949">
        <w:rPr>
          <w:rFonts w:ascii="仿宋" w:eastAsia="仿宋" w:hAnsi="仿宋" w:cs="宋体"/>
          <w:color w:val="000000"/>
          <w:kern w:val="0"/>
          <w:szCs w:val="21"/>
        </w:rPr>
        <w:t>不同基金份额类别（</w:t>
      </w:r>
      <w:r w:rsidR="00973CFE" w:rsidRPr="008A6949">
        <w:rPr>
          <w:rFonts w:ascii="仿宋" w:eastAsia="仿宋" w:hAnsi="仿宋" w:cs="宋体" w:hint="eastAsia"/>
          <w:color w:val="000000"/>
          <w:kern w:val="0"/>
          <w:szCs w:val="21"/>
        </w:rPr>
        <w:t>A类：</w:t>
      </w:r>
      <w:r w:rsidR="00DC1BF9" w:rsidRPr="008A6949">
        <w:rPr>
          <w:rFonts w:ascii="仿宋" w:eastAsia="仿宋" w:hAnsi="仿宋" w:cs="宋体"/>
          <w:color w:val="000000"/>
          <w:kern w:val="0"/>
          <w:szCs w:val="21"/>
        </w:rPr>
        <w:t>000212、</w:t>
      </w:r>
      <w:r w:rsidR="00973CFE" w:rsidRPr="008A6949">
        <w:rPr>
          <w:rFonts w:ascii="仿宋" w:eastAsia="仿宋" w:hAnsi="仿宋" w:cs="宋体" w:hint="eastAsia"/>
          <w:color w:val="000000"/>
          <w:kern w:val="0"/>
          <w:szCs w:val="21"/>
        </w:rPr>
        <w:t>C类：</w:t>
      </w:r>
      <w:r w:rsidR="00DC1BF9" w:rsidRPr="008A6949">
        <w:rPr>
          <w:rFonts w:ascii="仿宋" w:eastAsia="仿宋" w:hAnsi="仿宋" w:cs="宋体"/>
          <w:color w:val="000000"/>
          <w:kern w:val="0"/>
          <w:szCs w:val="21"/>
        </w:rPr>
        <w:t>000213）之间不得互相转换</w:t>
      </w:r>
      <w:r w:rsidR="00DC1BF9" w:rsidRPr="008A6949">
        <w:rPr>
          <w:rFonts w:ascii="仿宋" w:eastAsia="仿宋" w:hAnsi="仿宋" w:cs="宋体" w:hint="eastAsia"/>
          <w:color w:val="000000"/>
          <w:kern w:val="0"/>
          <w:szCs w:val="21"/>
        </w:rPr>
        <w:t>，本基金现处于封闭期，具体开放申购赎回时间以本公司发布相关业务公告为准。</w:t>
      </w:r>
    </w:p>
    <w:p w:rsidR="008A6949" w:rsidRDefault="007B3B8E" w:rsidP="00973CFE">
      <w:pPr>
        <w:autoSpaceDE w:val="0"/>
        <w:autoSpaceDN w:val="0"/>
        <w:adjustRightIn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2</w:t>
      </w:r>
      <w:r w:rsidR="008A6949" w:rsidRPr="008A6949">
        <w:rPr>
          <w:rFonts w:ascii="仿宋" w:eastAsia="仿宋" w:hAnsi="仿宋" w:cs="宋体" w:hint="eastAsia"/>
          <w:color w:val="000000"/>
          <w:kern w:val="0"/>
          <w:szCs w:val="21"/>
        </w:rPr>
        <w:t>、</w:t>
      </w:r>
      <w:r w:rsidR="000459E1" w:rsidRPr="00E52FDE">
        <w:rPr>
          <w:rFonts w:ascii="仿宋" w:eastAsia="仿宋" w:hAnsi="仿宋" w:cs="宋体" w:hint="eastAsia"/>
          <w:color w:val="000000"/>
          <w:kern w:val="0"/>
          <w:szCs w:val="21"/>
        </w:rPr>
        <w:t>泰信鑫利混合型证券投资基金</w:t>
      </w:r>
      <w:r w:rsidR="008A6949" w:rsidRPr="008A6949">
        <w:rPr>
          <w:rFonts w:ascii="仿宋" w:eastAsia="仿宋" w:hAnsi="仿宋" w:cs="宋体"/>
          <w:color w:val="000000"/>
          <w:kern w:val="0"/>
          <w:szCs w:val="21"/>
        </w:rPr>
        <w:t>不同基金份额类别（</w:t>
      </w:r>
      <w:r w:rsidR="008A6949" w:rsidRPr="008A6949">
        <w:rPr>
          <w:rFonts w:ascii="仿宋" w:eastAsia="仿宋" w:hAnsi="仿宋" w:cs="宋体" w:hint="eastAsia"/>
          <w:color w:val="000000"/>
          <w:kern w:val="0"/>
          <w:szCs w:val="21"/>
        </w:rPr>
        <w:t>A类：004227</w:t>
      </w:r>
      <w:r w:rsidR="008A6949" w:rsidRPr="008A6949">
        <w:rPr>
          <w:rFonts w:ascii="仿宋" w:eastAsia="仿宋" w:hAnsi="仿宋" w:cs="宋体"/>
          <w:color w:val="000000"/>
          <w:kern w:val="0"/>
          <w:szCs w:val="21"/>
        </w:rPr>
        <w:t>、</w:t>
      </w:r>
      <w:r w:rsidR="008A6949" w:rsidRPr="008A6949">
        <w:rPr>
          <w:rFonts w:ascii="仿宋" w:eastAsia="仿宋" w:hAnsi="仿宋" w:cs="宋体" w:hint="eastAsia"/>
          <w:color w:val="000000"/>
          <w:kern w:val="0"/>
          <w:szCs w:val="21"/>
        </w:rPr>
        <w:t>C类:004228</w:t>
      </w:r>
      <w:r w:rsidR="008A6949" w:rsidRPr="008A6949">
        <w:rPr>
          <w:rFonts w:ascii="仿宋" w:eastAsia="仿宋" w:hAnsi="仿宋" w:cs="宋体"/>
          <w:color w:val="000000"/>
          <w:kern w:val="0"/>
          <w:szCs w:val="21"/>
        </w:rPr>
        <w:t>）之间</w:t>
      </w:r>
      <w:r w:rsidR="008A6949" w:rsidRPr="008A6949">
        <w:rPr>
          <w:rFonts w:ascii="仿宋" w:eastAsia="仿宋" w:hAnsi="仿宋" w:cs="宋体" w:hint="eastAsia"/>
          <w:color w:val="000000"/>
          <w:kern w:val="0"/>
          <w:szCs w:val="21"/>
        </w:rPr>
        <w:t>暂时</w:t>
      </w:r>
      <w:r w:rsidR="008A6949" w:rsidRPr="008A6949">
        <w:rPr>
          <w:rFonts w:ascii="仿宋" w:eastAsia="仿宋" w:hAnsi="仿宋" w:cs="宋体"/>
          <w:color w:val="000000"/>
          <w:kern w:val="0"/>
          <w:szCs w:val="21"/>
        </w:rPr>
        <w:t>不得互相转换。</w:t>
      </w:r>
    </w:p>
    <w:p w:rsidR="007F6210" w:rsidRPr="008A6949" w:rsidRDefault="007F6210" w:rsidP="00492155">
      <w:pPr>
        <w:pStyle w:val="Default"/>
        <w:ind w:firstLineChars="200" w:firstLine="560"/>
        <w:rPr>
          <w:rFonts w:ascii="仿宋" w:eastAsia="仿宋" w:hAnsi="仿宋"/>
          <w:sz w:val="28"/>
          <w:szCs w:val="28"/>
        </w:rPr>
      </w:pPr>
      <w:r w:rsidRPr="008A6949">
        <w:rPr>
          <w:rFonts w:ascii="仿宋" w:eastAsia="仿宋" w:hAnsi="仿宋" w:hint="eastAsia"/>
          <w:sz w:val="28"/>
          <w:szCs w:val="28"/>
        </w:rPr>
        <w:t>二、具体费率优惠情况</w:t>
      </w:r>
    </w:p>
    <w:p w:rsidR="007F6210" w:rsidRDefault="007F6210" w:rsidP="007F6210">
      <w:pPr>
        <w:pStyle w:val="Default"/>
        <w:ind w:firstLineChars="200" w:firstLine="560"/>
        <w:rPr>
          <w:rFonts w:ascii="仿宋" w:eastAsia="仿宋" w:hAnsi="仿宋"/>
          <w:sz w:val="28"/>
          <w:szCs w:val="28"/>
        </w:rPr>
      </w:pPr>
      <w:r w:rsidRPr="008A6949">
        <w:rPr>
          <w:rFonts w:ascii="仿宋" w:eastAsia="仿宋" w:hAnsi="仿宋" w:hint="eastAsia"/>
          <w:sz w:val="28"/>
          <w:szCs w:val="28"/>
        </w:rPr>
        <w:t>投资者通过</w:t>
      </w:r>
      <w:r w:rsidR="00381E0B">
        <w:rPr>
          <w:rFonts w:ascii="仿宋" w:eastAsia="仿宋" w:hAnsi="仿宋" w:hint="eastAsia"/>
          <w:sz w:val="28"/>
          <w:szCs w:val="28"/>
        </w:rPr>
        <w:t>东吴证券</w:t>
      </w:r>
      <w:r w:rsidRPr="008A6949">
        <w:rPr>
          <w:rFonts w:ascii="仿宋" w:eastAsia="仿宋" w:hAnsi="仿宋" w:hint="eastAsia"/>
          <w:sz w:val="28"/>
          <w:szCs w:val="28"/>
        </w:rPr>
        <w:t>的交易系统</w:t>
      </w:r>
      <w:r w:rsidR="00224BD1" w:rsidRPr="008A6949">
        <w:rPr>
          <w:rFonts w:ascii="仿宋" w:eastAsia="仿宋" w:hAnsi="仿宋" w:hint="eastAsia"/>
          <w:sz w:val="28"/>
          <w:szCs w:val="28"/>
        </w:rPr>
        <w:t>进行</w:t>
      </w:r>
      <w:r w:rsidRPr="008A6949">
        <w:rPr>
          <w:rFonts w:ascii="仿宋" w:eastAsia="仿宋" w:hAnsi="仿宋" w:hint="eastAsia"/>
          <w:sz w:val="28"/>
          <w:szCs w:val="28"/>
        </w:rPr>
        <w:t>申购</w:t>
      </w:r>
      <w:r w:rsidR="00224BD1" w:rsidRPr="008A6949">
        <w:rPr>
          <w:rFonts w:ascii="仿宋" w:eastAsia="仿宋" w:hAnsi="仿宋" w:hint="eastAsia"/>
          <w:sz w:val="28"/>
          <w:szCs w:val="28"/>
        </w:rPr>
        <w:t>及定投</w:t>
      </w:r>
      <w:r w:rsidR="0091638C">
        <w:rPr>
          <w:rFonts w:ascii="仿宋" w:eastAsia="仿宋" w:hAnsi="仿宋" w:hint="eastAsia"/>
          <w:sz w:val="28"/>
          <w:szCs w:val="28"/>
        </w:rPr>
        <w:t>上述基金</w:t>
      </w:r>
      <w:r w:rsidRPr="008A6949">
        <w:rPr>
          <w:rFonts w:ascii="仿宋" w:eastAsia="仿宋" w:hAnsi="仿宋" w:hint="eastAsia"/>
          <w:sz w:val="28"/>
          <w:szCs w:val="28"/>
        </w:rPr>
        <w:t>的（仅限场外、前端模式），</w:t>
      </w:r>
      <w:r w:rsidR="008A6949" w:rsidRPr="008A6949">
        <w:rPr>
          <w:rFonts w:ascii="仿宋" w:eastAsia="仿宋" w:hAnsi="仿宋" w:hint="eastAsia"/>
          <w:sz w:val="28"/>
          <w:szCs w:val="28"/>
        </w:rPr>
        <w:t>享受费率最低1折优惠</w:t>
      </w:r>
      <w:r w:rsidR="0091638C">
        <w:rPr>
          <w:rFonts w:ascii="仿宋" w:eastAsia="仿宋" w:hAnsi="仿宋" w:hint="eastAsia"/>
          <w:sz w:val="28"/>
          <w:szCs w:val="28"/>
        </w:rPr>
        <w:t>，</w:t>
      </w:r>
      <w:r w:rsidRPr="008A6949">
        <w:rPr>
          <w:rFonts w:ascii="仿宋" w:eastAsia="仿宋" w:hAnsi="仿宋" w:hint="eastAsia"/>
          <w:sz w:val="28"/>
          <w:szCs w:val="28"/>
        </w:rPr>
        <w:t>各基金具体折扣后费率及费率优惠活动期限以</w:t>
      </w:r>
      <w:r w:rsidR="00381E0B">
        <w:rPr>
          <w:rFonts w:ascii="仿宋" w:eastAsia="仿宋" w:hAnsi="仿宋" w:hint="eastAsia"/>
          <w:sz w:val="28"/>
          <w:szCs w:val="28"/>
        </w:rPr>
        <w:t>东吴证券</w:t>
      </w:r>
      <w:r w:rsidR="00EC44FF">
        <w:rPr>
          <w:rFonts w:ascii="仿宋" w:eastAsia="仿宋" w:hAnsi="仿宋" w:hint="eastAsia"/>
          <w:sz w:val="28"/>
          <w:szCs w:val="28"/>
        </w:rPr>
        <w:t>公示</w:t>
      </w:r>
      <w:r w:rsidRPr="008A6949">
        <w:rPr>
          <w:rFonts w:ascii="仿宋" w:eastAsia="仿宋" w:hAnsi="仿宋" w:hint="eastAsia"/>
          <w:sz w:val="28"/>
          <w:szCs w:val="28"/>
        </w:rPr>
        <w:t>为准。</w:t>
      </w:r>
      <w:r w:rsidR="00B65949" w:rsidRPr="00B65949">
        <w:rPr>
          <w:rFonts w:ascii="仿宋" w:eastAsia="仿宋" w:hAnsi="仿宋" w:hint="eastAsia"/>
          <w:sz w:val="28"/>
          <w:szCs w:val="28"/>
        </w:rPr>
        <w:t>若原申购费率是固定费用的，则按固定费用执行，不再享有费率折扣。</w:t>
      </w:r>
    </w:p>
    <w:p w:rsidR="00017D5A" w:rsidRPr="008A6949" w:rsidRDefault="007F6210" w:rsidP="003E75C3">
      <w:pPr>
        <w:pStyle w:val="Default"/>
        <w:ind w:firstLineChars="200" w:firstLine="560"/>
        <w:rPr>
          <w:rFonts w:ascii="仿宋" w:eastAsia="仿宋" w:hAnsi="仿宋"/>
          <w:sz w:val="28"/>
          <w:szCs w:val="28"/>
        </w:rPr>
      </w:pPr>
      <w:r w:rsidRPr="008A6949">
        <w:rPr>
          <w:rFonts w:ascii="仿宋" w:eastAsia="仿宋" w:hAnsi="仿宋" w:hint="eastAsia"/>
          <w:sz w:val="28"/>
          <w:szCs w:val="28"/>
        </w:rPr>
        <w:t>三</w:t>
      </w:r>
      <w:r w:rsidR="0056141A" w:rsidRPr="008A6949">
        <w:rPr>
          <w:rFonts w:ascii="仿宋" w:eastAsia="仿宋" w:hAnsi="仿宋" w:hint="eastAsia"/>
          <w:sz w:val="28"/>
          <w:szCs w:val="28"/>
        </w:rPr>
        <w:t>、</w:t>
      </w:r>
      <w:r w:rsidR="00017D5A" w:rsidRPr="008A6949">
        <w:rPr>
          <w:rFonts w:ascii="仿宋" w:eastAsia="仿宋" w:hAnsi="仿宋" w:hint="eastAsia"/>
          <w:sz w:val="28"/>
          <w:szCs w:val="28"/>
        </w:rPr>
        <w:t>基金转换业务规则</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lastRenderedPageBreak/>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2.基金转换只能在同一销售机构进行。转换的两只基金必须都是该销售人代理的同一基金管理人管理的、在同一注册登记人处注册且已开通转换业务的基金。</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3.前端收费模式的开放式基金只能转换到前端收费模式的其他基金</w:t>
      </w:r>
      <w:r w:rsidRPr="00E9441F">
        <w:rPr>
          <w:rFonts w:ascii="仿宋" w:eastAsia="仿宋" w:hAnsi="仿宋" w:hint="eastAsia"/>
          <w:sz w:val="28"/>
          <w:szCs w:val="28"/>
        </w:rPr>
        <w:t>，后端收费模式的开放式基金可以转换到前端收费模式或后端收费模式的其他基金。</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4.投资者办理基金转换业务时，转出方的基金必须处于可赎回状态，转入方的基金必须处于可申购状态。</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5.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6.基金分红时再投资的份额可在权益登记日的T＋2日提</w:t>
      </w:r>
      <w:r w:rsidRPr="00E9441F">
        <w:rPr>
          <w:rFonts w:ascii="仿宋" w:eastAsia="仿宋" w:hAnsi="仿宋" w:hint="eastAsia"/>
          <w:sz w:val="28"/>
          <w:szCs w:val="28"/>
        </w:rPr>
        <w:t>交基金转换申请。</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7.基金转换采取未知价法，即以申请受理当日各转出、转入基金的单位资产净值为基础进行计算。</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8. 基金转换费用由转出基金的赎回费、转出和转入基金的申购</w:t>
      </w:r>
      <w:r w:rsidRPr="00E9441F">
        <w:rPr>
          <w:rFonts w:ascii="仿宋" w:eastAsia="仿宋" w:hAnsi="仿宋"/>
          <w:sz w:val="28"/>
          <w:szCs w:val="28"/>
        </w:rPr>
        <w:lastRenderedPageBreak/>
        <w:t>费补差构成。</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9.基金转换的具体计算公式如下：</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①转出金额</w:t>
      </w:r>
      <w:r w:rsidRPr="00E9441F">
        <w:rPr>
          <w:rFonts w:ascii="仿宋" w:eastAsia="仿宋" w:hAnsi="仿宋"/>
          <w:sz w:val="28"/>
          <w:szCs w:val="28"/>
        </w:rPr>
        <w:t>=转出基金份额×转出基金T日基金份额净值</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②转出基金赎回费用</w:t>
      </w:r>
      <w:r w:rsidRPr="00E9441F">
        <w:rPr>
          <w:rFonts w:ascii="仿宋" w:eastAsia="仿宋" w:hAnsi="仿宋"/>
          <w:sz w:val="28"/>
          <w:szCs w:val="28"/>
        </w:rPr>
        <w:t>=转出金额×转出基金赎回费率</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③转入金额</w:t>
      </w:r>
      <w:r w:rsidRPr="00E9441F">
        <w:rPr>
          <w:rFonts w:ascii="仿宋" w:eastAsia="仿宋" w:hAnsi="仿宋"/>
          <w:sz w:val="28"/>
          <w:szCs w:val="28"/>
        </w:rPr>
        <w:t>=转出金额-转出基金赎回费用</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④转入基金申购费</w:t>
      </w:r>
      <w:r w:rsidRPr="00E9441F">
        <w:rPr>
          <w:rFonts w:ascii="仿宋" w:eastAsia="仿宋" w:hAnsi="仿宋"/>
          <w:sz w:val="28"/>
          <w:szCs w:val="28"/>
        </w:rPr>
        <w:t>=转入金额/(1+转入基金申购费率)×转入基金申购费率</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若转入基金申购费适用固定费用</w:t>
      </w:r>
      <w:r w:rsidRPr="00E9441F">
        <w:rPr>
          <w:rFonts w:ascii="仿宋" w:eastAsia="仿宋" w:hAnsi="仿宋"/>
          <w:sz w:val="28"/>
          <w:szCs w:val="28"/>
        </w:rPr>
        <w:t>,则转入基金申购费=转入基金固定申购费</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⑤转出基金申购费</w:t>
      </w:r>
      <w:r w:rsidRPr="00E9441F">
        <w:rPr>
          <w:rFonts w:ascii="仿宋" w:eastAsia="仿宋" w:hAnsi="仿宋"/>
          <w:sz w:val="28"/>
          <w:szCs w:val="28"/>
        </w:rPr>
        <w:t>=转入金额/(1+转出基金申购费率)×转出基金申购费率</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 xml:space="preserve"> 若转出基金申购费适用固定费用,则转出基金申购费=转出基金固定申购费</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⑥补差费用</w:t>
      </w:r>
      <w:r w:rsidRPr="00E9441F">
        <w:rPr>
          <w:rFonts w:ascii="仿宋" w:eastAsia="仿宋" w:hAnsi="仿宋"/>
          <w:sz w:val="28"/>
          <w:szCs w:val="28"/>
        </w:rPr>
        <w:t xml:space="preserve">=Max{(转入基金申购费-转出基金申购费)，0} </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⑦净转入金额</w:t>
      </w:r>
      <w:r w:rsidRPr="00E9441F">
        <w:rPr>
          <w:rFonts w:ascii="仿宋" w:eastAsia="仿宋" w:hAnsi="仿宋"/>
          <w:sz w:val="28"/>
          <w:szCs w:val="28"/>
        </w:rPr>
        <w:t>=转入金额-补差费用</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⑧转入份额</w:t>
      </w:r>
      <w:r w:rsidRPr="00E9441F">
        <w:rPr>
          <w:rFonts w:ascii="仿宋" w:eastAsia="仿宋" w:hAnsi="仿宋"/>
          <w:sz w:val="28"/>
          <w:szCs w:val="28"/>
        </w:rPr>
        <w:t>=净转入金额/转入基金T日基金份额净值</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注：公式中的“转出基金申购费”是在本次转换过程中按照转入金额重新计算的费用，仅用于计算补差费用，非转出基金份额在申购时实际支付的费用。</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例</w:t>
      </w:r>
      <w:r w:rsidRPr="00E9441F">
        <w:rPr>
          <w:rFonts w:ascii="仿宋" w:eastAsia="仿宋" w:hAnsi="仿宋"/>
          <w:sz w:val="28"/>
          <w:szCs w:val="28"/>
        </w:rPr>
        <w:t>:某投资者欲将10万份泰信周期回报债券型证券投资基金（以下简称“泰信周期回报债券”）（持有7天-365天内）转换为泰信中小盘精选混合型证券投资基金（以下简称“泰信中小盘精选混合”）。泰信周期回报债券对应申请日份额净值假设为1.020元,对应申购费率为0.8%,对应赎回费率为0.1% 。泰信中小盘精选混合对应申请日份额净值假设为1.500元,对应申购费率为1.5% 。则该次转换投资者可得到的泰信中小盘精选混合份额计算方法为：</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①转出金额</w:t>
      </w:r>
      <w:r w:rsidRPr="00E9441F">
        <w:rPr>
          <w:rFonts w:ascii="仿宋" w:eastAsia="仿宋" w:hAnsi="仿宋"/>
          <w:sz w:val="28"/>
          <w:szCs w:val="28"/>
        </w:rPr>
        <w:t>=100,000.00×1.020=102,000.00元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②转出基金赎回费用</w:t>
      </w:r>
      <w:r w:rsidRPr="00E9441F">
        <w:rPr>
          <w:rFonts w:ascii="仿宋" w:eastAsia="仿宋" w:hAnsi="仿宋"/>
          <w:sz w:val="28"/>
          <w:szCs w:val="28"/>
        </w:rPr>
        <w:t>=102,000.00×0.1%=102.00元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③转入金额</w:t>
      </w:r>
      <w:r w:rsidRPr="00E9441F">
        <w:rPr>
          <w:rFonts w:ascii="仿宋" w:eastAsia="仿宋" w:hAnsi="仿宋"/>
          <w:sz w:val="28"/>
          <w:szCs w:val="28"/>
        </w:rPr>
        <w:t>=102,000.00-102.00=101,898.00元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④转入基金申购费</w:t>
      </w:r>
      <w:r w:rsidRPr="00E9441F">
        <w:rPr>
          <w:rFonts w:ascii="仿宋" w:eastAsia="仿宋" w:hAnsi="仿宋"/>
          <w:sz w:val="28"/>
          <w:szCs w:val="28"/>
        </w:rPr>
        <w:t>=101,898.00/(1+1.5%)×1.5%=1,505.88元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⑤转出基金申购费</w:t>
      </w:r>
      <w:r w:rsidRPr="00E9441F">
        <w:rPr>
          <w:rFonts w:ascii="仿宋" w:eastAsia="仿宋" w:hAnsi="仿宋"/>
          <w:sz w:val="28"/>
          <w:szCs w:val="28"/>
        </w:rPr>
        <w:t>=101,898.00/(1+0.8%)×0.8%=808.71元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⑥补差费用</w:t>
      </w:r>
      <w:r w:rsidRPr="00E9441F">
        <w:rPr>
          <w:rFonts w:ascii="仿宋" w:eastAsia="仿宋" w:hAnsi="仿宋"/>
          <w:sz w:val="28"/>
          <w:szCs w:val="28"/>
        </w:rPr>
        <w:t>=转入基金申购费-转出基金申购费</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=1,505.88-808.71=697.17元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⑦净转入金额</w:t>
      </w:r>
      <w:r w:rsidRPr="00E9441F">
        <w:rPr>
          <w:rFonts w:ascii="仿宋" w:eastAsia="仿宋" w:hAnsi="仿宋"/>
          <w:sz w:val="28"/>
          <w:szCs w:val="28"/>
        </w:rPr>
        <w:t>=101,898.00-697.17=101,200.83元</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⑧转入份额</w:t>
      </w:r>
      <w:r w:rsidRPr="00E9441F">
        <w:rPr>
          <w:rFonts w:ascii="仿宋" w:eastAsia="仿宋" w:hAnsi="仿宋"/>
          <w:sz w:val="28"/>
          <w:szCs w:val="28"/>
        </w:rPr>
        <w:t>=101,200.83/1.500=67,467.22份</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10.投资者采用“份额转换”的原则提交申请。基金转出份额必须是可用份额，</w:t>
      </w:r>
      <w:r w:rsidRPr="00E9441F">
        <w:rPr>
          <w:rFonts w:ascii="仿宋" w:eastAsia="仿宋" w:hAnsi="仿宋" w:hint="eastAsia"/>
          <w:sz w:val="28"/>
          <w:szCs w:val="28"/>
        </w:rPr>
        <w:t>并遵循“先进先出”的原则。已冻结份额不得申请转换。</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11.各基金的转换申请时间以其《基金合同》及《招募说明书》的相关规定为准，当日的转换申请可以在15:00以前在销售商处撤销，超过交易时间的申请作失败或下一日申请处理。</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12.基金转出的份额限制以其《基金合同》及《招募说明书》的相关规定为准，单笔转入申请不受转入基金最低申购限额限制。</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sz w:val="28"/>
          <w:szCs w:val="28"/>
        </w:rPr>
        <w:t>13.出现下列情况之一时，基金管理人可以暂停基金转换业务：</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w:t>
      </w:r>
      <w:r w:rsidRPr="00E9441F">
        <w:rPr>
          <w:rFonts w:ascii="仿宋" w:eastAsia="仿宋" w:hAnsi="仿宋"/>
          <w:sz w:val="28"/>
          <w:szCs w:val="28"/>
        </w:rPr>
        <w:t>1）不可抗力的原因导致基金无法正常运作。</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w:t>
      </w:r>
      <w:r w:rsidRPr="00E9441F">
        <w:rPr>
          <w:rFonts w:ascii="仿宋" w:eastAsia="仿宋" w:hAnsi="仿宋"/>
          <w:sz w:val="28"/>
          <w:szCs w:val="28"/>
        </w:rPr>
        <w:t>2）证券交易场所在交易时间非正常停市，导致基金管理人无法计算当日基金</w:t>
      </w:r>
      <w:r w:rsidRPr="00E9441F">
        <w:rPr>
          <w:rFonts w:ascii="仿宋" w:eastAsia="仿宋" w:hAnsi="仿宋" w:hint="eastAsia"/>
          <w:sz w:val="28"/>
          <w:szCs w:val="28"/>
        </w:rPr>
        <w:t>份额净值。</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w:t>
      </w:r>
      <w:r w:rsidRPr="00E9441F">
        <w:rPr>
          <w:rFonts w:ascii="仿宋" w:eastAsia="仿宋" w:hAnsi="仿宋"/>
          <w:sz w:val="28"/>
          <w:szCs w:val="28"/>
        </w:rPr>
        <w:t>3）因市场剧烈波动或其他原因而出现连续巨额赎回，基金管理人认为有必要暂停接受该基金份额转出申请。</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w:t>
      </w:r>
      <w:r w:rsidRPr="00E9441F">
        <w:rPr>
          <w:rFonts w:ascii="仿宋" w:eastAsia="仿宋" w:hAnsi="仿宋"/>
          <w:sz w:val="28"/>
          <w:szCs w:val="28"/>
        </w:rPr>
        <w:t>4）法律、法规、规章规定的其他情形或其他在《基金合同》、《招募说明书》已载明并获中国证监会批准的特殊情形。</w:t>
      </w:r>
    </w:p>
    <w:p w:rsidR="00E9441F" w:rsidRPr="00E9441F" w:rsidRDefault="00E9441F" w:rsidP="00E9441F">
      <w:pPr>
        <w:autoSpaceDE w:val="0"/>
        <w:autoSpaceDN w:val="0"/>
        <w:adjustRightInd w:val="0"/>
        <w:ind w:firstLineChars="200" w:firstLine="560"/>
        <w:jc w:val="left"/>
        <w:rPr>
          <w:rFonts w:ascii="仿宋" w:eastAsia="仿宋" w:hAnsi="仿宋"/>
          <w:sz w:val="28"/>
          <w:szCs w:val="28"/>
        </w:rPr>
      </w:pPr>
      <w:r w:rsidRPr="00E9441F">
        <w:rPr>
          <w:rFonts w:ascii="仿宋" w:eastAsia="仿宋" w:hAnsi="仿宋" w:hint="eastAsia"/>
          <w:sz w:val="28"/>
          <w:szCs w:val="28"/>
        </w:rPr>
        <w:t>（</w:t>
      </w:r>
      <w:r w:rsidRPr="00E9441F">
        <w:rPr>
          <w:rFonts w:ascii="仿宋" w:eastAsia="仿宋" w:hAnsi="仿宋"/>
          <w:sz w:val="28"/>
          <w:szCs w:val="28"/>
        </w:rPr>
        <w:t>5）发生上述情形之一的，基金管理人应立即向证监会备案并于规定期限内在证监会指定媒介上刊登暂停公告。重新开放基金转换时，基金管理人应在证监会指定媒介上刊登重新开放基金转换的公告。</w:t>
      </w:r>
    </w:p>
    <w:p w:rsidR="003D61BA" w:rsidRPr="008A6949" w:rsidRDefault="007F6210" w:rsidP="00135FA3">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四</w:t>
      </w:r>
      <w:r w:rsidR="0056141A" w:rsidRPr="008A6949">
        <w:rPr>
          <w:rFonts w:ascii="仿宋" w:eastAsia="仿宋" w:hAnsi="仿宋" w:cs="仿宋_GB2312" w:hint="eastAsia"/>
          <w:kern w:val="0"/>
          <w:sz w:val="28"/>
          <w:szCs w:val="28"/>
        </w:rPr>
        <w:t>、</w:t>
      </w:r>
      <w:r w:rsidR="003D61BA" w:rsidRPr="008A6949">
        <w:rPr>
          <w:rFonts w:ascii="仿宋" w:eastAsia="仿宋" w:hAnsi="仿宋" w:cs="仿宋_GB2312" w:hint="eastAsia"/>
          <w:kern w:val="0"/>
          <w:sz w:val="28"/>
          <w:szCs w:val="28"/>
        </w:rPr>
        <w:t>其他事项</w:t>
      </w:r>
    </w:p>
    <w:p w:rsidR="003D61BA" w:rsidRPr="008A6949" w:rsidRDefault="003D61BA" w:rsidP="003D61BA">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1.投资者欲了解各基金产品的详细情况，请仔细阅读各基金的基金合同、招募说明书等法律文件。</w:t>
      </w:r>
    </w:p>
    <w:p w:rsidR="003D61BA" w:rsidRPr="008A6949" w:rsidRDefault="003D61BA" w:rsidP="008F0B70">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D61BA" w:rsidRPr="008A6949" w:rsidRDefault="007F6210" w:rsidP="00135FA3">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五</w:t>
      </w:r>
      <w:r w:rsidR="0056141A" w:rsidRPr="008A6949">
        <w:rPr>
          <w:rFonts w:ascii="仿宋" w:eastAsia="仿宋" w:hAnsi="仿宋" w:cs="仿宋_GB2312" w:hint="eastAsia"/>
          <w:kern w:val="0"/>
          <w:sz w:val="28"/>
          <w:szCs w:val="28"/>
        </w:rPr>
        <w:t>、</w:t>
      </w:r>
      <w:r w:rsidR="003D61BA" w:rsidRPr="008A6949">
        <w:rPr>
          <w:rFonts w:ascii="仿宋" w:eastAsia="仿宋" w:hAnsi="仿宋" w:cs="仿宋_GB2312" w:hint="eastAsia"/>
          <w:kern w:val="0"/>
          <w:sz w:val="28"/>
          <w:szCs w:val="28"/>
        </w:rPr>
        <w:t>投资者可通过以下途径了解或咨询相关情况</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1、泰信基金管理有限公司</w:t>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客服电话：400-888-5988 021-38784566</w:t>
      </w:r>
    </w:p>
    <w:p w:rsidR="008F0B70"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网址：</w:t>
      </w:r>
      <w:hyperlink r:id="rId7" w:history="1">
        <w:r w:rsidR="008F0B70" w:rsidRPr="008A6949">
          <w:rPr>
            <w:rStyle w:val="a3"/>
            <w:rFonts w:ascii="仿宋" w:eastAsia="仿宋" w:hAnsi="仿宋" w:cs="仿宋_GB2312" w:hint="eastAsia"/>
            <w:color w:val="auto"/>
            <w:kern w:val="0"/>
            <w:sz w:val="28"/>
            <w:szCs w:val="28"/>
            <w:u w:val="none"/>
          </w:rPr>
          <w:t>www.ftfund.com</w:t>
        </w:r>
      </w:hyperlink>
    </w:p>
    <w:p w:rsidR="00EE1D15"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w:t>
      </w:r>
      <w:r w:rsidR="00381E0B" w:rsidRPr="00381E0B">
        <w:rPr>
          <w:rFonts w:ascii="仿宋" w:eastAsia="仿宋" w:hAnsi="仿宋" w:cs="仿宋_GB2312" w:hint="eastAsia"/>
          <w:kern w:val="0"/>
          <w:sz w:val="28"/>
          <w:szCs w:val="28"/>
        </w:rPr>
        <w:t>东吴证券股份有限公司</w:t>
      </w:r>
    </w:p>
    <w:p w:rsidR="001009D5" w:rsidRPr="008A6949" w:rsidRDefault="008F0B70"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客服</w:t>
      </w:r>
      <w:r w:rsidR="003D61BA" w:rsidRPr="008A6949">
        <w:rPr>
          <w:rFonts w:ascii="仿宋" w:eastAsia="仿宋" w:hAnsi="仿宋" w:cs="仿宋_GB2312" w:hint="eastAsia"/>
          <w:kern w:val="0"/>
          <w:sz w:val="28"/>
          <w:szCs w:val="28"/>
        </w:rPr>
        <w:t>电话：</w:t>
      </w:r>
      <w:r w:rsidR="00BD2FF3" w:rsidRPr="00BD2FF3">
        <w:rPr>
          <w:rFonts w:ascii="仿宋" w:eastAsia="仿宋" w:hAnsi="仿宋" w:cs="仿宋_GB2312"/>
          <w:kern w:val="0"/>
          <w:sz w:val="28"/>
          <w:szCs w:val="28"/>
        </w:rPr>
        <w:t>95330</w:t>
      </w:r>
    </w:p>
    <w:p w:rsidR="00EE1D15" w:rsidRPr="008A6949" w:rsidRDefault="00EE1D15"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网址：</w:t>
      </w:r>
      <w:r w:rsidR="00BD2FF3" w:rsidRPr="00BD2FF3">
        <w:rPr>
          <w:rFonts w:ascii="仿宋" w:eastAsia="仿宋" w:hAnsi="仿宋" w:cs="仿宋_GB2312"/>
          <w:kern w:val="0"/>
          <w:sz w:val="28"/>
          <w:szCs w:val="28"/>
        </w:rPr>
        <w:t>http://www.dwzq.com.cn/</w:t>
      </w:r>
      <w:r w:rsidR="00BD2FF3" w:rsidRPr="00BD2FF3">
        <w:rPr>
          <w:rFonts w:ascii="仿宋" w:eastAsia="仿宋" w:hAnsi="仿宋" w:cs="仿宋_GB2312"/>
          <w:kern w:val="0"/>
          <w:sz w:val="28"/>
          <w:szCs w:val="28"/>
        </w:rPr>
        <w:cr/>
      </w:r>
    </w:p>
    <w:p w:rsidR="003D61BA" w:rsidRPr="008A6949" w:rsidRDefault="003D61BA" w:rsidP="00492155">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特此公告。</w:t>
      </w:r>
    </w:p>
    <w:p w:rsidR="003D61BA" w:rsidRPr="008A6949" w:rsidRDefault="003D61BA" w:rsidP="003D61BA">
      <w:pPr>
        <w:autoSpaceDE w:val="0"/>
        <w:autoSpaceDN w:val="0"/>
        <w:adjustRightInd w:val="0"/>
        <w:jc w:val="right"/>
        <w:rPr>
          <w:rFonts w:ascii="仿宋" w:eastAsia="仿宋" w:hAnsi="仿宋" w:cs="仿宋_GB2312"/>
          <w:kern w:val="0"/>
          <w:sz w:val="28"/>
          <w:szCs w:val="28"/>
        </w:rPr>
      </w:pPr>
      <w:r w:rsidRPr="008A6949">
        <w:rPr>
          <w:rFonts w:ascii="仿宋" w:eastAsia="仿宋" w:hAnsi="仿宋" w:cs="仿宋_GB2312" w:hint="eastAsia"/>
          <w:kern w:val="0"/>
          <w:sz w:val="28"/>
          <w:szCs w:val="28"/>
        </w:rPr>
        <w:t xml:space="preserve">　 　 泰信基金管理有限公司</w:t>
      </w:r>
    </w:p>
    <w:p w:rsidR="00972F72" w:rsidRPr="008A6949" w:rsidRDefault="003D61BA" w:rsidP="00C76A45">
      <w:pPr>
        <w:ind w:right="140"/>
        <w:jc w:val="right"/>
        <w:rPr>
          <w:rFonts w:ascii="仿宋" w:eastAsia="仿宋" w:hAnsi="仿宋"/>
        </w:rPr>
      </w:pPr>
      <w:r w:rsidRPr="008A6949">
        <w:rPr>
          <w:rFonts w:ascii="仿宋" w:eastAsia="仿宋" w:hAnsi="仿宋" w:cs="仿宋_GB2312" w:hint="eastAsia"/>
          <w:kern w:val="0"/>
          <w:sz w:val="28"/>
          <w:szCs w:val="28"/>
        </w:rPr>
        <w:t>20</w:t>
      </w:r>
      <w:r w:rsidR="00C22E4B">
        <w:rPr>
          <w:rFonts w:ascii="仿宋" w:eastAsia="仿宋" w:hAnsi="仿宋" w:cs="仿宋_GB2312" w:hint="eastAsia"/>
          <w:kern w:val="0"/>
          <w:sz w:val="28"/>
          <w:szCs w:val="28"/>
        </w:rPr>
        <w:t>20</w:t>
      </w:r>
      <w:r w:rsidRPr="008A6949">
        <w:rPr>
          <w:rFonts w:ascii="仿宋" w:eastAsia="仿宋" w:hAnsi="仿宋" w:cs="仿宋_GB2312" w:hint="eastAsia"/>
          <w:kern w:val="0"/>
          <w:sz w:val="28"/>
          <w:szCs w:val="28"/>
        </w:rPr>
        <w:t>年</w:t>
      </w:r>
      <w:r w:rsidR="00CE4F64">
        <w:rPr>
          <w:rFonts w:ascii="仿宋" w:eastAsia="仿宋" w:hAnsi="仿宋" w:cs="仿宋_GB2312" w:hint="eastAsia"/>
          <w:kern w:val="0"/>
          <w:sz w:val="28"/>
          <w:szCs w:val="28"/>
        </w:rPr>
        <w:t>10</w:t>
      </w:r>
      <w:bookmarkStart w:id="0" w:name="_GoBack"/>
      <w:bookmarkEnd w:id="0"/>
      <w:r w:rsidRPr="008A6949">
        <w:rPr>
          <w:rFonts w:ascii="仿宋" w:eastAsia="仿宋" w:hAnsi="仿宋" w:cs="仿宋_GB2312" w:hint="eastAsia"/>
          <w:kern w:val="0"/>
          <w:sz w:val="28"/>
          <w:szCs w:val="28"/>
        </w:rPr>
        <w:t>月</w:t>
      </w:r>
      <w:r w:rsidR="00CE4F64">
        <w:rPr>
          <w:rFonts w:ascii="仿宋" w:eastAsia="仿宋" w:hAnsi="仿宋" w:cs="仿宋_GB2312" w:hint="eastAsia"/>
          <w:kern w:val="0"/>
          <w:sz w:val="28"/>
          <w:szCs w:val="28"/>
        </w:rPr>
        <w:t>27</w:t>
      </w:r>
      <w:r w:rsidR="00811534" w:rsidRPr="008A6949">
        <w:rPr>
          <w:rFonts w:ascii="仿宋" w:eastAsia="仿宋" w:hAnsi="仿宋" w:cs="仿宋_GB2312" w:hint="eastAsia"/>
          <w:kern w:val="0"/>
          <w:sz w:val="28"/>
          <w:szCs w:val="28"/>
        </w:rPr>
        <w:t>日</w:t>
      </w:r>
    </w:p>
    <w:sectPr w:rsidR="00972F72" w:rsidRPr="008A6949" w:rsidSect="00597D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BB" w:rsidRDefault="006235BB" w:rsidP="00C83496">
      <w:r>
        <w:separator/>
      </w:r>
    </w:p>
  </w:endnote>
  <w:endnote w:type="continuationSeparator" w:id="0">
    <w:p w:rsidR="006235BB" w:rsidRDefault="006235BB" w:rsidP="00C8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6862"/>
      <w:docPartObj>
        <w:docPartGallery w:val="Page Numbers (Bottom of Page)"/>
        <w:docPartUnique/>
      </w:docPartObj>
    </w:sdtPr>
    <w:sdtContent>
      <w:p w:rsidR="00027E22" w:rsidRDefault="004319A1">
        <w:pPr>
          <w:pStyle w:val="a6"/>
          <w:jc w:val="center"/>
        </w:pPr>
        <w:r>
          <w:fldChar w:fldCharType="begin"/>
        </w:r>
        <w:r w:rsidR="00027E22">
          <w:instrText>PAGE   \* MERGEFORMAT</w:instrText>
        </w:r>
        <w:r>
          <w:fldChar w:fldCharType="separate"/>
        </w:r>
        <w:r w:rsidR="009111F2" w:rsidRPr="009111F2">
          <w:rPr>
            <w:noProof/>
            <w:lang w:val="zh-CN"/>
          </w:rPr>
          <w:t>1</w:t>
        </w:r>
        <w:r>
          <w:fldChar w:fldCharType="end"/>
        </w:r>
      </w:p>
    </w:sdtContent>
  </w:sdt>
  <w:p w:rsidR="006351A5" w:rsidRDefault="006351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BB" w:rsidRDefault="006235BB" w:rsidP="00C83496">
      <w:r>
        <w:separator/>
      </w:r>
    </w:p>
  </w:footnote>
  <w:footnote w:type="continuationSeparator" w:id="0">
    <w:p w:rsidR="006235BB" w:rsidRDefault="006235BB" w:rsidP="00C83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013C"/>
    <w:multiLevelType w:val="hybridMultilevel"/>
    <w:tmpl w:val="4D1C8576"/>
    <w:lvl w:ilvl="0" w:tplc="168407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9F4F8F"/>
    <w:multiLevelType w:val="hybridMultilevel"/>
    <w:tmpl w:val="E6328DB2"/>
    <w:lvl w:ilvl="0" w:tplc="E0D014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1642C8"/>
    <w:multiLevelType w:val="hybridMultilevel"/>
    <w:tmpl w:val="D234B66A"/>
    <w:lvl w:ilvl="0" w:tplc="96FA8466">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1BA"/>
    <w:rsid w:val="00007E1C"/>
    <w:rsid w:val="000176E4"/>
    <w:rsid w:val="00017D5A"/>
    <w:rsid w:val="00027911"/>
    <w:rsid w:val="00027E22"/>
    <w:rsid w:val="00034803"/>
    <w:rsid w:val="000459E1"/>
    <w:rsid w:val="00045F25"/>
    <w:rsid w:val="00055609"/>
    <w:rsid w:val="00055F1B"/>
    <w:rsid w:val="00067726"/>
    <w:rsid w:val="00083E9D"/>
    <w:rsid w:val="00084F2B"/>
    <w:rsid w:val="000A7847"/>
    <w:rsid w:val="000B044F"/>
    <w:rsid w:val="000B661F"/>
    <w:rsid w:val="000B6918"/>
    <w:rsid w:val="000C4395"/>
    <w:rsid w:val="000F3750"/>
    <w:rsid w:val="000F4975"/>
    <w:rsid w:val="000F79A2"/>
    <w:rsid w:val="0010049D"/>
    <w:rsid w:val="001009D5"/>
    <w:rsid w:val="00106710"/>
    <w:rsid w:val="00111AFB"/>
    <w:rsid w:val="00111B46"/>
    <w:rsid w:val="00112786"/>
    <w:rsid w:val="0012236B"/>
    <w:rsid w:val="00132ADF"/>
    <w:rsid w:val="00135FA3"/>
    <w:rsid w:val="00137840"/>
    <w:rsid w:val="001427CD"/>
    <w:rsid w:val="00147CC0"/>
    <w:rsid w:val="001552DE"/>
    <w:rsid w:val="00165AC2"/>
    <w:rsid w:val="00175388"/>
    <w:rsid w:val="00180BA5"/>
    <w:rsid w:val="00194D4B"/>
    <w:rsid w:val="00196E55"/>
    <w:rsid w:val="001A4328"/>
    <w:rsid w:val="001B1B0D"/>
    <w:rsid w:val="00200655"/>
    <w:rsid w:val="00206A1D"/>
    <w:rsid w:val="002110E3"/>
    <w:rsid w:val="00213D5F"/>
    <w:rsid w:val="0021542E"/>
    <w:rsid w:val="0021624C"/>
    <w:rsid w:val="00224BD1"/>
    <w:rsid w:val="00230FFE"/>
    <w:rsid w:val="00234562"/>
    <w:rsid w:val="0023526C"/>
    <w:rsid w:val="002371C6"/>
    <w:rsid w:val="00240867"/>
    <w:rsid w:val="002451BA"/>
    <w:rsid w:val="002545A7"/>
    <w:rsid w:val="0027494F"/>
    <w:rsid w:val="00276F05"/>
    <w:rsid w:val="0028385E"/>
    <w:rsid w:val="00290293"/>
    <w:rsid w:val="002956E2"/>
    <w:rsid w:val="002C3C45"/>
    <w:rsid w:val="002C4DC6"/>
    <w:rsid w:val="002C6CDD"/>
    <w:rsid w:val="002F33ED"/>
    <w:rsid w:val="003001CF"/>
    <w:rsid w:val="003046EE"/>
    <w:rsid w:val="003114B1"/>
    <w:rsid w:val="0031188C"/>
    <w:rsid w:val="00317671"/>
    <w:rsid w:val="003261A1"/>
    <w:rsid w:val="0033356A"/>
    <w:rsid w:val="00351B9A"/>
    <w:rsid w:val="00352577"/>
    <w:rsid w:val="0036762D"/>
    <w:rsid w:val="003755C3"/>
    <w:rsid w:val="00381E0B"/>
    <w:rsid w:val="003A27AE"/>
    <w:rsid w:val="003B2142"/>
    <w:rsid w:val="003C0989"/>
    <w:rsid w:val="003D138D"/>
    <w:rsid w:val="003D38F6"/>
    <w:rsid w:val="003D61BA"/>
    <w:rsid w:val="003E66B3"/>
    <w:rsid w:val="003E75C3"/>
    <w:rsid w:val="003F2225"/>
    <w:rsid w:val="003F40B8"/>
    <w:rsid w:val="003F76F0"/>
    <w:rsid w:val="00405173"/>
    <w:rsid w:val="00424324"/>
    <w:rsid w:val="00424CC6"/>
    <w:rsid w:val="004310B5"/>
    <w:rsid w:val="004319A1"/>
    <w:rsid w:val="00432816"/>
    <w:rsid w:val="004447C9"/>
    <w:rsid w:val="00457B74"/>
    <w:rsid w:val="0046698E"/>
    <w:rsid w:val="00466C03"/>
    <w:rsid w:val="00466E31"/>
    <w:rsid w:val="00480075"/>
    <w:rsid w:val="004879CA"/>
    <w:rsid w:val="00492155"/>
    <w:rsid w:val="0049791F"/>
    <w:rsid w:val="004A37A1"/>
    <w:rsid w:val="004C2CE0"/>
    <w:rsid w:val="004C4E44"/>
    <w:rsid w:val="004E0D25"/>
    <w:rsid w:val="004E5182"/>
    <w:rsid w:val="004E6E13"/>
    <w:rsid w:val="004F0DC8"/>
    <w:rsid w:val="004F5466"/>
    <w:rsid w:val="004F6333"/>
    <w:rsid w:val="00515DE4"/>
    <w:rsid w:val="00515E44"/>
    <w:rsid w:val="00542ECF"/>
    <w:rsid w:val="005440D8"/>
    <w:rsid w:val="00555EC0"/>
    <w:rsid w:val="0055715C"/>
    <w:rsid w:val="0056141A"/>
    <w:rsid w:val="00572978"/>
    <w:rsid w:val="005760C7"/>
    <w:rsid w:val="00581DF2"/>
    <w:rsid w:val="005843EA"/>
    <w:rsid w:val="005948E9"/>
    <w:rsid w:val="00597DFD"/>
    <w:rsid w:val="005A1CDD"/>
    <w:rsid w:val="005A2D56"/>
    <w:rsid w:val="005A4976"/>
    <w:rsid w:val="005A4E03"/>
    <w:rsid w:val="005C389F"/>
    <w:rsid w:val="005C39D2"/>
    <w:rsid w:val="005C41B3"/>
    <w:rsid w:val="005C5399"/>
    <w:rsid w:val="005C7974"/>
    <w:rsid w:val="005D212A"/>
    <w:rsid w:val="005D26E1"/>
    <w:rsid w:val="005D4E78"/>
    <w:rsid w:val="005F2C21"/>
    <w:rsid w:val="005F67BA"/>
    <w:rsid w:val="005F6BF1"/>
    <w:rsid w:val="00616579"/>
    <w:rsid w:val="00617F8B"/>
    <w:rsid w:val="006235BB"/>
    <w:rsid w:val="006259BF"/>
    <w:rsid w:val="00626780"/>
    <w:rsid w:val="00634330"/>
    <w:rsid w:val="006351A5"/>
    <w:rsid w:val="00637B9B"/>
    <w:rsid w:val="006563D2"/>
    <w:rsid w:val="00657245"/>
    <w:rsid w:val="00674CA3"/>
    <w:rsid w:val="00675CB7"/>
    <w:rsid w:val="00682C51"/>
    <w:rsid w:val="00685E15"/>
    <w:rsid w:val="006B5DC2"/>
    <w:rsid w:val="006C2E48"/>
    <w:rsid w:val="006D2478"/>
    <w:rsid w:val="006D5265"/>
    <w:rsid w:val="006E04E5"/>
    <w:rsid w:val="006E0651"/>
    <w:rsid w:val="006E70BA"/>
    <w:rsid w:val="006F059B"/>
    <w:rsid w:val="007000A2"/>
    <w:rsid w:val="007051B5"/>
    <w:rsid w:val="00710F1A"/>
    <w:rsid w:val="007158E1"/>
    <w:rsid w:val="00723337"/>
    <w:rsid w:val="00727EEA"/>
    <w:rsid w:val="007358B9"/>
    <w:rsid w:val="00750EA9"/>
    <w:rsid w:val="00755F35"/>
    <w:rsid w:val="00761426"/>
    <w:rsid w:val="00764541"/>
    <w:rsid w:val="007662E3"/>
    <w:rsid w:val="00776B44"/>
    <w:rsid w:val="007B3B8E"/>
    <w:rsid w:val="007B69D1"/>
    <w:rsid w:val="007C0231"/>
    <w:rsid w:val="007F6210"/>
    <w:rsid w:val="0080135C"/>
    <w:rsid w:val="008024BA"/>
    <w:rsid w:val="00810DD5"/>
    <w:rsid w:val="00811534"/>
    <w:rsid w:val="0082140B"/>
    <w:rsid w:val="00825082"/>
    <w:rsid w:val="0082572F"/>
    <w:rsid w:val="0083269D"/>
    <w:rsid w:val="00837E95"/>
    <w:rsid w:val="0084181F"/>
    <w:rsid w:val="008418E7"/>
    <w:rsid w:val="00841D64"/>
    <w:rsid w:val="00846D53"/>
    <w:rsid w:val="0084754A"/>
    <w:rsid w:val="00852966"/>
    <w:rsid w:val="008805AC"/>
    <w:rsid w:val="00885493"/>
    <w:rsid w:val="008927BA"/>
    <w:rsid w:val="008963EB"/>
    <w:rsid w:val="008A6949"/>
    <w:rsid w:val="008B3EC8"/>
    <w:rsid w:val="008C40B4"/>
    <w:rsid w:val="008E23BA"/>
    <w:rsid w:val="008F0B70"/>
    <w:rsid w:val="009111F2"/>
    <w:rsid w:val="0091486E"/>
    <w:rsid w:val="0091638C"/>
    <w:rsid w:val="00923AFB"/>
    <w:rsid w:val="0092712B"/>
    <w:rsid w:val="0092735A"/>
    <w:rsid w:val="00933DE6"/>
    <w:rsid w:val="00934F59"/>
    <w:rsid w:val="00956C12"/>
    <w:rsid w:val="009603DA"/>
    <w:rsid w:val="00966BF1"/>
    <w:rsid w:val="009721D8"/>
    <w:rsid w:val="00972F72"/>
    <w:rsid w:val="00973CFE"/>
    <w:rsid w:val="009869FE"/>
    <w:rsid w:val="00990F40"/>
    <w:rsid w:val="0099444C"/>
    <w:rsid w:val="0099512A"/>
    <w:rsid w:val="009C0AC3"/>
    <w:rsid w:val="009D16A1"/>
    <w:rsid w:val="009E3C47"/>
    <w:rsid w:val="00A02A99"/>
    <w:rsid w:val="00A15973"/>
    <w:rsid w:val="00A22B07"/>
    <w:rsid w:val="00A25BE2"/>
    <w:rsid w:val="00A27F17"/>
    <w:rsid w:val="00A36D14"/>
    <w:rsid w:val="00A408F8"/>
    <w:rsid w:val="00A43287"/>
    <w:rsid w:val="00A57256"/>
    <w:rsid w:val="00A62790"/>
    <w:rsid w:val="00A82F10"/>
    <w:rsid w:val="00A90273"/>
    <w:rsid w:val="00A91E63"/>
    <w:rsid w:val="00A94744"/>
    <w:rsid w:val="00AA32F4"/>
    <w:rsid w:val="00AA6C67"/>
    <w:rsid w:val="00AB0D29"/>
    <w:rsid w:val="00AC2006"/>
    <w:rsid w:val="00AC3945"/>
    <w:rsid w:val="00AD1C79"/>
    <w:rsid w:val="00AD39FB"/>
    <w:rsid w:val="00AE23EF"/>
    <w:rsid w:val="00AE4766"/>
    <w:rsid w:val="00AF5F2D"/>
    <w:rsid w:val="00B102F2"/>
    <w:rsid w:val="00B13638"/>
    <w:rsid w:val="00B1708F"/>
    <w:rsid w:val="00B17B4F"/>
    <w:rsid w:val="00B24321"/>
    <w:rsid w:val="00B45805"/>
    <w:rsid w:val="00B648CC"/>
    <w:rsid w:val="00B65949"/>
    <w:rsid w:val="00B66E78"/>
    <w:rsid w:val="00B7719F"/>
    <w:rsid w:val="00B810DE"/>
    <w:rsid w:val="00B92EB7"/>
    <w:rsid w:val="00B96036"/>
    <w:rsid w:val="00B9749D"/>
    <w:rsid w:val="00BA595F"/>
    <w:rsid w:val="00BB55C4"/>
    <w:rsid w:val="00BD2FF3"/>
    <w:rsid w:val="00BD560E"/>
    <w:rsid w:val="00BD7057"/>
    <w:rsid w:val="00BE0238"/>
    <w:rsid w:val="00BF3CBA"/>
    <w:rsid w:val="00BF3F5D"/>
    <w:rsid w:val="00C17272"/>
    <w:rsid w:val="00C202DB"/>
    <w:rsid w:val="00C22E4B"/>
    <w:rsid w:val="00C33F73"/>
    <w:rsid w:val="00C458B2"/>
    <w:rsid w:val="00C5051E"/>
    <w:rsid w:val="00C605BC"/>
    <w:rsid w:val="00C63F57"/>
    <w:rsid w:val="00C65880"/>
    <w:rsid w:val="00C700FA"/>
    <w:rsid w:val="00C70767"/>
    <w:rsid w:val="00C74357"/>
    <w:rsid w:val="00C76A45"/>
    <w:rsid w:val="00C83496"/>
    <w:rsid w:val="00C85F2B"/>
    <w:rsid w:val="00C93E4F"/>
    <w:rsid w:val="00CA42C4"/>
    <w:rsid w:val="00CA5E60"/>
    <w:rsid w:val="00CB04D0"/>
    <w:rsid w:val="00CB39DD"/>
    <w:rsid w:val="00CB6C1E"/>
    <w:rsid w:val="00CC0516"/>
    <w:rsid w:val="00CC0CDB"/>
    <w:rsid w:val="00CC1B65"/>
    <w:rsid w:val="00CC79B0"/>
    <w:rsid w:val="00CE4F64"/>
    <w:rsid w:val="00CE5C2F"/>
    <w:rsid w:val="00CF2AA0"/>
    <w:rsid w:val="00CF33F0"/>
    <w:rsid w:val="00D0145D"/>
    <w:rsid w:val="00D04167"/>
    <w:rsid w:val="00D127FB"/>
    <w:rsid w:val="00D16D80"/>
    <w:rsid w:val="00D35F7F"/>
    <w:rsid w:val="00D4104D"/>
    <w:rsid w:val="00D46F4C"/>
    <w:rsid w:val="00D54438"/>
    <w:rsid w:val="00D61A3D"/>
    <w:rsid w:val="00D73C90"/>
    <w:rsid w:val="00D92B7E"/>
    <w:rsid w:val="00D96E3D"/>
    <w:rsid w:val="00DA030E"/>
    <w:rsid w:val="00DB188A"/>
    <w:rsid w:val="00DC1BF9"/>
    <w:rsid w:val="00DD38AF"/>
    <w:rsid w:val="00DE58DD"/>
    <w:rsid w:val="00DF2494"/>
    <w:rsid w:val="00E020F1"/>
    <w:rsid w:val="00E063D5"/>
    <w:rsid w:val="00E1361A"/>
    <w:rsid w:val="00E14E00"/>
    <w:rsid w:val="00E171BE"/>
    <w:rsid w:val="00E234D0"/>
    <w:rsid w:val="00E26F4D"/>
    <w:rsid w:val="00E373A2"/>
    <w:rsid w:val="00E377DD"/>
    <w:rsid w:val="00E42AE8"/>
    <w:rsid w:val="00E5227F"/>
    <w:rsid w:val="00E576F3"/>
    <w:rsid w:val="00E90A06"/>
    <w:rsid w:val="00E9325E"/>
    <w:rsid w:val="00E9441F"/>
    <w:rsid w:val="00E95FAD"/>
    <w:rsid w:val="00E96D38"/>
    <w:rsid w:val="00E97727"/>
    <w:rsid w:val="00EA53C5"/>
    <w:rsid w:val="00EA56C9"/>
    <w:rsid w:val="00EB4F32"/>
    <w:rsid w:val="00EC44FF"/>
    <w:rsid w:val="00ED1C4F"/>
    <w:rsid w:val="00ED3F03"/>
    <w:rsid w:val="00EE1D15"/>
    <w:rsid w:val="00EE3230"/>
    <w:rsid w:val="00F0590A"/>
    <w:rsid w:val="00F108D5"/>
    <w:rsid w:val="00F12D9F"/>
    <w:rsid w:val="00F16183"/>
    <w:rsid w:val="00F16BF1"/>
    <w:rsid w:val="00F23863"/>
    <w:rsid w:val="00F30977"/>
    <w:rsid w:val="00F33D18"/>
    <w:rsid w:val="00F356A4"/>
    <w:rsid w:val="00F37301"/>
    <w:rsid w:val="00F45E2C"/>
    <w:rsid w:val="00F468CE"/>
    <w:rsid w:val="00F54B2C"/>
    <w:rsid w:val="00F74873"/>
    <w:rsid w:val="00F82491"/>
    <w:rsid w:val="00F91488"/>
    <w:rsid w:val="00F95D8B"/>
    <w:rsid w:val="00FA7FD1"/>
    <w:rsid w:val="00FB0859"/>
    <w:rsid w:val="00FB6CA0"/>
    <w:rsid w:val="00FB7675"/>
    <w:rsid w:val="00FC4CBA"/>
    <w:rsid w:val="00FF0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1BA"/>
    <w:rPr>
      <w:color w:val="0000FF"/>
      <w:u w:val="single"/>
    </w:rPr>
  </w:style>
  <w:style w:type="paragraph" w:styleId="a4">
    <w:name w:val="List Paragraph"/>
    <w:basedOn w:val="a"/>
    <w:uiPriority w:val="34"/>
    <w:qFormat/>
    <w:rsid w:val="004C2CE0"/>
    <w:pPr>
      <w:ind w:firstLineChars="200" w:firstLine="420"/>
    </w:pPr>
  </w:style>
  <w:style w:type="paragraph" w:styleId="a5">
    <w:name w:val="header"/>
    <w:basedOn w:val="a"/>
    <w:link w:val="Char"/>
    <w:uiPriority w:val="99"/>
    <w:unhideWhenUsed/>
    <w:rsid w:val="00C83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3496"/>
    <w:rPr>
      <w:sz w:val="18"/>
      <w:szCs w:val="18"/>
    </w:rPr>
  </w:style>
  <w:style w:type="paragraph" w:styleId="a6">
    <w:name w:val="footer"/>
    <w:basedOn w:val="a"/>
    <w:link w:val="Char0"/>
    <w:uiPriority w:val="99"/>
    <w:unhideWhenUsed/>
    <w:rsid w:val="00C83496"/>
    <w:pPr>
      <w:tabs>
        <w:tab w:val="center" w:pos="4153"/>
        <w:tab w:val="right" w:pos="8306"/>
      </w:tabs>
      <w:snapToGrid w:val="0"/>
      <w:jc w:val="left"/>
    </w:pPr>
    <w:rPr>
      <w:sz w:val="18"/>
      <w:szCs w:val="18"/>
    </w:rPr>
  </w:style>
  <w:style w:type="character" w:customStyle="1" w:styleId="Char0">
    <w:name w:val="页脚 Char"/>
    <w:basedOn w:val="a0"/>
    <w:link w:val="a6"/>
    <w:uiPriority w:val="99"/>
    <w:rsid w:val="00C83496"/>
    <w:rPr>
      <w:sz w:val="18"/>
      <w:szCs w:val="18"/>
    </w:rPr>
  </w:style>
  <w:style w:type="paragraph" w:customStyle="1" w:styleId="Default">
    <w:name w:val="Default"/>
    <w:rsid w:val="0046698E"/>
    <w:pPr>
      <w:widowControl w:val="0"/>
      <w:autoSpaceDE w:val="0"/>
      <w:autoSpaceDN w:val="0"/>
      <w:adjustRightInd w:val="0"/>
    </w:pPr>
    <w:rPr>
      <w:rFonts w:ascii="仿宋_GB2312" w:eastAsia="仿宋_GB2312" w:cs="仿宋_GB2312"/>
      <w:color w:val="000000"/>
      <w:kern w:val="0"/>
      <w:sz w:val="24"/>
      <w:szCs w:val="24"/>
    </w:rPr>
  </w:style>
  <w:style w:type="paragraph" w:styleId="a7">
    <w:name w:val="Balloon Text"/>
    <w:basedOn w:val="a"/>
    <w:link w:val="Char1"/>
    <w:uiPriority w:val="99"/>
    <w:semiHidden/>
    <w:unhideWhenUsed/>
    <w:rsid w:val="00D54438"/>
    <w:rPr>
      <w:sz w:val="18"/>
      <w:szCs w:val="18"/>
    </w:rPr>
  </w:style>
  <w:style w:type="character" w:customStyle="1" w:styleId="Char1">
    <w:name w:val="批注框文本 Char"/>
    <w:basedOn w:val="a0"/>
    <w:link w:val="a7"/>
    <w:uiPriority w:val="99"/>
    <w:semiHidden/>
    <w:rsid w:val="00D54438"/>
    <w:rPr>
      <w:sz w:val="18"/>
      <w:szCs w:val="18"/>
    </w:rPr>
  </w:style>
  <w:style w:type="paragraph" w:styleId="a8">
    <w:name w:val="annotation text"/>
    <w:basedOn w:val="a"/>
    <w:link w:val="Char2"/>
    <w:uiPriority w:val="99"/>
    <w:semiHidden/>
    <w:unhideWhenUsed/>
    <w:rsid w:val="007F6210"/>
    <w:pPr>
      <w:jc w:val="left"/>
    </w:pPr>
  </w:style>
  <w:style w:type="character" w:customStyle="1" w:styleId="Char2">
    <w:name w:val="批注文字 Char"/>
    <w:basedOn w:val="a0"/>
    <w:link w:val="a8"/>
    <w:uiPriority w:val="99"/>
    <w:semiHidden/>
    <w:rsid w:val="007F6210"/>
  </w:style>
  <w:style w:type="paragraph" w:styleId="a9">
    <w:name w:val="annotation subject"/>
    <w:basedOn w:val="a8"/>
    <w:next w:val="a8"/>
    <w:link w:val="Char3"/>
    <w:uiPriority w:val="99"/>
    <w:semiHidden/>
    <w:unhideWhenUsed/>
    <w:rsid w:val="007F6210"/>
    <w:pPr>
      <w:widowControl/>
      <w:adjustRightInd w:val="0"/>
      <w:snapToGrid w:val="0"/>
      <w:spacing w:line="500" w:lineRule="exact"/>
    </w:pPr>
    <w:rPr>
      <w:rFonts w:ascii="Tahoma" w:eastAsia="微软雅黑" w:hAnsi="Tahoma"/>
      <w:b/>
      <w:bCs/>
      <w:kern w:val="0"/>
      <w:sz w:val="22"/>
    </w:rPr>
  </w:style>
  <w:style w:type="character" w:customStyle="1" w:styleId="Char3">
    <w:name w:val="批注主题 Char"/>
    <w:basedOn w:val="Char2"/>
    <w:link w:val="a9"/>
    <w:uiPriority w:val="99"/>
    <w:semiHidden/>
    <w:rsid w:val="007F6210"/>
    <w:rPr>
      <w:rFonts w:ascii="Tahoma" w:eastAsia="微软雅黑" w:hAnsi="Tahoma"/>
      <w:b/>
      <w:bCs/>
      <w:kern w:val="0"/>
      <w:sz w:val="22"/>
    </w:rPr>
  </w:style>
</w:styles>
</file>

<file path=word/webSettings.xml><?xml version="1.0" encoding="utf-8"?>
<w:webSettings xmlns:r="http://schemas.openxmlformats.org/officeDocument/2006/relationships" xmlns:w="http://schemas.openxmlformats.org/wordprocessingml/2006/main">
  <w:divs>
    <w:div w:id="985863143">
      <w:bodyDiv w:val="1"/>
      <w:marLeft w:val="0"/>
      <w:marRight w:val="0"/>
      <w:marTop w:val="0"/>
      <w:marBottom w:val="0"/>
      <w:divBdr>
        <w:top w:val="none" w:sz="0" w:space="0" w:color="auto"/>
        <w:left w:val="none" w:sz="0" w:space="0" w:color="auto"/>
        <w:bottom w:val="none" w:sz="0" w:space="0" w:color="auto"/>
        <w:right w:val="none" w:sz="0" w:space="0" w:color="auto"/>
      </w:divBdr>
    </w:div>
    <w:div w:id="1070031880">
      <w:bodyDiv w:val="1"/>
      <w:marLeft w:val="0"/>
      <w:marRight w:val="0"/>
      <w:marTop w:val="0"/>
      <w:marBottom w:val="0"/>
      <w:divBdr>
        <w:top w:val="none" w:sz="0" w:space="0" w:color="auto"/>
        <w:left w:val="none" w:sz="0" w:space="0" w:color="auto"/>
        <w:bottom w:val="none" w:sz="0" w:space="0" w:color="auto"/>
        <w:right w:val="none" w:sz="0" w:space="0" w:color="auto"/>
      </w:divBdr>
    </w:div>
    <w:div w:id="14525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2772</Characters>
  <Application>Microsoft Office Word</Application>
  <DocSecurity>4</DocSecurity>
  <Lines>23</Lines>
  <Paragraphs>6</Paragraphs>
  <ScaleCrop>false</ScaleCrop>
  <Company>微软中国</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ZHONGM</cp:lastModifiedBy>
  <cp:revision>2</cp:revision>
  <cp:lastPrinted>2019-03-19T05:23:00Z</cp:lastPrinted>
  <dcterms:created xsi:type="dcterms:W3CDTF">2020-10-26T16:43:00Z</dcterms:created>
  <dcterms:modified xsi:type="dcterms:W3CDTF">2020-10-26T16:43:00Z</dcterms:modified>
</cp:coreProperties>
</file>