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1308">
      <w:pPr>
        <w:jc w:val="center"/>
        <w:rPr>
          <w:rFonts w:eastAsia="黑体"/>
          <w:sz w:val="32"/>
          <w:szCs w:val="32"/>
        </w:rPr>
      </w:pPr>
      <w:bookmarkStart w:id="0" w:name="_GoBack"/>
      <w:bookmarkEnd w:id="0"/>
      <w:r>
        <w:rPr>
          <w:rFonts w:eastAsia="黑体"/>
          <w:sz w:val="32"/>
          <w:szCs w:val="32"/>
        </w:rPr>
        <w:t>上海东方证券资产管理有限公司</w:t>
      </w:r>
    </w:p>
    <w:p w:rsidR="00000000" w:rsidRDefault="00691308">
      <w:pPr>
        <w:jc w:val="center"/>
        <w:rPr>
          <w:rFonts w:eastAsia="黑体" w:hint="eastAsia"/>
          <w:sz w:val="32"/>
          <w:szCs w:val="32"/>
        </w:rPr>
      </w:pPr>
      <w:r>
        <w:rPr>
          <w:rFonts w:eastAsia="黑体"/>
          <w:sz w:val="32"/>
          <w:szCs w:val="32"/>
        </w:rPr>
        <w:t>关于</w:t>
      </w:r>
      <w:bookmarkStart w:id="1" w:name="OLE_LINK1"/>
      <w:r>
        <w:rPr>
          <w:rFonts w:eastAsia="黑体" w:hint="eastAsia"/>
          <w:sz w:val="32"/>
          <w:szCs w:val="32"/>
        </w:rPr>
        <w:t>调整部分上市基金收益分配方式</w:t>
      </w:r>
      <w:bookmarkEnd w:id="1"/>
      <w:r>
        <w:rPr>
          <w:rFonts w:eastAsia="黑体" w:hint="eastAsia"/>
          <w:sz w:val="32"/>
          <w:szCs w:val="32"/>
        </w:rPr>
        <w:t>并修订基金合同和托管协议</w:t>
      </w:r>
      <w:r>
        <w:rPr>
          <w:rFonts w:eastAsia="黑体"/>
          <w:sz w:val="32"/>
          <w:szCs w:val="32"/>
        </w:rPr>
        <w:t>的公告</w:t>
      </w:r>
    </w:p>
    <w:p w:rsidR="00000000" w:rsidRDefault="00691308">
      <w:pPr>
        <w:spacing w:line="360" w:lineRule="auto"/>
        <w:rPr>
          <w:sz w:val="24"/>
          <w:szCs w:val="24"/>
        </w:rPr>
      </w:pPr>
    </w:p>
    <w:p w:rsidR="00000000" w:rsidRDefault="00691308">
      <w:pPr>
        <w:spacing w:line="360" w:lineRule="auto"/>
        <w:ind w:firstLineChars="200" w:firstLine="480"/>
        <w:rPr>
          <w:sz w:val="24"/>
          <w:szCs w:val="24"/>
        </w:rPr>
      </w:pPr>
      <w:r>
        <w:rPr>
          <w:sz w:val="24"/>
          <w:szCs w:val="24"/>
        </w:rPr>
        <w:t>根据《中华人民共和国证券投资基金法》、《公开募集证券投资基金运作管理办法》等法律法规的规定和</w:t>
      </w:r>
      <w:r>
        <w:rPr>
          <w:rFonts w:hint="eastAsia"/>
          <w:sz w:val="24"/>
          <w:szCs w:val="24"/>
        </w:rPr>
        <w:t>《东方红睿阳三年定期开放灵活配置混合型证券投资基金基金合同》、《东方红睿轩三年定期开放灵活配置混合型证券投资基金基金合同》、《东方红睿泽三年定期开放灵活配置混合型证券投资基金基金合同》、《东方红恒元五年定期开放灵活配置混合型证券投资基金基金合同》、《东方红恒阳五年定期开放混合型证券投资基金基金合同》</w:t>
      </w:r>
      <w:r>
        <w:rPr>
          <w:sz w:val="24"/>
          <w:szCs w:val="24"/>
        </w:rPr>
        <w:t>的约定，上海东方证券资产</w:t>
      </w:r>
      <w:r>
        <w:rPr>
          <w:sz w:val="24"/>
          <w:szCs w:val="24"/>
        </w:rPr>
        <w:t>管理有限公司（以下简称</w:t>
      </w:r>
      <w:r>
        <w:rPr>
          <w:sz w:val="24"/>
          <w:szCs w:val="24"/>
        </w:rPr>
        <w:t>“</w:t>
      </w:r>
      <w:r>
        <w:rPr>
          <w:sz w:val="24"/>
          <w:szCs w:val="24"/>
        </w:rPr>
        <w:t>本公司</w:t>
      </w:r>
      <w:r>
        <w:rPr>
          <w:sz w:val="24"/>
          <w:szCs w:val="24"/>
        </w:rPr>
        <w:t>”</w:t>
      </w:r>
      <w:r>
        <w:rPr>
          <w:sz w:val="24"/>
          <w:szCs w:val="24"/>
        </w:rPr>
        <w:t>）经</w:t>
      </w:r>
      <w:r>
        <w:rPr>
          <w:rFonts w:hint="eastAsia"/>
          <w:sz w:val="24"/>
          <w:szCs w:val="24"/>
        </w:rPr>
        <w:t>分别</w:t>
      </w:r>
      <w:r>
        <w:rPr>
          <w:sz w:val="24"/>
          <w:szCs w:val="24"/>
        </w:rPr>
        <w:t>与</w:t>
      </w:r>
      <w:r>
        <w:rPr>
          <w:rFonts w:hint="eastAsia"/>
          <w:sz w:val="24"/>
          <w:szCs w:val="24"/>
        </w:rPr>
        <w:t>前述</w:t>
      </w:r>
      <w:r>
        <w:rPr>
          <w:sz w:val="24"/>
          <w:szCs w:val="24"/>
        </w:rPr>
        <w:t>基金</w:t>
      </w:r>
      <w:r>
        <w:rPr>
          <w:rFonts w:hint="eastAsia"/>
          <w:sz w:val="24"/>
          <w:szCs w:val="24"/>
        </w:rPr>
        <w:t>的基金</w:t>
      </w:r>
      <w:r>
        <w:rPr>
          <w:sz w:val="24"/>
          <w:szCs w:val="24"/>
        </w:rPr>
        <w:t>托管人协商一致，并报中国</w:t>
      </w:r>
      <w:r>
        <w:rPr>
          <w:rFonts w:hint="eastAsia"/>
          <w:sz w:val="24"/>
          <w:szCs w:val="24"/>
        </w:rPr>
        <w:t>证券</w:t>
      </w:r>
      <w:r>
        <w:rPr>
          <w:sz w:val="24"/>
          <w:szCs w:val="24"/>
        </w:rPr>
        <w:t>监督管理委员会</w:t>
      </w:r>
      <w:r>
        <w:rPr>
          <w:rFonts w:hint="eastAsia"/>
          <w:sz w:val="24"/>
          <w:szCs w:val="24"/>
        </w:rPr>
        <w:t>（以下简称“证监会”）</w:t>
      </w:r>
      <w:r>
        <w:rPr>
          <w:sz w:val="24"/>
          <w:szCs w:val="24"/>
        </w:rPr>
        <w:t>备案，决定自</w:t>
      </w:r>
      <w:r>
        <w:rPr>
          <w:sz w:val="24"/>
          <w:szCs w:val="24"/>
        </w:rPr>
        <w:t>2020</w:t>
      </w:r>
      <w:r>
        <w:rPr>
          <w:sz w:val="24"/>
          <w:szCs w:val="24"/>
        </w:rPr>
        <w:t>年</w:t>
      </w:r>
      <w:r>
        <w:rPr>
          <w:rFonts w:hint="eastAsia"/>
          <w:sz w:val="24"/>
          <w:szCs w:val="24"/>
        </w:rPr>
        <w:t>10</w:t>
      </w:r>
      <w:r>
        <w:rPr>
          <w:sz w:val="24"/>
          <w:szCs w:val="24"/>
        </w:rPr>
        <w:t>月</w:t>
      </w:r>
      <w:r>
        <w:rPr>
          <w:rFonts w:hint="eastAsia"/>
          <w:sz w:val="24"/>
          <w:szCs w:val="24"/>
        </w:rPr>
        <w:t>26</w:t>
      </w:r>
      <w:r>
        <w:rPr>
          <w:sz w:val="24"/>
          <w:szCs w:val="24"/>
        </w:rPr>
        <w:t>日</w:t>
      </w:r>
      <w:r>
        <w:rPr>
          <w:rFonts w:hint="eastAsia"/>
          <w:sz w:val="24"/>
          <w:szCs w:val="24"/>
        </w:rPr>
        <w:t>（含）</w:t>
      </w:r>
      <w:r>
        <w:rPr>
          <w:sz w:val="24"/>
          <w:szCs w:val="24"/>
        </w:rPr>
        <w:t>起</w:t>
      </w:r>
      <w:r>
        <w:rPr>
          <w:rFonts w:hint="eastAsia"/>
          <w:sz w:val="24"/>
          <w:szCs w:val="24"/>
        </w:rPr>
        <w:t>调整前述</w:t>
      </w:r>
      <w:r>
        <w:rPr>
          <w:rFonts w:hint="eastAsia"/>
          <w:sz w:val="24"/>
          <w:szCs w:val="24"/>
        </w:rPr>
        <w:t>五</w:t>
      </w:r>
      <w:r>
        <w:rPr>
          <w:rFonts w:hint="eastAsia"/>
          <w:sz w:val="24"/>
          <w:szCs w:val="24"/>
        </w:rPr>
        <w:t>只基金的收益分配方式。</w:t>
      </w:r>
    </w:p>
    <w:p w:rsidR="00000000" w:rsidRDefault="00691308">
      <w:pPr>
        <w:spacing w:line="360" w:lineRule="auto"/>
        <w:ind w:firstLineChars="200" w:firstLine="482"/>
        <w:outlineLvl w:val="0"/>
        <w:rPr>
          <w:b/>
          <w:sz w:val="24"/>
          <w:szCs w:val="24"/>
        </w:rPr>
      </w:pPr>
      <w:r>
        <w:rPr>
          <w:rFonts w:hint="eastAsia"/>
          <w:b/>
          <w:sz w:val="24"/>
          <w:szCs w:val="24"/>
        </w:rPr>
        <w:t>一、调整方案</w:t>
      </w:r>
    </w:p>
    <w:p w:rsidR="00000000" w:rsidRDefault="00691308">
      <w:pPr>
        <w:spacing w:line="360" w:lineRule="auto"/>
        <w:ind w:firstLineChars="200" w:firstLine="480"/>
        <w:rPr>
          <w:sz w:val="24"/>
          <w:szCs w:val="24"/>
        </w:rPr>
      </w:pPr>
      <w:bookmarkStart w:id="2" w:name="OLE_LINK4"/>
      <w:r>
        <w:rPr>
          <w:rFonts w:hint="eastAsia"/>
          <w:sz w:val="24"/>
          <w:szCs w:val="24"/>
        </w:rPr>
        <w:t>前述</w:t>
      </w:r>
      <w:r>
        <w:rPr>
          <w:rFonts w:hint="eastAsia"/>
          <w:sz w:val="24"/>
          <w:szCs w:val="24"/>
        </w:rPr>
        <w:t>五</w:t>
      </w:r>
      <w:r>
        <w:rPr>
          <w:rFonts w:hint="eastAsia"/>
          <w:sz w:val="24"/>
          <w:szCs w:val="24"/>
        </w:rPr>
        <w:t>只基金收益分配方式由仅现金分红一种方式调整为登记在基金份额持有人开放式基金账户下的基金份额，其基金收益分配方式分为现金分红与红利再投资，投资者可选择获取现金红利或将现金红利自动转为基金份额进行再投资，若投资者不选择，默认的收益分配方式是现金分红；登记在证券账户的基金份额的收益分配方式仅现金分红一</w:t>
      </w:r>
      <w:r>
        <w:rPr>
          <w:rFonts w:hint="eastAsia"/>
          <w:sz w:val="24"/>
          <w:szCs w:val="24"/>
        </w:rPr>
        <w:t>种方式。</w:t>
      </w:r>
      <w:bookmarkEnd w:id="2"/>
    </w:p>
    <w:p w:rsidR="00000000" w:rsidRDefault="00691308">
      <w:pPr>
        <w:spacing w:beforeLines="50" w:line="360" w:lineRule="auto"/>
        <w:ind w:firstLineChars="200" w:firstLine="482"/>
        <w:outlineLvl w:val="0"/>
        <w:rPr>
          <w:b/>
          <w:sz w:val="24"/>
          <w:szCs w:val="24"/>
        </w:rPr>
      </w:pPr>
      <w:r>
        <w:rPr>
          <w:rFonts w:hint="eastAsia"/>
          <w:b/>
          <w:sz w:val="24"/>
          <w:szCs w:val="24"/>
        </w:rPr>
        <w:t>二、基金合同和托管协议修订</w:t>
      </w:r>
    </w:p>
    <w:p w:rsidR="00000000" w:rsidRDefault="00691308">
      <w:pPr>
        <w:spacing w:line="360" w:lineRule="auto"/>
        <w:ind w:firstLineChars="200" w:firstLine="480"/>
        <w:rPr>
          <w:rFonts w:hint="eastAsia"/>
          <w:sz w:val="24"/>
          <w:szCs w:val="24"/>
        </w:rPr>
      </w:pPr>
      <w:r>
        <w:rPr>
          <w:rFonts w:hint="eastAsia"/>
          <w:sz w:val="24"/>
          <w:szCs w:val="24"/>
        </w:rPr>
        <w:t>针对上述调整事项，本公司将对前述</w:t>
      </w:r>
      <w:r>
        <w:rPr>
          <w:rFonts w:hint="eastAsia"/>
          <w:sz w:val="24"/>
          <w:szCs w:val="24"/>
        </w:rPr>
        <w:t>五</w:t>
      </w:r>
      <w:r>
        <w:rPr>
          <w:rFonts w:hint="eastAsia"/>
          <w:sz w:val="24"/>
          <w:szCs w:val="24"/>
        </w:rPr>
        <w:t>只基金的</w:t>
      </w:r>
      <w:r>
        <w:rPr>
          <w:sz w:val="24"/>
          <w:szCs w:val="24"/>
        </w:rPr>
        <w:t>基金合同</w:t>
      </w:r>
      <w:r>
        <w:rPr>
          <w:rFonts w:hint="eastAsia"/>
          <w:sz w:val="24"/>
          <w:szCs w:val="24"/>
        </w:rPr>
        <w:t>和托管协议做出相应修订。</w:t>
      </w:r>
      <w:bookmarkStart w:id="3" w:name="OLE_LINK2"/>
      <w:r>
        <w:rPr>
          <w:rFonts w:hint="eastAsia"/>
          <w:sz w:val="24"/>
          <w:szCs w:val="24"/>
        </w:rPr>
        <w:t>根据前述基金基金合同“第十七部分</w:t>
      </w:r>
      <w:r>
        <w:rPr>
          <w:rFonts w:hint="eastAsia"/>
          <w:sz w:val="24"/>
          <w:szCs w:val="24"/>
        </w:rPr>
        <w:t xml:space="preserve"> </w:t>
      </w:r>
      <w:r>
        <w:rPr>
          <w:rFonts w:hint="eastAsia"/>
          <w:sz w:val="24"/>
          <w:szCs w:val="24"/>
        </w:rPr>
        <w:t>基金的收益与分配”的约定，“在对基金份额持有人利益无实质不利影响的前提下，基金管理人可对基金收益分配原则进行调整，不需召开基金份额持有人大会”。本次调整基金收益分配方式</w:t>
      </w:r>
      <w:r>
        <w:rPr>
          <w:rFonts w:ascii="仿宋" w:hAnsi="仿宋" w:hint="eastAsia"/>
          <w:sz w:val="24"/>
          <w:szCs w:val="24"/>
        </w:rPr>
        <w:t>对各只基金的基金份额持有人利益均无实质性不利影响，故</w:t>
      </w:r>
      <w:r>
        <w:rPr>
          <w:rFonts w:hint="eastAsia"/>
          <w:sz w:val="24"/>
          <w:szCs w:val="24"/>
        </w:rPr>
        <w:t>可由基金管理人和各基金托管人协商一致后修改，无需召开基金份额持有人大会。</w:t>
      </w:r>
      <w:bookmarkEnd w:id="3"/>
    </w:p>
    <w:p w:rsidR="00000000" w:rsidRDefault="00691308">
      <w:pPr>
        <w:spacing w:line="360" w:lineRule="auto"/>
        <w:ind w:firstLineChars="200" w:firstLine="480"/>
        <w:rPr>
          <w:rFonts w:hint="eastAsia"/>
          <w:b/>
          <w:sz w:val="24"/>
          <w:szCs w:val="24"/>
        </w:rPr>
      </w:pPr>
      <w:r>
        <w:rPr>
          <w:rFonts w:hint="eastAsia"/>
          <w:sz w:val="24"/>
          <w:szCs w:val="24"/>
        </w:rPr>
        <w:t>《东方红睿阳三年定期开放灵活配置混合型证券投资基金基金合同》</w:t>
      </w:r>
      <w:r>
        <w:rPr>
          <w:sz w:val="24"/>
          <w:szCs w:val="24"/>
        </w:rPr>
        <w:t>具体修订内容</w:t>
      </w:r>
      <w:r>
        <w:rPr>
          <w:sz w:val="24"/>
          <w:szCs w:val="24"/>
        </w:rPr>
        <w:t>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lastRenderedPageBreak/>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原基金合同条款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修订后基金合同条款</w:t>
            </w:r>
          </w:p>
        </w:tc>
      </w:tr>
      <w:tr w:rsidR="00000000">
        <w:trPr>
          <w:trHeight w:val="502"/>
        </w:trPr>
        <w:tc>
          <w:tcPr>
            <w:tcW w:w="1101" w:type="dxa"/>
          </w:tcPr>
          <w:p w:rsidR="00000000" w:rsidRDefault="00691308">
            <w:pPr>
              <w:rPr>
                <w:rFonts w:ascii="宋体" w:hAnsi="宋体" w:cs="宋体" w:hint="eastAsia"/>
                <w:color w:val="000000"/>
                <w:kern w:val="0"/>
                <w:sz w:val="24"/>
                <w:szCs w:val="24"/>
              </w:rPr>
            </w:pPr>
            <w:bookmarkStart w:id="4" w:name="OLE_LINK6" w:colFirst="0" w:colLast="2"/>
            <w:r>
              <w:rPr>
                <w:rFonts w:ascii="宋体" w:hAnsi="宋体" w:cs="宋体" w:hint="eastAsia"/>
                <w:color w:val="000000"/>
                <w:kern w:val="0"/>
                <w:sz w:val="24"/>
                <w:szCs w:val="24"/>
              </w:rPr>
              <w:t>第十七部分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基金的收益与分配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第二十五部分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合同摘要</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w:t>
            </w:r>
            <w:r>
              <w:rPr>
                <w:rFonts w:ascii="宋体" w:hAnsi="宋体" w:cs="宋体" w:hint="eastAsia"/>
                <w:color w:val="000000"/>
                <w:kern w:val="0"/>
                <w:sz w:val="24"/>
                <w:szCs w:val="24"/>
              </w:rPr>
              <w:t>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p>
        </w:tc>
      </w:tr>
    </w:tbl>
    <w:bookmarkEnd w:id="4"/>
    <w:p w:rsidR="00000000" w:rsidRDefault="00691308">
      <w:pPr>
        <w:spacing w:beforeLines="50" w:afterLines="50" w:line="360" w:lineRule="auto"/>
        <w:ind w:firstLineChars="200" w:firstLine="480"/>
        <w:outlineLvl w:val="0"/>
        <w:rPr>
          <w:bCs/>
          <w:sz w:val="24"/>
          <w:szCs w:val="24"/>
        </w:rPr>
      </w:pPr>
      <w:r>
        <w:rPr>
          <w:bCs/>
          <w:sz w:val="24"/>
          <w:szCs w:val="24"/>
        </w:rPr>
        <w:t>《</w:t>
      </w:r>
      <w:r>
        <w:rPr>
          <w:rFonts w:hint="eastAsia"/>
          <w:bCs/>
          <w:sz w:val="24"/>
          <w:szCs w:val="24"/>
        </w:rPr>
        <w:t>东方红睿阳三年定期开放灵活配置混合型证券投资基金托管协议</w:t>
      </w:r>
      <w:r>
        <w:rPr>
          <w:bCs/>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原托管协议条</w:t>
            </w:r>
            <w:r>
              <w:rPr>
                <w:rFonts w:ascii="宋体" w:hAnsi="宋体" w:cs="宋体" w:hint="eastAsia"/>
                <w:bCs/>
                <w:color w:val="000000"/>
                <w:kern w:val="0"/>
                <w:sz w:val="24"/>
                <w:szCs w:val="24"/>
              </w:rPr>
              <w:t>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修订后托管协议条款</w:t>
            </w:r>
          </w:p>
        </w:tc>
      </w:tr>
      <w:tr w:rsidR="00000000">
        <w:trPr>
          <w:trHeight w:val="90"/>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九、基金收益分配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w:t>
            </w:r>
            <w:r>
              <w:rPr>
                <w:rFonts w:ascii="宋体" w:hAnsi="宋体" w:cs="宋体" w:hint="eastAsia"/>
                <w:color w:val="000000"/>
                <w:kern w:val="0"/>
                <w:sz w:val="24"/>
                <w:szCs w:val="24"/>
              </w:rPr>
              <w:lastRenderedPageBreak/>
              <w:t>式；</w:t>
            </w:r>
          </w:p>
        </w:tc>
      </w:tr>
    </w:tbl>
    <w:p w:rsidR="00000000" w:rsidRDefault="00691308">
      <w:pPr>
        <w:spacing w:line="360" w:lineRule="auto"/>
        <w:ind w:firstLineChars="200" w:firstLine="480"/>
        <w:rPr>
          <w:rFonts w:hint="eastAsia"/>
          <w:b/>
          <w:sz w:val="24"/>
          <w:szCs w:val="24"/>
        </w:rPr>
      </w:pPr>
      <w:r>
        <w:rPr>
          <w:rFonts w:hint="eastAsia"/>
          <w:sz w:val="24"/>
          <w:szCs w:val="24"/>
        </w:rPr>
        <w:lastRenderedPageBreak/>
        <w:t>《东方红睿轩三年定期开放灵活配置混合型证券投资基金基金合同》</w:t>
      </w:r>
      <w:r>
        <w:rPr>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w:t>
            </w:r>
            <w:r>
              <w:rPr>
                <w:rFonts w:ascii="宋体" w:hAnsi="宋体" w:cs="宋体" w:hint="eastAsia"/>
                <w:bCs/>
                <w:color w:val="000000"/>
                <w:kern w:val="0"/>
                <w:sz w:val="24"/>
                <w:szCs w:val="24"/>
              </w:rPr>
              <w:t>基金合同条款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修订后基金合同条款</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第十七部分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基金的收益与分配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第二十五部分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合同摘要</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w:t>
            </w:r>
            <w:r>
              <w:rPr>
                <w:rFonts w:ascii="宋体" w:hAnsi="宋体" w:cs="宋体" w:hint="eastAsia"/>
                <w:color w:val="000000"/>
                <w:kern w:val="0"/>
                <w:sz w:val="24"/>
                <w:szCs w:val="24"/>
              </w:rPr>
              <w:t>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p>
        </w:tc>
      </w:tr>
    </w:tbl>
    <w:p w:rsidR="00000000" w:rsidRDefault="00691308">
      <w:pPr>
        <w:spacing w:beforeLines="50" w:afterLines="50" w:line="360" w:lineRule="auto"/>
        <w:ind w:firstLineChars="200" w:firstLine="480"/>
        <w:outlineLvl w:val="0"/>
        <w:rPr>
          <w:bCs/>
          <w:sz w:val="24"/>
          <w:szCs w:val="24"/>
        </w:rPr>
      </w:pPr>
      <w:r>
        <w:rPr>
          <w:bCs/>
          <w:sz w:val="24"/>
          <w:szCs w:val="24"/>
        </w:rPr>
        <w:t>《</w:t>
      </w:r>
      <w:r>
        <w:rPr>
          <w:rFonts w:hint="eastAsia"/>
          <w:bCs/>
          <w:sz w:val="24"/>
          <w:szCs w:val="24"/>
        </w:rPr>
        <w:t>东方红睿轩三年定期开放灵活配置混合型证券投资基金托管协议</w:t>
      </w:r>
      <w:r>
        <w:rPr>
          <w:bCs/>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原托管协议条款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修订后托管协</w:t>
            </w:r>
            <w:r>
              <w:rPr>
                <w:rFonts w:ascii="宋体" w:hAnsi="宋体" w:cs="宋体" w:hint="eastAsia"/>
                <w:bCs/>
                <w:color w:val="000000"/>
                <w:kern w:val="0"/>
                <w:sz w:val="24"/>
                <w:szCs w:val="24"/>
              </w:rPr>
              <w:t>议条款</w:t>
            </w:r>
          </w:p>
        </w:tc>
      </w:tr>
      <w:tr w:rsidR="00000000">
        <w:trPr>
          <w:trHeight w:val="90"/>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九、基金收益分配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w:t>
            </w:r>
            <w:r>
              <w:rPr>
                <w:rFonts w:ascii="宋体" w:hAnsi="宋体" w:cs="宋体" w:hint="eastAsia"/>
                <w:color w:val="000000"/>
                <w:kern w:val="0"/>
                <w:sz w:val="24"/>
                <w:szCs w:val="24"/>
              </w:rPr>
              <w:lastRenderedPageBreak/>
              <w:t>若投资者不选择，本基金默认的收益分配方式是现金分红；登记在深圳证券账户的基金份额的收益分配方式仅现金分红一种方式；</w:t>
            </w:r>
          </w:p>
        </w:tc>
      </w:tr>
    </w:tbl>
    <w:p w:rsidR="00000000" w:rsidRDefault="00691308">
      <w:pPr>
        <w:spacing w:line="360" w:lineRule="auto"/>
        <w:ind w:firstLineChars="200" w:firstLine="480"/>
        <w:outlineLvl w:val="0"/>
        <w:rPr>
          <w:rFonts w:hint="eastAsia"/>
          <w:b/>
          <w:sz w:val="24"/>
          <w:szCs w:val="24"/>
        </w:rPr>
      </w:pPr>
      <w:r>
        <w:rPr>
          <w:rFonts w:hint="eastAsia"/>
          <w:sz w:val="24"/>
          <w:szCs w:val="24"/>
        </w:rPr>
        <w:lastRenderedPageBreak/>
        <w:t>《东方红睿泽三年定期开放灵活配置混合型证券投资基金基金合同》</w:t>
      </w:r>
      <w:r>
        <w:rPr>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原基金合同条款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w:t>
            </w:r>
            <w:r>
              <w:rPr>
                <w:rFonts w:ascii="宋体" w:hAnsi="宋体" w:cs="宋体" w:hint="eastAsia"/>
                <w:bCs/>
                <w:color w:val="000000"/>
                <w:kern w:val="0"/>
                <w:sz w:val="24"/>
                <w:szCs w:val="24"/>
              </w:rPr>
              <w:t>订后基金合同条款</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第十七部分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基金的收益与分配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上海证券账户的基金份额的收益分配方式仅现金分红一种方式；</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第二十五部分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合同摘要</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上海证券账户的基金份额的收益分配方式仅现金分红一种方式；</w:t>
            </w:r>
          </w:p>
        </w:tc>
      </w:tr>
    </w:tbl>
    <w:p w:rsidR="00000000" w:rsidRDefault="00691308">
      <w:pPr>
        <w:spacing w:line="360" w:lineRule="auto"/>
        <w:ind w:firstLineChars="200" w:firstLine="480"/>
        <w:rPr>
          <w:rFonts w:hint="eastAsia"/>
          <w:b/>
          <w:sz w:val="24"/>
          <w:szCs w:val="24"/>
        </w:rPr>
      </w:pPr>
      <w:r>
        <w:rPr>
          <w:rFonts w:hint="eastAsia"/>
          <w:sz w:val="24"/>
          <w:szCs w:val="24"/>
        </w:rPr>
        <w:t>《东方红恒元五年定期开放灵活配置混合型证券投资基金基金合同》</w:t>
      </w:r>
      <w:r>
        <w:rPr>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原基金合同条款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修订后基金合同条款</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第十七</w:t>
            </w:r>
            <w:r>
              <w:rPr>
                <w:rFonts w:ascii="宋体" w:hAnsi="宋体" w:cs="宋体" w:hint="eastAsia"/>
                <w:color w:val="000000"/>
                <w:kern w:val="0"/>
                <w:sz w:val="24"/>
                <w:szCs w:val="24"/>
              </w:rPr>
              <w:t>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基金的收益与分配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上海证券账户的基金份额的收益分配方式仅现金分红一种方式；</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第二十五部分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合同摘要</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w:t>
            </w:r>
            <w:r>
              <w:rPr>
                <w:rFonts w:ascii="宋体" w:hAnsi="宋体" w:cs="宋体" w:hint="eastAsia"/>
                <w:color w:val="000000"/>
                <w:kern w:val="0"/>
                <w:sz w:val="24"/>
                <w:szCs w:val="24"/>
              </w:rPr>
              <w:t>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上海证券账户的基金份额的收益分配方式仅现金分红一种方式；</w:t>
            </w:r>
          </w:p>
        </w:tc>
      </w:tr>
    </w:tbl>
    <w:p w:rsidR="00000000" w:rsidRDefault="00691308">
      <w:pPr>
        <w:spacing w:beforeLines="50" w:afterLines="50" w:line="360" w:lineRule="auto"/>
        <w:ind w:firstLineChars="200" w:firstLine="480"/>
        <w:outlineLvl w:val="0"/>
        <w:rPr>
          <w:bCs/>
          <w:sz w:val="24"/>
          <w:szCs w:val="24"/>
        </w:rPr>
      </w:pPr>
      <w:r>
        <w:rPr>
          <w:bCs/>
          <w:sz w:val="24"/>
          <w:szCs w:val="24"/>
        </w:rPr>
        <w:t>《</w:t>
      </w:r>
      <w:r>
        <w:rPr>
          <w:rFonts w:hint="eastAsia"/>
          <w:bCs/>
          <w:sz w:val="24"/>
          <w:szCs w:val="24"/>
        </w:rPr>
        <w:t>东方红恒元五年定期开放灵活配置混合型证券投资基金托管协议</w:t>
      </w:r>
      <w:r>
        <w:rPr>
          <w:bCs/>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原托管协议条款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修订后托管协议条款</w:t>
            </w:r>
          </w:p>
        </w:tc>
      </w:tr>
      <w:tr w:rsidR="00000000">
        <w:trPr>
          <w:trHeight w:val="90"/>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九、基金收益分配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w:t>
            </w:r>
            <w:r>
              <w:rPr>
                <w:rFonts w:ascii="宋体" w:hAnsi="宋体" w:cs="宋体" w:hint="eastAsia"/>
                <w:color w:val="000000"/>
                <w:kern w:val="0"/>
                <w:sz w:val="24"/>
                <w:szCs w:val="24"/>
              </w:rPr>
              <w:t>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（一）基金收益分配的原则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w:t>
            </w:r>
            <w:bookmarkStart w:id="5" w:name="OLE_LINK3"/>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上海证券账户的基金份额的收益分配方式仅现金分红一种方式</w:t>
            </w:r>
            <w:bookmarkEnd w:id="5"/>
            <w:r>
              <w:rPr>
                <w:rFonts w:ascii="宋体" w:hAnsi="宋体" w:cs="宋体" w:hint="eastAsia"/>
                <w:color w:val="000000"/>
                <w:kern w:val="0"/>
                <w:sz w:val="24"/>
                <w:szCs w:val="24"/>
              </w:rPr>
              <w:t>；</w:t>
            </w:r>
          </w:p>
        </w:tc>
      </w:tr>
    </w:tbl>
    <w:p w:rsidR="00000000" w:rsidRDefault="00691308">
      <w:pPr>
        <w:spacing w:line="360" w:lineRule="auto"/>
        <w:ind w:firstLineChars="200" w:firstLine="480"/>
        <w:outlineLvl w:val="0"/>
        <w:rPr>
          <w:rFonts w:hint="eastAsia"/>
          <w:b/>
          <w:sz w:val="24"/>
          <w:szCs w:val="24"/>
        </w:rPr>
      </w:pPr>
      <w:r>
        <w:rPr>
          <w:rFonts w:hint="eastAsia"/>
          <w:sz w:val="24"/>
          <w:szCs w:val="24"/>
        </w:rPr>
        <w:t>《东方红恒阳五年定期开放混合型证券投资基金基金合同》</w:t>
      </w:r>
      <w:r>
        <w:rPr>
          <w:sz w:val="24"/>
          <w:szCs w:val="24"/>
        </w:rPr>
        <w:t>具体修订内容如下：</w:t>
      </w:r>
    </w:p>
    <w:tbl>
      <w:tblPr>
        <w:tblW w:w="84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tblGrid>
      <w:tr w:rsidR="00000000">
        <w:trPr>
          <w:trHeight w:val="502"/>
        </w:trPr>
        <w:tc>
          <w:tcPr>
            <w:tcW w:w="1101" w:type="dxa"/>
            <w:vAlign w:val="center"/>
          </w:tcPr>
          <w:p w:rsidR="00000000" w:rsidRDefault="00691308">
            <w:pPr>
              <w:jc w:val="center"/>
              <w:rPr>
                <w:rFonts w:ascii="宋体" w:hAnsi="宋体" w:cs="宋体" w:hint="eastAsia"/>
                <w:color w:val="000000"/>
                <w:kern w:val="0"/>
                <w:sz w:val="24"/>
                <w:szCs w:val="24"/>
              </w:rPr>
            </w:pPr>
            <w:r>
              <w:rPr>
                <w:rFonts w:ascii="宋体" w:hAnsi="宋体" w:cs="宋体" w:hint="eastAsia"/>
                <w:color w:val="000000"/>
                <w:kern w:val="0"/>
                <w:sz w:val="24"/>
                <w:szCs w:val="24"/>
              </w:rPr>
              <w:t>位置</w:t>
            </w:r>
          </w:p>
        </w:tc>
        <w:tc>
          <w:tcPr>
            <w:tcW w:w="3685"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原基金合同条款</w:t>
            </w:r>
          </w:p>
        </w:tc>
        <w:tc>
          <w:tcPr>
            <w:tcW w:w="3686" w:type="dxa"/>
            <w:vAlign w:val="center"/>
          </w:tcPr>
          <w:p w:rsidR="00000000" w:rsidRDefault="00691308">
            <w:pPr>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修订后基金合同条款</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第十七部分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基金的收益与分配</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w:t>
            </w:r>
            <w:bookmarkStart w:id="6" w:name="OLE_LINK5"/>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bookmarkEnd w:id="6"/>
            <w:r>
              <w:rPr>
                <w:rFonts w:ascii="宋体" w:hAnsi="宋体" w:cs="宋体" w:hint="eastAsia"/>
                <w:color w:val="000000"/>
                <w:kern w:val="0"/>
                <w:sz w:val="24"/>
                <w:szCs w:val="24"/>
              </w:rPr>
              <w:t>；</w:t>
            </w:r>
          </w:p>
        </w:tc>
      </w:tr>
      <w:tr w:rsidR="00000000">
        <w:trPr>
          <w:trHeight w:val="502"/>
        </w:trPr>
        <w:tc>
          <w:tcPr>
            <w:tcW w:w="1101" w:type="dxa"/>
          </w:tcPr>
          <w:p w:rsidR="00000000" w:rsidRDefault="00691308">
            <w:pPr>
              <w:rPr>
                <w:rFonts w:ascii="宋体" w:hAnsi="宋体" w:cs="宋体" w:hint="eastAsia"/>
                <w:color w:val="000000"/>
                <w:kern w:val="0"/>
                <w:sz w:val="24"/>
                <w:szCs w:val="24"/>
              </w:rPr>
            </w:pPr>
            <w:r>
              <w:rPr>
                <w:rFonts w:ascii="宋体" w:hAnsi="宋体" w:cs="宋体" w:hint="eastAsia"/>
                <w:color w:val="000000"/>
                <w:kern w:val="0"/>
                <w:sz w:val="24"/>
                <w:szCs w:val="24"/>
              </w:rPr>
              <w:t>第二十五部分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合同摘要</w:t>
            </w:r>
          </w:p>
        </w:tc>
        <w:tc>
          <w:tcPr>
            <w:tcW w:w="3685"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）本基金收益分配方式仅现金分红一种方式；</w:t>
            </w:r>
          </w:p>
        </w:tc>
        <w:tc>
          <w:tcPr>
            <w:tcW w:w="3686" w:type="dxa"/>
          </w:tcPr>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（三）基金</w:t>
            </w:r>
            <w:r>
              <w:rPr>
                <w:rFonts w:ascii="宋体" w:hAnsi="宋体" w:cs="宋体" w:hint="eastAsia"/>
                <w:color w:val="000000"/>
                <w:kern w:val="0"/>
                <w:sz w:val="24"/>
                <w:szCs w:val="24"/>
              </w:rPr>
              <w:t>收益分配原则、执行方式</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、基金收益分配原则</w:t>
            </w:r>
          </w:p>
          <w:p w:rsidR="00000000" w:rsidRDefault="00691308">
            <w:pPr>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本基金登记在基金份额持有人开放式基金账户下的基金份额，其基金收益分配方式分为现金分红与红利再投资，投资者可选择获取现金红利或将现金红利自动转为基金份额进行再投资，若投资者不选择，本基金默认的收益分配方式是现金分红；登记在深圳证券账户的基金份额的收益分配方式仅现金分红一种方式；</w:t>
            </w:r>
          </w:p>
        </w:tc>
      </w:tr>
    </w:tbl>
    <w:p w:rsidR="00000000" w:rsidRDefault="00691308">
      <w:pPr>
        <w:spacing w:beforeLines="50" w:afterLines="50" w:line="360" w:lineRule="auto"/>
        <w:ind w:firstLineChars="200" w:firstLine="482"/>
        <w:outlineLvl w:val="0"/>
        <w:rPr>
          <w:b/>
          <w:sz w:val="24"/>
          <w:szCs w:val="24"/>
        </w:rPr>
      </w:pPr>
      <w:r>
        <w:rPr>
          <w:rFonts w:hint="eastAsia"/>
          <w:b/>
          <w:sz w:val="24"/>
          <w:szCs w:val="24"/>
        </w:rPr>
        <w:t>三、</w:t>
      </w:r>
      <w:r>
        <w:rPr>
          <w:b/>
          <w:sz w:val="24"/>
          <w:szCs w:val="24"/>
        </w:rPr>
        <w:t>重要提示</w:t>
      </w:r>
    </w:p>
    <w:p w:rsidR="00000000" w:rsidRDefault="00691308">
      <w:pPr>
        <w:spacing w:line="360" w:lineRule="auto"/>
        <w:ind w:firstLineChars="200" w:firstLine="480"/>
        <w:rPr>
          <w:sz w:val="24"/>
          <w:szCs w:val="24"/>
        </w:rPr>
      </w:pPr>
      <w:r>
        <w:rPr>
          <w:sz w:val="24"/>
          <w:szCs w:val="24"/>
        </w:rPr>
        <w:t>1</w:t>
      </w:r>
      <w:r>
        <w:rPr>
          <w:sz w:val="24"/>
          <w:szCs w:val="24"/>
        </w:rPr>
        <w:t>、</w:t>
      </w:r>
      <w:r>
        <w:rPr>
          <w:rFonts w:hint="eastAsia"/>
          <w:sz w:val="24"/>
          <w:szCs w:val="24"/>
        </w:rPr>
        <w:t>上述收益分配方式调整及</w:t>
      </w:r>
      <w:r>
        <w:rPr>
          <w:sz w:val="24"/>
          <w:szCs w:val="24"/>
        </w:rPr>
        <w:t>修订后的基金合同</w:t>
      </w:r>
      <w:r>
        <w:rPr>
          <w:rFonts w:hint="eastAsia"/>
          <w:sz w:val="24"/>
          <w:szCs w:val="24"/>
        </w:rPr>
        <w:t>和托管协议</w:t>
      </w:r>
      <w:r>
        <w:rPr>
          <w:sz w:val="24"/>
          <w:szCs w:val="24"/>
        </w:rPr>
        <w:t>自</w:t>
      </w:r>
      <w:r>
        <w:rPr>
          <w:sz w:val="24"/>
          <w:szCs w:val="24"/>
        </w:rPr>
        <w:t>2020</w:t>
      </w:r>
      <w:r>
        <w:rPr>
          <w:sz w:val="24"/>
          <w:szCs w:val="24"/>
        </w:rPr>
        <w:t>年</w:t>
      </w:r>
      <w:r>
        <w:rPr>
          <w:rFonts w:hint="eastAsia"/>
          <w:sz w:val="24"/>
          <w:szCs w:val="24"/>
        </w:rPr>
        <w:t>10</w:t>
      </w:r>
      <w:r>
        <w:rPr>
          <w:sz w:val="24"/>
          <w:szCs w:val="24"/>
        </w:rPr>
        <w:t>月</w:t>
      </w:r>
      <w:r>
        <w:rPr>
          <w:rFonts w:hint="eastAsia"/>
          <w:sz w:val="24"/>
          <w:szCs w:val="24"/>
        </w:rPr>
        <w:t>26</w:t>
      </w:r>
      <w:r>
        <w:rPr>
          <w:sz w:val="24"/>
          <w:szCs w:val="24"/>
        </w:rPr>
        <w:t>日</w:t>
      </w:r>
      <w:r>
        <w:rPr>
          <w:rFonts w:hint="eastAsia"/>
          <w:sz w:val="24"/>
          <w:szCs w:val="24"/>
        </w:rPr>
        <w:t>（含）</w:t>
      </w:r>
      <w:r>
        <w:rPr>
          <w:sz w:val="24"/>
          <w:szCs w:val="24"/>
        </w:rPr>
        <w:t>起生效。</w:t>
      </w:r>
    </w:p>
    <w:p w:rsidR="00000000" w:rsidRDefault="00691308">
      <w:pPr>
        <w:spacing w:line="360" w:lineRule="auto"/>
        <w:ind w:firstLineChars="200" w:firstLine="480"/>
        <w:rPr>
          <w:rFonts w:hint="eastAsia"/>
          <w:sz w:val="24"/>
          <w:szCs w:val="24"/>
        </w:rPr>
      </w:pPr>
      <w:r>
        <w:rPr>
          <w:rFonts w:hint="eastAsia"/>
          <w:sz w:val="24"/>
          <w:szCs w:val="24"/>
        </w:rPr>
        <w:t>2</w:t>
      </w:r>
      <w:r>
        <w:rPr>
          <w:rFonts w:hint="eastAsia"/>
          <w:sz w:val="24"/>
          <w:szCs w:val="24"/>
        </w:rPr>
        <w:t>、根据《公开募集证券投资基金信息披露管理办法》，本公司将在前述</w:t>
      </w:r>
      <w:r>
        <w:rPr>
          <w:rFonts w:hint="eastAsia"/>
          <w:sz w:val="24"/>
          <w:szCs w:val="24"/>
        </w:rPr>
        <w:t>五</w:t>
      </w:r>
      <w:r>
        <w:rPr>
          <w:rFonts w:hint="eastAsia"/>
          <w:sz w:val="24"/>
          <w:szCs w:val="24"/>
        </w:rPr>
        <w:t>只基金的</w:t>
      </w:r>
      <w:r>
        <w:rPr>
          <w:rFonts w:hint="eastAsia"/>
          <w:sz w:val="24"/>
          <w:szCs w:val="24"/>
        </w:rPr>
        <w:t>招募说明书中对本次调整基金收益分配方式涉及的相关内容进行及时更新。本公司将在规定媒介上披露修订后的基金合同、托管协议及更新的招募说明书。</w:t>
      </w:r>
    </w:p>
    <w:p w:rsidR="00000000" w:rsidRDefault="00691308">
      <w:pPr>
        <w:spacing w:line="360" w:lineRule="auto"/>
        <w:ind w:firstLineChars="200" w:firstLine="480"/>
        <w:rPr>
          <w:sz w:val="24"/>
          <w:szCs w:val="24"/>
        </w:rPr>
      </w:pPr>
      <w:r>
        <w:rPr>
          <w:sz w:val="24"/>
          <w:szCs w:val="24"/>
        </w:rPr>
        <w:t>3</w:t>
      </w:r>
      <w:r>
        <w:rPr>
          <w:sz w:val="24"/>
          <w:szCs w:val="24"/>
        </w:rPr>
        <w:t>、投资者可通过以下途径咨询有关详情：</w:t>
      </w:r>
      <w:r>
        <w:rPr>
          <w:rFonts w:hint="eastAsia"/>
          <w:sz w:val="24"/>
          <w:szCs w:val="24"/>
        </w:rPr>
        <w:t>客户服务热线：</w:t>
      </w:r>
      <w:r>
        <w:rPr>
          <w:rFonts w:hint="eastAsia"/>
          <w:sz w:val="24"/>
          <w:szCs w:val="24"/>
        </w:rPr>
        <w:t>4009200808</w:t>
      </w:r>
      <w:r>
        <w:rPr>
          <w:rFonts w:hint="eastAsia"/>
          <w:sz w:val="24"/>
          <w:szCs w:val="24"/>
        </w:rPr>
        <w:t>，公司网址：</w:t>
      </w:r>
      <w:r>
        <w:rPr>
          <w:rFonts w:hint="eastAsia"/>
          <w:sz w:val="24"/>
          <w:szCs w:val="24"/>
        </w:rPr>
        <w:t>www.dfham.com</w:t>
      </w:r>
      <w:r>
        <w:rPr>
          <w:rFonts w:hint="eastAsia"/>
          <w:sz w:val="24"/>
          <w:szCs w:val="24"/>
        </w:rPr>
        <w:t>。</w:t>
      </w:r>
    </w:p>
    <w:p w:rsidR="00000000" w:rsidRDefault="00691308">
      <w:pPr>
        <w:spacing w:beforeLines="50" w:afterLines="50" w:line="360" w:lineRule="auto"/>
        <w:ind w:firstLineChars="200" w:firstLine="482"/>
        <w:outlineLvl w:val="0"/>
        <w:rPr>
          <w:rFonts w:hint="eastAsia"/>
          <w:b/>
          <w:sz w:val="24"/>
          <w:szCs w:val="24"/>
        </w:rPr>
      </w:pPr>
      <w:r>
        <w:rPr>
          <w:rFonts w:hint="eastAsia"/>
          <w:b/>
          <w:sz w:val="24"/>
          <w:szCs w:val="24"/>
        </w:rPr>
        <w:t>四、风险提示</w:t>
      </w:r>
    </w:p>
    <w:p w:rsidR="00000000" w:rsidRDefault="00691308">
      <w:pPr>
        <w:spacing w:line="360" w:lineRule="auto"/>
        <w:ind w:firstLineChars="200" w:firstLine="480"/>
        <w:rPr>
          <w:rFonts w:hint="eastAsia"/>
          <w:sz w:val="24"/>
          <w:szCs w:val="24"/>
        </w:rPr>
      </w:pPr>
      <w:r>
        <w:rPr>
          <w:rFonts w:hint="eastAsia"/>
          <w:sz w:val="24"/>
          <w:szCs w:val="24"/>
        </w:rPr>
        <w:t>本基金管理人承诺以诚实信用、勤勉尽责的原则管理和运用基金资产，但不保证基金一定盈利，也不保证最低收益。基金投资需谨慎，敬请投资者注意投资风险。投资者投资于上述基金前应认真阅读基金的基金合同、《招募说明书》、基金产品资料概要及相关业务公告。敬请投资</w:t>
      </w:r>
      <w:r>
        <w:rPr>
          <w:rFonts w:hint="eastAsia"/>
          <w:sz w:val="24"/>
          <w:szCs w:val="24"/>
        </w:rPr>
        <w:t>者关注适当性管理相关规定，提前做好风险测评，并根据自身的风险承受能力购买风险等级相匹配的产品。</w:t>
      </w:r>
    </w:p>
    <w:p w:rsidR="00000000" w:rsidRDefault="00691308">
      <w:pPr>
        <w:spacing w:line="360" w:lineRule="auto"/>
        <w:ind w:firstLine="480"/>
        <w:jc w:val="right"/>
        <w:rPr>
          <w:sz w:val="24"/>
          <w:szCs w:val="24"/>
        </w:rPr>
      </w:pPr>
    </w:p>
    <w:p w:rsidR="00000000" w:rsidRDefault="00691308">
      <w:pPr>
        <w:spacing w:line="360" w:lineRule="auto"/>
        <w:ind w:firstLine="480"/>
        <w:jc w:val="right"/>
        <w:rPr>
          <w:rFonts w:hint="eastAsia"/>
          <w:sz w:val="24"/>
          <w:szCs w:val="24"/>
        </w:rPr>
      </w:pPr>
    </w:p>
    <w:p w:rsidR="00000000" w:rsidRDefault="00691308">
      <w:pPr>
        <w:spacing w:line="360" w:lineRule="auto"/>
        <w:ind w:firstLine="480"/>
        <w:jc w:val="right"/>
        <w:rPr>
          <w:sz w:val="24"/>
          <w:szCs w:val="24"/>
        </w:rPr>
      </w:pPr>
      <w:r>
        <w:rPr>
          <w:sz w:val="24"/>
          <w:szCs w:val="24"/>
        </w:rPr>
        <w:t>上海东方证券资产管理有限公司</w:t>
      </w:r>
    </w:p>
    <w:p w:rsidR="00000000" w:rsidRDefault="00691308">
      <w:pPr>
        <w:spacing w:line="360" w:lineRule="auto"/>
        <w:ind w:firstLine="480"/>
        <w:jc w:val="right"/>
        <w:rPr>
          <w:sz w:val="24"/>
          <w:szCs w:val="24"/>
        </w:rPr>
      </w:pPr>
      <w:r>
        <w:rPr>
          <w:sz w:val="24"/>
          <w:szCs w:val="24"/>
        </w:rPr>
        <w:t>2020</w:t>
      </w:r>
      <w:r>
        <w:rPr>
          <w:sz w:val="24"/>
          <w:szCs w:val="24"/>
        </w:rPr>
        <w:t>年</w:t>
      </w:r>
      <w:r>
        <w:rPr>
          <w:rFonts w:hint="eastAsia"/>
          <w:sz w:val="24"/>
          <w:szCs w:val="24"/>
        </w:rPr>
        <w:t>10</w:t>
      </w:r>
      <w:r>
        <w:rPr>
          <w:sz w:val="24"/>
          <w:szCs w:val="24"/>
        </w:rPr>
        <w:t>月</w:t>
      </w:r>
      <w:r>
        <w:rPr>
          <w:rFonts w:hint="eastAsia"/>
          <w:sz w:val="24"/>
          <w:szCs w:val="24"/>
        </w:rPr>
        <w:t>26</w:t>
      </w:r>
      <w:r>
        <w:rPr>
          <w:sz w:val="24"/>
          <w:szCs w:val="24"/>
        </w:rPr>
        <w:t>日</w:t>
      </w:r>
    </w:p>
    <w:p w:rsidR="00000000" w:rsidRDefault="00691308"/>
    <w:sectPr w:rsidR="0000000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91308">
      <w:pPr>
        <w:rPr>
          <w:sz w:val="18"/>
        </w:rPr>
      </w:pPr>
    </w:p>
  </w:endnote>
  <w:endnote w:type="continuationSeparator" w:id="0">
    <w:p w:rsidR="00000000" w:rsidRDefault="00691308">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1308">
    <w:pPr>
      <w:pStyle w:val="aa"/>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v-text-anchor:top" filled="f" stroked="f">
          <v:fill o:detectmouseclick="t"/>
          <v:textbox style="mso-fit-shape-to-text:t" inset="0,0,0,0">
            <w:txbxContent>
              <w:p w:rsidR="00000000" w:rsidRDefault="00691308">
                <w:pPr>
                  <w:pStyle w:val="aa"/>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91308">
      <w:pPr>
        <w:rPr>
          <w:sz w:val="18"/>
        </w:rPr>
      </w:pPr>
    </w:p>
  </w:footnote>
  <w:footnote w:type="continuationSeparator" w:id="0">
    <w:p w:rsidR="00000000" w:rsidRDefault="00691308">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DDA"/>
    <w:rsid w:val="00026437"/>
    <w:rsid w:val="00030294"/>
    <w:rsid w:val="00037026"/>
    <w:rsid w:val="00037E2C"/>
    <w:rsid w:val="000430B7"/>
    <w:rsid w:val="0005536D"/>
    <w:rsid w:val="000577E1"/>
    <w:rsid w:val="00061763"/>
    <w:rsid w:val="00071353"/>
    <w:rsid w:val="0007611B"/>
    <w:rsid w:val="0008505B"/>
    <w:rsid w:val="00087AD7"/>
    <w:rsid w:val="00093A77"/>
    <w:rsid w:val="00097887"/>
    <w:rsid w:val="000A575F"/>
    <w:rsid w:val="000B0E4E"/>
    <w:rsid w:val="000B45D6"/>
    <w:rsid w:val="000B65CB"/>
    <w:rsid w:val="000C64AC"/>
    <w:rsid w:val="000C65BD"/>
    <w:rsid w:val="000D0FE5"/>
    <w:rsid w:val="000D23D1"/>
    <w:rsid w:val="000E727B"/>
    <w:rsid w:val="000F38DC"/>
    <w:rsid w:val="0010486E"/>
    <w:rsid w:val="00107753"/>
    <w:rsid w:val="00107940"/>
    <w:rsid w:val="00113935"/>
    <w:rsid w:val="0011569E"/>
    <w:rsid w:val="00131676"/>
    <w:rsid w:val="00132047"/>
    <w:rsid w:val="00146FEB"/>
    <w:rsid w:val="00164F31"/>
    <w:rsid w:val="00171546"/>
    <w:rsid w:val="00172962"/>
    <w:rsid w:val="00172A69"/>
    <w:rsid w:val="001852C5"/>
    <w:rsid w:val="001A249E"/>
    <w:rsid w:val="001A4B00"/>
    <w:rsid w:val="001C7061"/>
    <w:rsid w:val="001E70B5"/>
    <w:rsid w:val="001F14DF"/>
    <w:rsid w:val="002007D2"/>
    <w:rsid w:val="002152D5"/>
    <w:rsid w:val="00216768"/>
    <w:rsid w:val="0022455F"/>
    <w:rsid w:val="00224DDE"/>
    <w:rsid w:val="00237B1B"/>
    <w:rsid w:val="00240290"/>
    <w:rsid w:val="00241E90"/>
    <w:rsid w:val="00251E7C"/>
    <w:rsid w:val="00256604"/>
    <w:rsid w:val="002568A5"/>
    <w:rsid w:val="00257CB0"/>
    <w:rsid w:val="00283B6E"/>
    <w:rsid w:val="00285983"/>
    <w:rsid w:val="00292B08"/>
    <w:rsid w:val="002B75AC"/>
    <w:rsid w:val="002B7BC1"/>
    <w:rsid w:val="002C7923"/>
    <w:rsid w:val="002D5677"/>
    <w:rsid w:val="002D5A15"/>
    <w:rsid w:val="002F4201"/>
    <w:rsid w:val="0030001F"/>
    <w:rsid w:val="00301EAF"/>
    <w:rsid w:val="003023C4"/>
    <w:rsid w:val="00304963"/>
    <w:rsid w:val="00307549"/>
    <w:rsid w:val="0031002B"/>
    <w:rsid w:val="00311A45"/>
    <w:rsid w:val="0031239D"/>
    <w:rsid w:val="003165A2"/>
    <w:rsid w:val="003247B3"/>
    <w:rsid w:val="00330733"/>
    <w:rsid w:val="0033157E"/>
    <w:rsid w:val="00336C20"/>
    <w:rsid w:val="003526C7"/>
    <w:rsid w:val="003802C3"/>
    <w:rsid w:val="0039384E"/>
    <w:rsid w:val="00397560"/>
    <w:rsid w:val="00397BA3"/>
    <w:rsid w:val="003A507F"/>
    <w:rsid w:val="003B2C84"/>
    <w:rsid w:val="003B7E78"/>
    <w:rsid w:val="003C484D"/>
    <w:rsid w:val="003C5DCD"/>
    <w:rsid w:val="003C715B"/>
    <w:rsid w:val="003F250F"/>
    <w:rsid w:val="00402A15"/>
    <w:rsid w:val="004047B7"/>
    <w:rsid w:val="00404DA3"/>
    <w:rsid w:val="0040689D"/>
    <w:rsid w:val="00406C2A"/>
    <w:rsid w:val="00410541"/>
    <w:rsid w:val="00411330"/>
    <w:rsid w:val="00414CCB"/>
    <w:rsid w:val="00424395"/>
    <w:rsid w:val="0043400C"/>
    <w:rsid w:val="004478B4"/>
    <w:rsid w:val="004603D8"/>
    <w:rsid w:val="00460611"/>
    <w:rsid w:val="004627FC"/>
    <w:rsid w:val="004767CC"/>
    <w:rsid w:val="00481AC2"/>
    <w:rsid w:val="00482053"/>
    <w:rsid w:val="00496C9A"/>
    <w:rsid w:val="004A2F63"/>
    <w:rsid w:val="004C482B"/>
    <w:rsid w:val="004C72CD"/>
    <w:rsid w:val="004D5703"/>
    <w:rsid w:val="004D688D"/>
    <w:rsid w:val="004E0246"/>
    <w:rsid w:val="004E5BCC"/>
    <w:rsid w:val="004F0F68"/>
    <w:rsid w:val="004F3EA2"/>
    <w:rsid w:val="004F5578"/>
    <w:rsid w:val="0051629A"/>
    <w:rsid w:val="00525EEC"/>
    <w:rsid w:val="005558B7"/>
    <w:rsid w:val="00564F48"/>
    <w:rsid w:val="00567482"/>
    <w:rsid w:val="00575D72"/>
    <w:rsid w:val="00583610"/>
    <w:rsid w:val="00586DC0"/>
    <w:rsid w:val="00587396"/>
    <w:rsid w:val="00593700"/>
    <w:rsid w:val="005A2DF3"/>
    <w:rsid w:val="005B1F2B"/>
    <w:rsid w:val="005B7F87"/>
    <w:rsid w:val="005C13EE"/>
    <w:rsid w:val="005C1A7B"/>
    <w:rsid w:val="005D3805"/>
    <w:rsid w:val="005D51E3"/>
    <w:rsid w:val="005E513F"/>
    <w:rsid w:val="005F07B5"/>
    <w:rsid w:val="005F1388"/>
    <w:rsid w:val="005F433C"/>
    <w:rsid w:val="00602C85"/>
    <w:rsid w:val="006320A8"/>
    <w:rsid w:val="00633ACF"/>
    <w:rsid w:val="006468E2"/>
    <w:rsid w:val="00652769"/>
    <w:rsid w:val="00656F11"/>
    <w:rsid w:val="00666EB7"/>
    <w:rsid w:val="00667F95"/>
    <w:rsid w:val="00672FB2"/>
    <w:rsid w:val="006754A6"/>
    <w:rsid w:val="006763A4"/>
    <w:rsid w:val="006763F7"/>
    <w:rsid w:val="00680008"/>
    <w:rsid w:val="006853FA"/>
    <w:rsid w:val="00691308"/>
    <w:rsid w:val="006923F6"/>
    <w:rsid w:val="00697B04"/>
    <w:rsid w:val="006A451C"/>
    <w:rsid w:val="006B291B"/>
    <w:rsid w:val="006C6AFD"/>
    <w:rsid w:val="006E0294"/>
    <w:rsid w:val="006F57C7"/>
    <w:rsid w:val="006F74FA"/>
    <w:rsid w:val="0070198C"/>
    <w:rsid w:val="00704A4D"/>
    <w:rsid w:val="00716CEA"/>
    <w:rsid w:val="00737299"/>
    <w:rsid w:val="0074225D"/>
    <w:rsid w:val="00743149"/>
    <w:rsid w:val="0074455E"/>
    <w:rsid w:val="00745158"/>
    <w:rsid w:val="00747708"/>
    <w:rsid w:val="00756455"/>
    <w:rsid w:val="0076008B"/>
    <w:rsid w:val="00765B6F"/>
    <w:rsid w:val="00775BBA"/>
    <w:rsid w:val="007760FB"/>
    <w:rsid w:val="00787C17"/>
    <w:rsid w:val="007A058B"/>
    <w:rsid w:val="007A38F0"/>
    <w:rsid w:val="007A5E32"/>
    <w:rsid w:val="007A7FD0"/>
    <w:rsid w:val="007D22BB"/>
    <w:rsid w:val="007D5349"/>
    <w:rsid w:val="007E087A"/>
    <w:rsid w:val="007E2E29"/>
    <w:rsid w:val="00804BF5"/>
    <w:rsid w:val="0080637F"/>
    <w:rsid w:val="00807261"/>
    <w:rsid w:val="00820D1F"/>
    <w:rsid w:val="008222CE"/>
    <w:rsid w:val="00830F6B"/>
    <w:rsid w:val="00837066"/>
    <w:rsid w:val="00837A7E"/>
    <w:rsid w:val="008547DD"/>
    <w:rsid w:val="00860019"/>
    <w:rsid w:val="00867957"/>
    <w:rsid w:val="00884455"/>
    <w:rsid w:val="008855A8"/>
    <w:rsid w:val="00886606"/>
    <w:rsid w:val="00890440"/>
    <w:rsid w:val="00894A4E"/>
    <w:rsid w:val="00894BAB"/>
    <w:rsid w:val="008A1110"/>
    <w:rsid w:val="008C2F9B"/>
    <w:rsid w:val="008F039E"/>
    <w:rsid w:val="008F19AD"/>
    <w:rsid w:val="009011B1"/>
    <w:rsid w:val="0090757E"/>
    <w:rsid w:val="00912A12"/>
    <w:rsid w:val="00924734"/>
    <w:rsid w:val="00925ACC"/>
    <w:rsid w:val="009279F5"/>
    <w:rsid w:val="00933045"/>
    <w:rsid w:val="00954F15"/>
    <w:rsid w:val="0095533D"/>
    <w:rsid w:val="00955AF7"/>
    <w:rsid w:val="0095769C"/>
    <w:rsid w:val="00962368"/>
    <w:rsid w:val="00963FDA"/>
    <w:rsid w:val="00991E93"/>
    <w:rsid w:val="00993FC1"/>
    <w:rsid w:val="009A1342"/>
    <w:rsid w:val="009B1749"/>
    <w:rsid w:val="009B2B8E"/>
    <w:rsid w:val="009B39B0"/>
    <w:rsid w:val="009B6267"/>
    <w:rsid w:val="009B6587"/>
    <w:rsid w:val="009C114B"/>
    <w:rsid w:val="009C1DD7"/>
    <w:rsid w:val="009D36C9"/>
    <w:rsid w:val="009D5B7E"/>
    <w:rsid w:val="009D7ECC"/>
    <w:rsid w:val="009E39D8"/>
    <w:rsid w:val="00A06069"/>
    <w:rsid w:val="00A1093C"/>
    <w:rsid w:val="00A1474B"/>
    <w:rsid w:val="00A42E76"/>
    <w:rsid w:val="00A45EE3"/>
    <w:rsid w:val="00A4651A"/>
    <w:rsid w:val="00A660A2"/>
    <w:rsid w:val="00A71CBD"/>
    <w:rsid w:val="00A77ECF"/>
    <w:rsid w:val="00A943B2"/>
    <w:rsid w:val="00AC4AA1"/>
    <w:rsid w:val="00AD0F48"/>
    <w:rsid w:val="00AD1FE5"/>
    <w:rsid w:val="00AD4ACB"/>
    <w:rsid w:val="00AD7256"/>
    <w:rsid w:val="00AF0E8A"/>
    <w:rsid w:val="00AF7098"/>
    <w:rsid w:val="00B07E82"/>
    <w:rsid w:val="00B14DAC"/>
    <w:rsid w:val="00B16903"/>
    <w:rsid w:val="00B40B56"/>
    <w:rsid w:val="00B45FDD"/>
    <w:rsid w:val="00B53928"/>
    <w:rsid w:val="00B61932"/>
    <w:rsid w:val="00B70F72"/>
    <w:rsid w:val="00B73DB9"/>
    <w:rsid w:val="00B73F57"/>
    <w:rsid w:val="00B80939"/>
    <w:rsid w:val="00B90B0C"/>
    <w:rsid w:val="00B94AE1"/>
    <w:rsid w:val="00BA47BD"/>
    <w:rsid w:val="00BA4B78"/>
    <w:rsid w:val="00BB70AF"/>
    <w:rsid w:val="00C03B65"/>
    <w:rsid w:val="00C057F0"/>
    <w:rsid w:val="00C1141F"/>
    <w:rsid w:val="00C2016B"/>
    <w:rsid w:val="00C232C0"/>
    <w:rsid w:val="00C32C2E"/>
    <w:rsid w:val="00C3409B"/>
    <w:rsid w:val="00C343DC"/>
    <w:rsid w:val="00C36FF4"/>
    <w:rsid w:val="00C37DBF"/>
    <w:rsid w:val="00C46A5E"/>
    <w:rsid w:val="00C5719D"/>
    <w:rsid w:val="00C57378"/>
    <w:rsid w:val="00C65450"/>
    <w:rsid w:val="00C70CF5"/>
    <w:rsid w:val="00C85DDA"/>
    <w:rsid w:val="00C86542"/>
    <w:rsid w:val="00C950FD"/>
    <w:rsid w:val="00CB10B3"/>
    <w:rsid w:val="00CB4318"/>
    <w:rsid w:val="00CB5ECA"/>
    <w:rsid w:val="00CB7328"/>
    <w:rsid w:val="00CC2D4E"/>
    <w:rsid w:val="00CC3A25"/>
    <w:rsid w:val="00CC401E"/>
    <w:rsid w:val="00CC41EE"/>
    <w:rsid w:val="00CC7143"/>
    <w:rsid w:val="00CD16F7"/>
    <w:rsid w:val="00CD1A4A"/>
    <w:rsid w:val="00CD7096"/>
    <w:rsid w:val="00CE1AF0"/>
    <w:rsid w:val="00CE1D3C"/>
    <w:rsid w:val="00D006AE"/>
    <w:rsid w:val="00D125D3"/>
    <w:rsid w:val="00D21B7C"/>
    <w:rsid w:val="00D220F7"/>
    <w:rsid w:val="00D42E86"/>
    <w:rsid w:val="00D43903"/>
    <w:rsid w:val="00D458A0"/>
    <w:rsid w:val="00D50EC9"/>
    <w:rsid w:val="00D66E46"/>
    <w:rsid w:val="00D746B8"/>
    <w:rsid w:val="00D75E9B"/>
    <w:rsid w:val="00D8272A"/>
    <w:rsid w:val="00D82AE5"/>
    <w:rsid w:val="00D85B00"/>
    <w:rsid w:val="00D93DD1"/>
    <w:rsid w:val="00D95FF1"/>
    <w:rsid w:val="00DB43FC"/>
    <w:rsid w:val="00DB60F9"/>
    <w:rsid w:val="00DB61A6"/>
    <w:rsid w:val="00DB7311"/>
    <w:rsid w:val="00DC1F1A"/>
    <w:rsid w:val="00DC5A22"/>
    <w:rsid w:val="00DC78AB"/>
    <w:rsid w:val="00DD1FB1"/>
    <w:rsid w:val="00DD569A"/>
    <w:rsid w:val="00DE637F"/>
    <w:rsid w:val="00DE77D8"/>
    <w:rsid w:val="00DF6073"/>
    <w:rsid w:val="00E06232"/>
    <w:rsid w:val="00E062BA"/>
    <w:rsid w:val="00E06A08"/>
    <w:rsid w:val="00E1441D"/>
    <w:rsid w:val="00E27480"/>
    <w:rsid w:val="00E3035A"/>
    <w:rsid w:val="00E61426"/>
    <w:rsid w:val="00E70041"/>
    <w:rsid w:val="00E744AB"/>
    <w:rsid w:val="00E7588A"/>
    <w:rsid w:val="00E80544"/>
    <w:rsid w:val="00E84BF3"/>
    <w:rsid w:val="00E85FB4"/>
    <w:rsid w:val="00E87CA3"/>
    <w:rsid w:val="00E904A1"/>
    <w:rsid w:val="00E951A3"/>
    <w:rsid w:val="00EA52D8"/>
    <w:rsid w:val="00ED10AA"/>
    <w:rsid w:val="00ED2187"/>
    <w:rsid w:val="00EE1AD3"/>
    <w:rsid w:val="00EE7851"/>
    <w:rsid w:val="00EF50F8"/>
    <w:rsid w:val="00F00BEA"/>
    <w:rsid w:val="00F07BCF"/>
    <w:rsid w:val="00F276CC"/>
    <w:rsid w:val="00F309E5"/>
    <w:rsid w:val="00F32A02"/>
    <w:rsid w:val="00F35586"/>
    <w:rsid w:val="00F37F75"/>
    <w:rsid w:val="00F45602"/>
    <w:rsid w:val="00F5723D"/>
    <w:rsid w:val="00F60845"/>
    <w:rsid w:val="00F67343"/>
    <w:rsid w:val="00F74A7F"/>
    <w:rsid w:val="00F85EF3"/>
    <w:rsid w:val="00F91C33"/>
    <w:rsid w:val="00FA4723"/>
    <w:rsid w:val="00FB0523"/>
    <w:rsid w:val="00FB121F"/>
    <w:rsid w:val="00FC3045"/>
    <w:rsid w:val="00FC4082"/>
    <w:rsid w:val="00FC567C"/>
    <w:rsid w:val="00FD39E3"/>
    <w:rsid w:val="00FD6A49"/>
    <w:rsid w:val="00FE0859"/>
    <w:rsid w:val="0253523E"/>
    <w:rsid w:val="078E030C"/>
    <w:rsid w:val="07C20C7C"/>
    <w:rsid w:val="08515A3A"/>
    <w:rsid w:val="088E3E88"/>
    <w:rsid w:val="0A191C9D"/>
    <w:rsid w:val="0AB25E52"/>
    <w:rsid w:val="0B94784F"/>
    <w:rsid w:val="0BEC6D3B"/>
    <w:rsid w:val="0C3635BE"/>
    <w:rsid w:val="0DB24097"/>
    <w:rsid w:val="105E2512"/>
    <w:rsid w:val="1389275D"/>
    <w:rsid w:val="138B3F49"/>
    <w:rsid w:val="169234AB"/>
    <w:rsid w:val="18137CDB"/>
    <w:rsid w:val="199E30DE"/>
    <w:rsid w:val="1AC55ED5"/>
    <w:rsid w:val="1B5402FA"/>
    <w:rsid w:val="1C940879"/>
    <w:rsid w:val="1D457848"/>
    <w:rsid w:val="1F13695B"/>
    <w:rsid w:val="1F183416"/>
    <w:rsid w:val="20A24AFB"/>
    <w:rsid w:val="226F28AF"/>
    <w:rsid w:val="23824CFD"/>
    <w:rsid w:val="245E6CE6"/>
    <w:rsid w:val="282C3CC8"/>
    <w:rsid w:val="28FC697E"/>
    <w:rsid w:val="2B7C489F"/>
    <w:rsid w:val="2D9A0E11"/>
    <w:rsid w:val="2F8D786A"/>
    <w:rsid w:val="30BB41B0"/>
    <w:rsid w:val="33D21426"/>
    <w:rsid w:val="33FD7FF7"/>
    <w:rsid w:val="341C3C72"/>
    <w:rsid w:val="34402AF0"/>
    <w:rsid w:val="35F83B9E"/>
    <w:rsid w:val="372D0825"/>
    <w:rsid w:val="382219CF"/>
    <w:rsid w:val="38AA2E14"/>
    <w:rsid w:val="38C55A9A"/>
    <w:rsid w:val="393A3744"/>
    <w:rsid w:val="39C22AFA"/>
    <w:rsid w:val="3A5007EF"/>
    <w:rsid w:val="3C465D8C"/>
    <w:rsid w:val="3C981A3F"/>
    <w:rsid w:val="3DBB7C5C"/>
    <w:rsid w:val="3E824FD2"/>
    <w:rsid w:val="3EE556FE"/>
    <w:rsid w:val="400A5352"/>
    <w:rsid w:val="42482C40"/>
    <w:rsid w:val="43192AE3"/>
    <w:rsid w:val="43986C3D"/>
    <w:rsid w:val="43AD1A5B"/>
    <w:rsid w:val="44270242"/>
    <w:rsid w:val="44C0054B"/>
    <w:rsid w:val="46094567"/>
    <w:rsid w:val="47366820"/>
    <w:rsid w:val="47491F2C"/>
    <w:rsid w:val="495F0EAE"/>
    <w:rsid w:val="498008AE"/>
    <w:rsid w:val="4C7D68DB"/>
    <w:rsid w:val="4CC4616F"/>
    <w:rsid w:val="4DA72B4C"/>
    <w:rsid w:val="4F17263E"/>
    <w:rsid w:val="4F2F6A64"/>
    <w:rsid w:val="50260088"/>
    <w:rsid w:val="50F31717"/>
    <w:rsid w:val="511A1FD1"/>
    <w:rsid w:val="51244023"/>
    <w:rsid w:val="54D45CF7"/>
    <w:rsid w:val="57677CA3"/>
    <w:rsid w:val="5A6D62C2"/>
    <w:rsid w:val="5ABF0E9D"/>
    <w:rsid w:val="5AE6671D"/>
    <w:rsid w:val="5E154BD2"/>
    <w:rsid w:val="5F1F1E51"/>
    <w:rsid w:val="5F7F2817"/>
    <w:rsid w:val="6005414C"/>
    <w:rsid w:val="60270AFA"/>
    <w:rsid w:val="61223E61"/>
    <w:rsid w:val="619E0715"/>
    <w:rsid w:val="61EE4A02"/>
    <w:rsid w:val="636B2385"/>
    <w:rsid w:val="658006FA"/>
    <w:rsid w:val="65957328"/>
    <w:rsid w:val="695D0C24"/>
    <w:rsid w:val="69BA3505"/>
    <w:rsid w:val="6A8F5D77"/>
    <w:rsid w:val="6B762E65"/>
    <w:rsid w:val="6CD109D8"/>
    <w:rsid w:val="6CF77B7C"/>
    <w:rsid w:val="6E6D78C4"/>
    <w:rsid w:val="6E9B084E"/>
    <w:rsid w:val="70E2510C"/>
    <w:rsid w:val="714916A5"/>
    <w:rsid w:val="72A343BE"/>
    <w:rsid w:val="72A45F7F"/>
    <w:rsid w:val="73101E9A"/>
    <w:rsid w:val="73AE08DD"/>
    <w:rsid w:val="73E01768"/>
    <w:rsid w:val="75A649BC"/>
    <w:rsid w:val="76167EED"/>
    <w:rsid w:val="761B252D"/>
    <w:rsid w:val="766E5CEB"/>
    <w:rsid w:val="76CE74ED"/>
    <w:rsid w:val="77B53245"/>
    <w:rsid w:val="7A274FB3"/>
    <w:rsid w:val="7B4E48A6"/>
    <w:rsid w:val="7DB54601"/>
    <w:rsid w:val="7DB87181"/>
    <w:rsid w:val="7F0263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ref">
    <w:name w:val="href"/>
    <w:rPr>
      <w:color w:val="0000FF"/>
      <w:u w:val="single"/>
    </w:rPr>
  </w:style>
  <w:style w:type="character" w:styleId="a3">
    <w:name w:val="FollowedHyperlink"/>
    <w:uiPriority w:val="99"/>
    <w:unhideWhenUsed/>
    <w:rPr>
      <w:color w:val="0000FF"/>
      <w:u w:val="single"/>
    </w:rPr>
  </w:style>
  <w:style w:type="character" w:styleId="a4">
    <w:name w:val="Hyperlink"/>
    <w:uiPriority w:val="99"/>
    <w:unhideWhenUsed/>
    <w:rPr>
      <w:color w:val="0563C1"/>
      <w:u w:val="single"/>
    </w:rPr>
  </w:style>
  <w:style w:type="character" w:styleId="a5">
    <w:name w:val="annotation reference"/>
    <w:uiPriority w:val="99"/>
    <w:unhideWhenUsed/>
    <w:rPr>
      <w:sz w:val="21"/>
      <w:szCs w:val="21"/>
    </w:rPr>
  </w:style>
  <w:style w:type="character" w:customStyle="1" w:styleId="Char">
    <w:name w:val="批注框文本 Char"/>
    <w:link w:val="a6"/>
    <w:uiPriority w:val="99"/>
    <w:semiHidden/>
    <w:rPr>
      <w:kern w:val="2"/>
      <w:sz w:val="18"/>
      <w:szCs w:val="18"/>
    </w:rPr>
  </w:style>
  <w:style w:type="character" w:customStyle="1" w:styleId="Char0">
    <w:name w:val="页眉 Char"/>
    <w:link w:val="a7"/>
    <w:uiPriority w:val="99"/>
    <w:rPr>
      <w:sz w:val="18"/>
      <w:szCs w:val="18"/>
    </w:rPr>
  </w:style>
  <w:style w:type="character" w:customStyle="1" w:styleId="Char1">
    <w:name w:val="批注主题 Char"/>
    <w:link w:val="a8"/>
    <w:uiPriority w:val="99"/>
    <w:semiHidden/>
    <w:rPr>
      <w:b/>
      <w:bCs/>
      <w:kern w:val="2"/>
      <w:sz w:val="21"/>
      <w:szCs w:val="22"/>
    </w:rPr>
  </w:style>
  <w:style w:type="character" w:customStyle="1" w:styleId="Char2">
    <w:name w:val="批注文字 Char"/>
    <w:link w:val="a9"/>
    <w:uiPriority w:val="99"/>
    <w:semiHidden/>
    <w:rPr>
      <w:kern w:val="2"/>
      <w:sz w:val="21"/>
      <w:szCs w:val="22"/>
    </w:rPr>
  </w:style>
  <w:style w:type="character" w:customStyle="1" w:styleId="Char3">
    <w:name w:val="页脚 Char"/>
    <w:link w:val="aa"/>
    <w:uiPriority w:val="99"/>
    <w:rPr>
      <w:sz w:val="18"/>
      <w:szCs w:val="18"/>
    </w:rPr>
  </w:style>
  <w:style w:type="paragraph" w:styleId="a8">
    <w:name w:val="annotation subject"/>
    <w:basedOn w:val="a9"/>
    <w:next w:val="a9"/>
    <w:link w:val="Char1"/>
    <w:uiPriority w:val="99"/>
    <w:unhideWhenUsed/>
    <w:rPr>
      <w:b/>
      <w:bCs/>
    </w:rPr>
  </w:style>
  <w:style w:type="paragraph" w:styleId="a9">
    <w:name w:val="annotation text"/>
    <w:basedOn w:val="a"/>
    <w:link w:val="Char2"/>
    <w:uiPriority w:val="99"/>
    <w:unhideWhenUsed/>
    <w:pPr>
      <w:jc w:val="left"/>
    </w:pPr>
  </w:style>
  <w:style w:type="paragraph" w:styleId="a6">
    <w:name w:val="Balloon Text"/>
    <w:basedOn w:val="a"/>
    <w:link w:val="Char"/>
    <w:uiPriority w:val="99"/>
    <w:unhideWhenUsed/>
    <w:rPr>
      <w:sz w:val="18"/>
      <w:szCs w:val="18"/>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unhideWhenUsed/>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b">
    <w:name w:val="Revision"/>
    <w:uiPriority w:val="99"/>
    <w:unhideWhenUsed/>
    <w:rPr>
      <w:kern w:val="2"/>
      <w:sz w:val="21"/>
      <w:szCs w:val="22"/>
    </w:rPr>
  </w:style>
  <w:style w:type="paragraph" w:styleId="ac">
    <w:name w:val="List Paragraph"/>
    <w:basedOn w:val="a"/>
    <w:uiPriority w:val="34"/>
    <w:qFormat/>
    <w:pPr>
      <w:ind w:firstLineChars="200" w:firstLine="42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3769</Characters>
  <Application>Microsoft Office Word</Application>
  <DocSecurity>4</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吴比</dc:creator>
  <cp:keywords/>
  <dc:description/>
  <cp:lastModifiedBy>ZHONGM</cp:lastModifiedBy>
  <cp:revision>2</cp:revision>
  <cp:lastPrinted>2020-08-10T01:28:00Z</cp:lastPrinted>
  <dcterms:created xsi:type="dcterms:W3CDTF">2020-10-25T16:18:00Z</dcterms:created>
  <dcterms:modified xsi:type="dcterms:W3CDTF">2020-10-25T16:18:00Z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