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37F" w:rsidRDefault="00D4237F">
      <w:pPr>
        <w:spacing w:line="360" w:lineRule="auto"/>
        <w:jc w:val="center"/>
        <w:rPr>
          <w:rFonts w:ascii="宋体" w:cs="宋体" w:hint="eastAsia"/>
          <w:b/>
          <w:kern w:val="0"/>
          <w:sz w:val="32"/>
          <w:szCs w:val="32"/>
        </w:rPr>
      </w:pPr>
      <w:r>
        <w:rPr>
          <w:rFonts w:ascii="宋体" w:cs="宋体" w:hint="eastAsia"/>
          <w:b/>
          <w:kern w:val="0"/>
          <w:sz w:val="32"/>
          <w:szCs w:val="32"/>
        </w:rPr>
        <w:t>宝盈基金管理有限公司关于旗下基金</w:t>
      </w:r>
      <w:r w:rsidR="00E73E7C">
        <w:rPr>
          <w:rFonts w:ascii="宋体" w:cs="宋体" w:hint="eastAsia"/>
          <w:b/>
          <w:kern w:val="0"/>
          <w:sz w:val="32"/>
          <w:szCs w:val="32"/>
        </w:rPr>
        <w:t>投资</w:t>
      </w:r>
      <w:r w:rsidR="00B35B14">
        <w:rPr>
          <w:rFonts w:ascii="宋体" w:cs="宋体" w:hint="eastAsia"/>
          <w:b/>
          <w:kern w:val="0"/>
          <w:sz w:val="32"/>
          <w:szCs w:val="32"/>
        </w:rPr>
        <w:t>捷昌驱动</w:t>
      </w:r>
      <w:r>
        <w:rPr>
          <w:rFonts w:ascii="宋体" w:cs="宋体" w:hint="eastAsia"/>
          <w:b/>
          <w:kern w:val="0"/>
          <w:sz w:val="32"/>
          <w:szCs w:val="32"/>
        </w:rPr>
        <w:t>非公开发行股票的公告</w:t>
      </w:r>
    </w:p>
    <w:p w:rsidR="00D4237F" w:rsidRDefault="00D4237F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cs="宋体" w:hint="eastAsia"/>
          <w:kern w:val="0"/>
          <w:sz w:val="24"/>
        </w:rPr>
      </w:pPr>
      <w:r>
        <w:rPr>
          <w:rFonts w:ascii="宋体" w:cs="宋体" w:hint="eastAsia"/>
          <w:kern w:val="0"/>
          <w:sz w:val="24"/>
        </w:rPr>
        <w:t>宝盈基金管理有限公司（以下简称“本公司”）旗下部分基金</w:t>
      </w:r>
      <w:r w:rsidR="005E0F1D">
        <w:rPr>
          <w:rFonts w:ascii="宋体" w:cs="宋体" w:hint="eastAsia"/>
          <w:kern w:val="0"/>
          <w:sz w:val="24"/>
        </w:rPr>
        <w:t>参与了</w:t>
      </w:r>
      <w:r w:rsidR="00B35B14">
        <w:rPr>
          <w:rFonts w:ascii="宋体" w:cs="宋体" w:hint="eastAsia"/>
          <w:kern w:val="0"/>
          <w:sz w:val="24"/>
        </w:rPr>
        <w:t>浙江</w:t>
      </w:r>
      <w:r w:rsidR="00B35B14">
        <w:rPr>
          <w:rFonts w:ascii="宋体" w:cs="宋体"/>
          <w:kern w:val="0"/>
          <w:sz w:val="24"/>
        </w:rPr>
        <w:t>捷昌线性驱动科技</w:t>
      </w:r>
      <w:r>
        <w:rPr>
          <w:rFonts w:ascii="宋体" w:cs="宋体" w:hint="eastAsia"/>
          <w:kern w:val="0"/>
          <w:sz w:val="24"/>
        </w:rPr>
        <w:t>股份有限公司（股票简称：</w:t>
      </w:r>
      <w:r w:rsidR="00B35B14">
        <w:rPr>
          <w:rFonts w:ascii="宋体" w:cs="宋体" w:hint="eastAsia"/>
          <w:kern w:val="0"/>
          <w:sz w:val="24"/>
        </w:rPr>
        <w:t>捷昌驱动</w:t>
      </w:r>
      <w:r>
        <w:rPr>
          <w:rFonts w:ascii="宋体" w:cs="宋体" w:hint="eastAsia"/>
          <w:kern w:val="0"/>
          <w:sz w:val="24"/>
        </w:rPr>
        <w:t>，代码：</w:t>
      </w:r>
      <w:r w:rsidR="00B35B14">
        <w:rPr>
          <w:rFonts w:ascii="宋体" w:cs="宋体" w:hint="eastAsia"/>
          <w:kern w:val="0"/>
          <w:sz w:val="24"/>
        </w:rPr>
        <w:t>603583.SH</w:t>
      </w:r>
      <w:r>
        <w:rPr>
          <w:rFonts w:ascii="宋体" w:cs="宋体" w:hint="eastAsia"/>
          <w:kern w:val="0"/>
          <w:sz w:val="24"/>
        </w:rPr>
        <w:t>）非公开发行股票的认购。</w:t>
      </w:r>
      <w:r w:rsidR="00B35B14">
        <w:rPr>
          <w:rFonts w:ascii="宋体" w:cs="宋体" w:hint="eastAsia"/>
          <w:kern w:val="0"/>
          <w:sz w:val="24"/>
        </w:rPr>
        <w:t>浙江捷昌线性驱动科技</w:t>
      </w:r>
      <w:r w:rsidR="00DB53BD">
        <w:rPr>
          <w:rFonts w:ascii="宋体" w:cs="宋体" w:hint="eastAsia"/>
          <w:kern w:val="0"/>
          <w:sz w:val="24"/>
        </w:rPr>
        <w:t>股份有限公司</w:t>
      </w:r>
      <w:r>
        <w:rPr>
          <w:rFonts w:ascii="宋体" w:cs="宋体" w:hint="eastAsia"/>
          <w:kern w:val="0"/>
          <w:sz w:val="24"/>
        </w:rPr>
        <w:t>已于</w:t>
      </w:r>
      <w:r w:rsidR="00B35B14">
        <w:rPr>
          <w:rFonts w:ascii="宋体" w:cs="宋体" w:hint="eastAsia"/>
          <w:kern w:val="0"/>
          <w:sz w:val="24"/>
        </w:rPr>
        <w:t>2020</w:t>
      </w:r>
      <w:r>
        <w:rPr>
          <w:rFonts w:ascii="宋体" w:cs="宋体" w:hint="eastAsia"/>
          <w:kern w:val="0"/>
          <w:sz w:val="24"/>
        </w:rPr>
        <w:t>年</w:t>
      </w:r>
      <w:r w:rsidR="00DB53BD">
        <w:rPr>
          <w:rFonts w:ascii="宋体" w:cs="宋体"/>
          <w:kern w:val="0"/>
          <w:sz w:val="24"/>
        </w:rPr>
        <w:t>10</w:t>
      </w:r>
      <w:r>
        <w:rPr>
          <w:rFonts w:ascii="宋体" w:cs="宋体" w:hint="eastAsia"/>
          <w:kern w:val="0"/>
          <w:sz w:val="24"/>
        </w:rPr>
        <w:t>月</w:t>
      </w:r>
      <w:r w:rsidR="00634435">
        <w:rPr>
          <w:rFonts w:ascii="宋体" w:cs="宋体"/>
          <w:kern w:val="0"/>
          <w:sz w:val="24"/>
        </w:rPr>
        <w:t>20</w:t>
      </w:r>
      <w:r>
        <w:rPr>
          <w:rFonts w:ascii="宋体" w:cs="宋体" w:hint="eastAsia"/>
          <w:kern w:val="0"/>
          <w:sz w:val="24"/>
        </w:rPr>
        <w:t>日发布《</w:t>
      </w:r>
      <w:r w:rsidR="00634435" w:rsidRPr="00634435">
        <w:rPr>
          <w:rFonts w:ascii="宋体" w:cs="宋体" w:hint="eastAsia"/>
          <w:bCs/>
          <w:kern w:val="0"/>
          <w:sz w:val="24"/>
        </w:rPr>
        <w:t>捷昌驱动:非公开发行股票发行情况报告书</w:t>
      </w:r>
      <w:r w:rsidRPr="00DB53BD">
        <w:rPr>
          <w:rFonts w:ascii="宋体" w:cs="宋体" w:hint="eastAsia"/>
          <w:kern w:val="0"/>
          <w:sz w:val="24"/>
        </w:rPr>
        <w:t>》，公布了本次非公开发行结果。根据中国</w:t>
      </w:r>
      <w:r>
        <w:rPr>
          <w:rFonts w:ascii="宋体" w:cs="宋体" w:hint="eastAsia"/>
          <w:kern w:val="0"/>
          <w:sz w:val="24"/>
        </w:rPr>
        <w:t>证监会《关于基金投资非公开发行股票等流通受限证券有关问题的通知》等有关规定，本公司现将旗下基金投资</w:t>
      </w:r>
      <w:r w:rsidR="00B35B14">
        <w:rPr>
          <w:rFonts w:ascii="宋体" w:cs="宋体" w:hint="eastAsia"/>
          <w:kern w:val="0"/>
          <w:sz w:val="24"/>
        </w:rPr>
        <w:t>浙江</w:t>
      </w:r>
      <w:r w:rsidR="00B35B14">
        <w:rPr>
          <w:rFonts w:ascii="宋体" w:cs="宋体"/>
          <w:kern w:val="0"/>
          <w:sz w:val="24"/>
        </w:rPr>
        <w:t>捷昌线性驱动科技</w:t>
      </w:r>
      <w:r w:rsidR="00354A5A">
        <w:rPr>
          <w:rFonts w:ascii="宋体" w:cs="宋体" w:hint="eastAsia"/>
          <w:kern w:val="0"/>
          <w:sz w:val="24"/>
        </w:rPr>
        <w:t>股份有限公司</w:t>
      </w:r>
      <w:r>
        <w:rPr>
          <w:rFonts w:ascii="宋体" w:cs="宋体" w:hint="eastAsia"/>
          <w:kern w:val="0"/>
          <w:sz w:val="24"/>
        </w:rPr>
        <w:t>非公开发行股票的相关信息公告如下：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1701"/>
        <w:gridCol w:w="2126"/>
        <w:gridCol w:w="1843"/>
        <w:gridCol w:w="2126"/>
        <w:gridCol w:w="1967"/>
        <w:gridCol w:w="1184"/>
      </w:tblGrid>
      <w:tr w:rsidR="00D4237F" w:rsidTr="009151DD">
        <w:tc>
          <w:tcPr>
            <w:tcW w:w="3227" w:type="dxa"/>
            <w:vAlign w:val="center"/>
          </w:tcPr>
          <w:p w:rsidR="00D4237F" w:rsidRDefault="00D4237F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基金名称</w:t>
            </w:r>
          </w:p>
        </w:tc>
        <w:tc>
          <w:tcPr>
            <w:tcW w:w="1701" w:type="dxa"/>
            <w:vAlign w:val="center"/>
          </w:tcPr>
          <w:p w:rsidR="00D4237F" w:rsidRDefault="00D4237F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认购数量（股）</w:t>
            </w:r>
          </w:p>
        </w:tc>
        <w:tc>
          <w:tcPr>
            <w:tcW w:w="2126" w:type="dxa"/>
            <w:vAlign w:val="center"/>
          </w:tcPr>
          <w:p w:rsidR="00D4237F" w:rsidRDefault="00D4237F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总成本（元）</w:t>
            </w:r>
          </w:p>
        </w:tc>
        <w:tc>
          <w:tcPr>
            <w:tcW w:w="1843" w:type="dxa"/>
            <w:vAlign w:val="center"/>
          </w:tcPr>
          <w:p w:rsidR="00D4237F" w:rsidRDefault="00D4237F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总成本占基金资产净值比例</w:t>
            </w:r>
          </w:p>
        </w:tc>
        <w:tc>
          <w:tcPr>
            <w:tcW w:w="2126" w:type="dxa"/>
            <w:vAlign w:val="center"/>
          </w:tcPr>
          <w:p w:rsidR="00D4237F" w:rsidRDefault="00D4237F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账面价值</w:t>
            </w:r>
          </w:p>
        </w:tc>
        <w:tc>
          <w:tcPr>
            <w:tcW w:w="1967" w:type="dxa"/>
            <w:vAlign w:val="center"/>
          </w:tcPr>
          <w:p w:rsidR="00D4237F" w:rsidRDefault="00D4237F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账面价值占基金资产净值比例</w:t>
            </w:r>
          </w:p>
        </w:tc>
        <w:tc>
          <w:tcPr>
            <w:tcW w:w="1184" w:type="dxa"/>
            <w:vAlign w:val="center"/>
          </w:tcPr>
          <w:p w:rsidR="00D4237F" w:rsidRDefault="00D4237F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限售期</w:t>
            </w:r>
          </w:p>
        </w:tc>
      </w:tr>
      <w:tr w:rsidR="00A109B1" w:rsidTr="009151DD">
        <w:trPr>
          <w:trHeight w:val="425"/>
        </w:trPr>
        <w:tc>
          <w:tcPr>
            <w:tcW w:w="3227" w:type="dxa"/>
            <w:vAlign w:val="center"/>
          </w:tcPr>
          <w:p w:rsidR="00A109B1" w:rsidRPr="005E58E4" w:rsidRDefault="009F6EF3" w:rsidP="00A109B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F6EF3">
              <w:rPr>
                <w:rFonts w:ascii="宋体" w:hAnsi="宋体" w:cs="宋体"/>
                <w:kern w:val="0"/>
                <w:sz w:val="22"/>
                <w:szCs w:val="22"/>
              </w:rPr>
              <w:t>宝盈先进制造灵活配置混合型证券投资基金</w:t>
            </w:r>
          </w:p>
        </w:tc>
        <w:tc>
          <w:tcPr>
            <w:tcW w:w="1701" w:type="dxa"/>
            <w:vAlign w:val="center"/>
          </w:tcPr>
          <w:p w:rsidR="00A109B1" w:rsidRPr="00A109B1" w:rsidRDefault="009F6EF3" w:rsidP="00A109B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F6EF3">
              <w:rPr>
                <w:rFonts w:ascii="宋体" w:hAnsi="宋体" w:cs="宋体" w:hint="eastAsia"/>
                <w:kern w:val="0"/>
                <w:sz w:val="22"/>
                <w:szCs w:val="22"/>
              </w:rPr>
              <w:t>706,307</w:t>
            </w:r>
          </w:p>
        </w:tc>
        <w:tc>
          <w:tcPr>
            <w:tcW w:w="2126" w:type="dxa"/>
            <w:vAlign w:val="center"/>
          </w:tcPr>
          <w:p w:rsidR="00A109B1" w:rsidRPr="00A109B1" w:rsidRDefault="009F6EF3" w:rsidP="00A109B1">
            <w:pPr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F6EF3">
              <w:rPr>
                <w:rFonts w:ascii="宋体" w:hAnsi="宋体" w:cs="宋体" w:hint="eastAsia"/>
                <w:kern w:val="0"/>
                <w:sz w:val="22"/>
                <w:szCs w:val="22"/>
              </w:rPr>
              <w:t>42,999,970.16</w:t>
            </w:r>
          </w:p>
        </w:tc>
        <w:tc>
          <w:tcPr>
            <w:tcW w:w="1843" w:type="dxa"/>
            <w:vAlign w:val="center"/>
          </w:tcPr>
          <w:p w:rsidR="00A109B1" w:rsidRPr="00A109B1" w:rsidRDefault="00506B4E" w:rsidP="00A109B1">
            <w:pPr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1.77</w:t>
            </w:r>
            <w:r w:rsidR="00A109B1" w:rsidRPr="00A109B1">
              <w:rPr>
                <w:rFonts w:ascii="宋体" w:hAnsi="宋体" w:cs="宋体" w:hint="eastAsia"/>
                <w:kern w:val="0"/>
                <w:sz w:val="22"/>
                <w:szCs w:val="22"/>
              </w:rPr>
              <w:t>%</w:t>
            </w:r>
          </w:p>
        </w:tc>
        <w:tc>
          <w:tcPr>
            <w:tcW w:w="2126" w:type="dxa"/>
            <w:vAlign w:val="center"/>
          </w:tcPr>
          <w:p w:rsidR="00A109B1" w:rsidRPr="00A109B1" w:rsidRDefault="00D01F3C" w:rsidP="00506B4E">
            <w:pPr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45,754,567.46</w:t>
            </w:r>
          </w:p>
        </w:tc>
        <w:tc>
          <w:tcPr>
            <w:tcW w:w="1967" w:type="dxa"/>
            <w:vAlign w:val="center"/>
          </w:tcPr>
          <w:p w:rsidR="00A109B1" w:rsidRPr="00A109B1" w:rsidRDefault="00D01F3C" w:rsidP="00A109B1">
            <w:pPr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1.88</w:t>
            </w:r>
            <w:r w:rsidR="00A109B1" w:rsidRPr="00A109B1">
              <w:rPr>
                <w:rFonts w:ascii="宋体" w:hAnsi="宋体" w:cs="宋体" w:hint="eastAsia"/>
                <w:kern w:val="0"/>
                <w:sz w:val="22"/>
                <w:szCs w:val="22"/>
              </w:rPr>
              <w:t>%</w:t>
            </w:r>
          </w:p>
        </w:tc>
        <w:tc>
          <w:tcPr>
            <w:tcW w:w="1184" w:type="dxa"/>
            <w:vAlign w:val="center"/>
          </w:tcPr>
          <w:p w:rsidR="00A109B1" w:rsidRPr="00A109B1" w:rsidRDefault="00B35B14" w:rsidP="00A109B1">
            <w:pPr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  <w:r w:rsidR="00A109B1" w:rsidRPr="00A109B1">
              <w:rPr>
                <w:rFonts w:ascii="宋体" w:hAnsi="宋体" w:cs="宋体" w:hint="eastAsia"/>
                <w:kern w:val="0"/>
                <w:sz w:val="22"/>
                <w:szCs w:val="22"/>
              </w:rPr>
              <w:t>个月</w:t>
            </w:r>
          </w:p>
        </w:tc>
      </w:tr>
      <w:tr w:rsidR="00A109B1" w:rsidTr="009151DD">
        <w:trPr>
          <w:trHeight w:val="425"/>
        </w:trPr>
        <w:tc>
          <w:tcPr>
            <w:tcW w:w="3227" w:type="dxa"/>
            <w:vAlign w:val="center"/>
          </w:tcPr>
          <w:p w:rsidR="00A109B1" w:rsidRPr="005E58E4" w:rsidRDefault="009F6EF3" w:rsidP="00A109B1">
            <w:pPr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F6EF3">
              <w:rPr>
                <w:rFonts w:ascii="宋体" w:hAnsi="宋体" w:cs="宋体"/>
                <w:kern w:val="0"/>
                <w:sz w:val="22"/>
                <w:szCs w:val="22"/>
              </w:rPr>
              <w:t>宝盈鸿利收益灵活配置混合型证券投资基金</w:t>
            </w:r>
          </w:p>
        </w:tc>
        <w:tc>
          <w:tcPr>
            <w:tcW w:w="1701" w:type="dxa"/>
            <w:vAlign w:val="center"/>
          </w:tcPr>
          <w:p w:rsidR="00A109B1" w:rsidRPr="00A109B1" w:rsidRDefault="009F6EF3" w:rsidP="00A109B1">
            <w:pPr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F6EF3">
              <w:rPr>
                <w:rFonts w:ascii="宋体" w:hAnsi="宋体" w:cs="宋体" w:hint="eastAsia"/>
                <w:kern w:val="0"/>
                <w:sz w:val="22"/>
                <w:szCs w:val="22"/>
              </w:rPr>
              <w:t>706,307</w:t>
            </w:r>
          </w:p>
        </w:tc>
        <w:tc>
          <w:tcPr>
            <w:tcW w:w="2126" w:type="dxa"/>
            <w:vAlign w:val="center"/>
          </w:tcPr>
          <w:p w:rsidR="00A109B1" w:rsidRPr="00A109B1" w:rsidRDefault="009F6EF3" w:rsidP="00A109B1">
            <w:pPr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F6EF3">
              <w:rPr>
                <w:rFonts w:ascii="宋体" w:hAnsi="宋体" w:cs="宋体" w:hint="eastAsia"/>
                <w:kern w:val="0"/>
                <w:sz w:val="22"/>
                <w:szCs w:val="22"/>
              </w:rPr>
              <w:t>42,999,970.16</w:t>
            </w:r>
          </w:p>
        </w:tc>
        <w:tc>
          <w:tcPr>
            <w:tcW w:w="1843" w:type="dxa"/>
            <w:vAlign w:val="center"/>
          </w:tcPr>
          <w:p w:rsidR="00A109B1" w:rsidRPr="00A109B1" w:rsidRDefault="00506B4E" w:rsidP="00A109B1">
            <w:pPr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1.04</w:t>
            </w:r>
            <w:r w:rsidR="00A109B1" w:rsidRPr="00A109B1">
              <w:rPr>
                <w:rFonts w:ascii="宋体" w:hAnsi="宋体" w:cs="宋体" w:hint="eastAsia"/>
                <w:kern w:val="0"/>
                <w:sz w:val="22"/>
                <w:szCs w:val="22"/>
              </w:rPr>
              <w:t>%</w:t>
            </w:r>
          </w:p>
        </w:tc>
        <w:tc>
          <w:tcPr>
            <w:tcW w:w="2126" w:type="dxa"/>
            <w:vAlign w:val="center"/>
          </w:tcPr>
          <w:p w:rsidR="00A109B1" w:rsidRPr="00A109B1" w:rsidRDefault="00D01F3C" w:rsidP="00A109B1">
            <w:pPr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45,754,567.46</w:t>
            </w:r>
          </w:p>
        </w:tc>
        <w:tc>
          <w:tcPr>
            <w:tcW w:w="1967" w:type="dxa"/>
            <w:vAlign w:val="center"/>
          </w:tcPr>
          <w:p w:rsidR="00A109B1" w:rsidRPr="00A109B1" w:rsidRDefault="00506B4E" w:rsidP="00A109B1">
            <w:pPr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  <w:r w:rsidR="00D01F3C">
              <w:rPr>
                <w:rFonts w:ascii="宋体" w:hAnsi="宋体" w:cs="宋体" w:hint="eastAsia"/>
                <w:kern w:val="0"/>
                <w:sz w:val="22"/>
                <w:szCs w:val="22"/>
              </w:rPr>
              <w:t>.10</w:t>
            </w:r>
            <w:r w:rsidR="00A109B1" w:rsidRPr="00A109B1">
              <w:rPr>
                <w:rFonts w:ascii="宋体" w:hAnsi="宋体" w:cs="宋体" w:hint="eastAsia"/>
                <w:kern w:val="0"/>
                <w:sz w:val="22"/>
                <w:szCs w:val="22"/>
              </w:rPr>
              <w:t>%</w:t>
            </w:r>
          </w:p>
        </w:tc>
        <w:tc>
          <w:tcPr>
            <w:tcW w:w="1184" w:type="dxa"/>
            <w:vAlign w:val="center"/>
          </w:tcPr>
          <w:p w:rsidR="00A109B1" w:rsidRPr="00A109B1" w:rsidRDefault="00B35B14" w:rsidP="00A109B1">
            <w:pPr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  <w:r w:rsidR="00A109B1" w:rsidRPr="00A109B1">
              <w:rPr>
                <w:rFonts w:ascii="宋体" w:hAnsi="宋体" w:cs="宋体" w:hint="eastAsia"/>
                <w:kern w:val="0"/>
                <w:sz w:val="22"/>
                <w:szCs w:val="22"/>
              </w:rPr>
              <w:t>个月</w:t>
            </w:r>
          </w:p>
        </w:tc>
      </w:tr>
    </w:tbl>
    <w:p w:rsidR="006B1837" w:rsidRDefault="00D4237F" w:rsidP="006B1837">
      <w:pPr>
        <w:autoSpaceDE w:val="0"/>
        <w:autoSpaceDN w:val="0"/>
        <w:adjustRightInd w:val="0"/>
        <w:ind w:left="440" w:hangingChars="200" w:hanging="440"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注：</w:t>
      </w:r>
      <w:r w:rsidR="0052213C" w:rsidRPr="0052213C">
        <w:rPr>
          <w:rFonts w:ascii="宋体" w:hAnsi="宋体" w:cs="宋体"/>
          <w:kern w:val="0"/>
          <w:sz w:val="22"/>
          <w:szCs w:val="22"/>
        </w:rPr>
        <w:t>1、基金资产净值、账面价值为</w:t>
      </w:r>
      <w:r w:rsidR="009F6EF3">
        <w:rPr>
          <w:rFonts w:ascii="宋体" w:hAnsi="宋体" w:cs="宋体"/>
          <w:kern w:val="0"/>
          <w:sz w:val="22"/>
          <w:szCs w:val="22"/>
        </w:rPr>
        <w:t>2020</w:t>
      </w:r>
      <w:r w:rsidR="0052213C" w:rsidRPr="0052213C">
        <w:rPr>
          <w:rFonts w:ascii="宋体" w:hAnsi="宋体" w:cs="宋体"/>
          <w:kern w:val="0"/>
          <w:sz w:val="22"/>
          <w:szCs w:val="22"/>
        </w:rPr>
        <w:t>年10月</w:t>
      </w:r>
      <w:r w:rsidR="00634435">
        <w:rPr>
          <w:rFonts w:ascii="宋体" w:hAnsi="宋体" w:cs="宋体"/>
          <w:kern w:val="0"/>
          <w:sz w:val="22"/>
          <w:szCs w:val="22"/>
        </w:rPr>
        <w:t>20</w:t>
      </w:r>
      <w:r w:rsidR="0052213C" w:rsidRPr="0052213C">
        <w:rPr>
          <w:rFonts w:ascii="宋体" w:hAnsi="宋体" w:cs="宋体"/>
          <w:kern w:val="0"/>
          <w:sz w:val="22"/>
          <w:szCs w:val="22"/>
        </w:rPr>
        <w:t>日数据。</w:t>
      </w:r>
      <w:r w:rsidR="006B1837">
        <w:rPr>
          <w:rFonts w:ascii="宋体" w:hAnsi="宋体" w:cs="宋体"/>
          <w:kern w:val="0"/>
          <w:sz w:val="22"/>
          <w:szCs w:val="22"/>
        </w:rPr>
        <w:t xml:space="preserve"> </w:t>
      </w:r>
    </w:p>
    <w:p w:rsidR="00D4237F" w:rsidRPr="00710125" w:rsidRDefault="0052213C" w:rsidP="006B1837">
      <w:pPr>
        <w:autoSpaceDE w:val="0"/>
        <w:autoSpaceDN w:val="0"/>
        <w:adjustRightInd w:val="0"/>
        <w:ind w:leftChars="200" w:left="750" w:hangingChars="150" w:hanging="330"/>
        <w:jc w:val="left"/>
        <w:rPr>
          <w:rFonts w:ascii="宋体" w:hAnsi="宋体" w:cs="宋体" w:hint="eastAsia"/>
          <w:kern w:val="0"/>
          <w:sz w:val="22"/>
          <w:szCs w:val="22"/>
        </w:rPr>
      </w:pPr>
      <w:r w:rsidRPr="0052213C">
        <w:rPr>
          <w:rFonts w:ascii="宋体" w:hAnsi="宋体" w:cs="宋体"/>
          <w:kern w:val="0"/>
          <w:sz w:val="22"/>
          <w:szCs w:val="22"/>
        </w:rPr>
        <w:t>2</w:t>
      </w:r>
      <w:r w:rsidR="009F6EF3">
        <w:rPr>
          <w:rFonts w:ascii="宋体" w:hAnsi="宋体" w:cs="宋体"/>
          <w:kern w:val="0"/>
          <w:sz w:val="22"/>
          <w:szCs w:val="22"/>
        </w:rPr>
        <w:t>、上述</w:t>
      </w:r>
      <w:r w:rsidR="009F6EF3">
        <w:rPr>
          <w:rFonts w:ascii="宋体" w:hAnsi="宋体" w:cs="宋体" w:hint="eastAsia"/>
          <w:kern w:val="0"/>
          <w:sz w:val="22"/>
          <w:szCs w:val="22"/>
        </w:rPr>
        <w:t>捷昌驱动</w:t>
      </w:r>
      <w:r w:rsidRPr="0052213C">
        <w:rPr>
          <w:rFonts w:ascii="宋体" w:hAnsi="宋体" w:cs="宋体"/>
          <w:kern w:val="0"/>
          <w:sz w:val="22"/>
          <w:szCs w:val="22"/>
        </w:rPr>
        <w:t>非</w:t>
      </w:r>
      <w:r w:rsidR="009F6EF3">
        <w:rPr>
          <w:rFonts w:ascii="宋体" w:hAnsi="宋体" w:cs="宋体"/>
          <w:kern w:val="0"/>
          <w:sz w:val="22"/>
          <w:szCs w:val="22"/>
        </w:rPr>
        <w:t>公开发行股份解除限售后，本公司旗下基金减持该部分股份需遵守《</w:t>
      </w:r>
      <w:r w:rsidR="009F6EF3">
        <w:rPr>
          <w:rFonts w:ascii="宋体" w:hAnsi="宋体" w:cs="宋体" w:hint="eastAsia"/>
          <w:kern w:val="0"/>
          <w:sz w:val="22"/>
          <w:szCs w:val="22"/>
        </w:rPr>
        <w:t>上海</w:t>
      </w:r>
      <w:r w:rsidRPr="0052213C">
        <w:rPr>
          <w:rFonts w:ascii="宋体" w:hAnsi="宋体" w:cs="宋体"/>
          <w:kern w:val="0"/>
          <w:sz w:val="22"/>
          <w:szCs w:val="22"/>
        </w:rPr>
        <w:t>证券交易所上市公司股东及董事、监事、高级管</w:t>
      </w:r>
      <w:r>
        <w:rPr>
          <w:rFonts w:ascii="宋体" w:hAnsi="宋体" w:cs="宋体"/>
          <w:kern w:val="0"/>
          <w:sz w:val="22"/>
          <w:szCs w:val="22"/>
        </w:rPr>
        <w:t xml:space="preserve">        </w:t>
      </w:r>
      <w:r w:rsidR="00C77067">
        <w:rPr>
          <w:rFonts w:ascii="宋体" w:hAnsi="宋体" w:cs="宋体"/>
          <w:kern w:val="0"/>
          <w:sz w:val="22"/>
          <w:szCs w:val="22"/>
        </w:rPr>
        <w:t xml:space="preserve">    </w:t>
      </w:r>
      <w:r w:rsidR="006B1837">
        <w:rPr>
          <w:rFonts w:ascii="宋体" w:hAnsi="宋体" w:cs="宋体"/>
          <w:kern w:val="0"/>
          <w:sz w:val="22"/>
          <w:szCs w:val="22"/>
        </w:rPr>
        <w:t xml:space="preserve">  </w:t>
      </w:r>
      <w:r w:rsidRPr="0052213C">
        <w:rPr>
          <w:rFonts w:ascii="宋体" w:hAnsi="宋体" w:cs="宋体"/>
          <w:kern w:val="0"/>
          <w:sz w:val="22"/>
          <w:szCs w:val="22"/>
        </w:rPr>
        <w:t>理人员减持股份实施细则》相关规定。</w:t>
      </w:r>
    </w:p>
    <w:p w:rsidR="00D4237F" w:rsidRPr="00710125" w:rsidRDefault="0052213C">
      <w:pPr>
        <w:rPr>
          <w:rFonts w:ascii="宋体" w:hAnsi="宋体" w:cs="宋体" w:hint="eastAsia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 xml:space="preserve">    </w:t>
      </w:r>
    </w:p>
    <w:p w:rsidR="00D4237F" w:rsidRDefault="00D4237F">
      <w:pPr>
        <w:rPr>
          <w:rFonts w:ascii="宋体" w:cs="宋体" w:hint="eastAsia"/>
          <w:kern w:val="0"/>
          <w:sz w:val="24"/>
        </w:rPr>
      </w:pPr>
      <w:r>
        <w:rPr>
          <w:rFonts w:ascii="宋体" w:cs="宋体" w:hint="eastAsia"/>
          <w:kern w:val="0"/>
          <w:sz w:val="28"/>
          <w:szCs w:val="28"/>
        </w:rPr>
        <w:t xml:space="preserve">    </w:t>
      </w:r>
      <w:r>
        <w:rPr>
          <w:rFonts w:ascii="宋体" w:cs="宋体" w:hint="eastAsia"/>
          <w:kern w:val="0"/>
          <w:sz w:val="24"/>
        </w:rPr>
        <w:t>特此公告。</w:t>
      </w:r>
    </w:p>
    <w:p w:rsidR="00D4237F" w:rsidRDefault="00D4237F">
      <w:pPr>
        <w:jc w:val="right"/>
        <w:rPr>
          <w:rFonts w:ascii="宋体" w:cs="宋体" w:hint="eastAsia"/>
          <w:kern w:val="0"/>
          <w:sz w:val="24"/>
        </w:rPr>
      </w:pPr>
      <w:r>
        <w:rPr>
          <w:rFonts w:ascii="宋体" w:cs="宋体" w:hint="eastAsia"/>
          <w:kern w:val="0"/>
          <w:sz w:val="24"/>
        </w:rPr>
        <w:t>宝盈基金管理有限公司</w:t>
      </w:r>
    </w:p>
    <w:p w:rsidR="00D4237F" w:rsidRPr="001C7538" w:rsidRDefault="00B76705">
      <w:pPr>
        <w:jc w:val="right"/>
        <w:rPr>
          <w:rFonts w:ascii="宋体" w:cs="宋体"/>
          <w:kern w:val="0"/>
          <w:sz w:val="24"/>
        </w:rPr>
      </w:pPr>
      <w:r>
        <w:rPr>
          <w:rFonts w:ascii="宋体" w:cs="宋体" w:hint="eastAsia"/>
          <w:kern w:val="0"/>
          <w:sz w:val="24"/>
        </w:rPr>
        <w:t>2</w:t>
      </w:r>
      <w:r w:rsidR="009F6EF3">
        <w:rPr>
          <w:rFonts w:ascii="宋体" w:cs="宋体"/>
          <w:kern w:val="0"/>
          <w:sz w:val="24"/>
        </w:rPr>
        <w:t>020</w:t>
      </w:r>
      <w:r w:rsidR="00D4237F">
        <w:rPr>
          <w:rFonts w:ascii="宋体" w:cs="宋体" w:hint="eastAsia"/>
          <w:kern w:val="0"/>
          <w:sz w:val="24"/>
        </w:rPr>
        <w:t>年</w:t>
      </w:r>
      <w:r>
        <w:rPr>
          <w:rFonts w:ascii="宋体" w:cs="宋体" w:hint="eastAsia"/>
          <w:kern w:val="0"/>
          <w:sz w:val="24"/>
        </w:rPr>
        <w:t>1</w:t>
      </w:r>
      <w:r>
        <w:rPr>
          <w:rFonts w:ascii="宋体" w:cs="宋体"/>
          <w:kern w:val="0"/>
          <w:sz w:val="24"/>
        </w:rPr>
        <w:t>0</w:t>
      </w:r>
      <w:r w:rsidR="00D4237F">
        <w:rPr>
          <w:rFonts w:ascii="宋体" w:cs="宋体" w:hint="eastAsia"/>
          <w:kern w:val="0"/>
          <w:sz w:val="24"/>
        </w:rPr>
        <w:t>月</w:t>
      </w:r>
      <w:r w:rsidR="00634435">
        <w:rPr>
          <w:rFonts w:ascii="宋体" w:cs="宋体" w:hint="eastAsia"/>
          <w:kern w:val="0"/>
          <w:sz w:val="24"/>
        </w:rPr>
        <w:t>22</w:t>
      </w:r>
      <w:r w:rsidR="00D4237F">
        <w:rPr>
          <w:rFonts w:ascii="宋体" w:cs="宋体" w:hint="eastAsia"/>
          <w:kern w:val="0"/>
          <w:sz w:val="24"/>
        </w:rPr>
        <w:t>日</w:t>
      </w:r>
    </w:p>
    <w:sectPr w:rsidR="00D4237F" w:rsidRPr="001C7538">
      <w:pgSz w:w="16838" w:h="11906" w:orient="landscape"/>
      <w:pgMar w:top="1701" w:right="1440" w:bottom="1701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421" w:rsidRDefault="00D75421"/>
  </w:endnote>
  <w:endnote w:type="continuationSeparator" w:id="0">
    <w:p w:rsidR="00D75421" w:rsidRDefault="00D7542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421" w:rsidRDefault="00D75421"/>
  </w:footnote>
  <w:footnote w:type="continuationSeparator" w:id="0">
    <w:p w:rsidR="00D75421" w:rsidRDefault="00D7542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13D66"/>
    <w:rsid w:val="000429B4"/>
    <w:rsid w:val="00106837"/>
    <w:rsid w:val="001C7538"/>
    <w:rsid w:val="002713C2"/>
    <w:rsid w:val="00293F3C"/>
    <w:rsid w:val="002A3538"/>
    <w:rsid w:val="002A36D6"/>
    <w:rsid w:val="002A5CF5"/>
    <w:rsid w:val="00304635"/>
    <w:rsid w:val="00346984"/>
    <w:rsid w:val="0035158C"/>
    <w:rsid w:val="00354A5A"/>
    <w:rsid w:val="003B73A6"/>
    <w:rsid w:val="004B1F20"/>
    <w:rsid w:val="004E4B1B"/>
    <w:rsid w:val="00506B4E"/>
    <w:rsid w:val="00511E7F"/>
    <w:rsid w:val="0052213C"/>
    <w:rsid w:val="005E0F1D"/>
    <w:rsid w:val="005E3C36"/>
    <w:rsid w:val="005E58E4"/>
    <w:rsid w:val="005F07B1"/>
    <w:rsid w:val="006150F8"/>
    <w:rsid w:val="00634435"/>
    <w:rsid w:val="00655392"/>
    <w:rsid w:val="006A5554"/>
    <w:rsid w:val="006A5705"/>
    <w:rsid w:val="006B0757"/>
    <w:rsid w:val="006B1837"/>
    <w:rsid w:val="006C09B3"/>
    <w:rsid w:val="006C5248"/>
    <w:rsid w:val="006D3FBF"/>
    <w:rsid w:val="00710125"/>
    <w:rsid w:val="007124FC"/>
    <w:rsid w:val="00713BB9"/>
    <w:rsid w:val="0073228D"/>
    <w:rsid w:val="007E7C3A"/>
    <w:rsid w:val="007F67A3"/>
    <w:rsid w:val="008A42F9"/>
    <w:rsid w:val="008A54CC"/>
    <w:rsid w:val="00903368"/>
    <w:rsid w:val="009109E7"/>
    <w:rsid w:val="009151DD"/>
    <w:rsid w:val="00954509"/>
    <w:rsid w:val="00981BB5"/>
    <w:rsid w:val="00983DE7"/>
    <w:rsid w:val="009A7EDB"/>
    <w:rsid w:val="009F6EF3"/>
    <w:rsid w:val="00A01578"/>
    <w:rsid w:val="00A109B1"/>
    <w:rsid w:val="00A36040"/>
    <w:rsid w:val="00A373C9"/>
    <w:rsid w:val="00AB6A38"/>
    <w:rsid w:val="00B147B7"/>
    <w:rsid w:val="00B2614F"/>
    <w:rsid w:val="00B35B14"/>
    <w:rsid w:val="00B4698B"/>
    <w:rsid w:val="00B55830"/>
    <w:rsid w:val="00B76705"/>
    <w:rsid w:val="00BB47DF"/>
    <w:rsid w:val="00BC51C8"/>
    <w:rsid w:val="00BD257C"/>
    <w:rsid w:val="00BF607F"/>
    <w:rsid w:val="00C17420"/>
    <w:rsid w:val="00C216FF"/>
    <w:rsid w:val="00C21F26"/>
    <w:rsid w:val="00C562E0"/>
    <w:rsid w:val="00C71D44"/>
    <w:rsid w:val="00C77067"/>
    <w:rsid w:val="00CC7E4A"/>
    <w:rsid w:val="00CF1F81"/>
    <w:rsid w:val="00CF375E"/>
    <w:rsid w:val="00D01F3C"/>
    <w:rsid w:val="00D4237F"/>
    <w:rsid w:val="00D53E2E"/>
    <w:rsid w:val="00D75421"/>
    <w:rsid w:val="00D91749"/>
    <w:rsid w:val="00D97169"/>
    <w:rsid w:val="00DB53BD"/>
    <w:rsid w:val="00DB79AD"/>
    <w:rsid w:val="00DC1730"/>
    <w:rsid w:val="00DC55E0"/>
    <w:rsid w:val="00DD1681"/>
    <w:rsid w:val="00E27427"/>
    <w:rsid w:val="00E60129"/>
    <w:rsid w:val="00E628CD"/>
    <w:rsid w:val="00E73E7C"/>
    <w:rsid w:val="00EC3A9E"/>
    <w:rsid w:val="00ED7FB4"/>
    <w:rsid w:val="00F643B0"/>
    <w:rsid w:val="00FA6448"/>
    <w:rsid w:val="00FF4182"/>
    <w:rsid w:val="1E832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Char">
    <w:name w:val="页眉 Char"/>
    <w:link w:val="a3"/>
    <w:rPr>
      <w:kern w:val="2"/>
      <w:sz w:val="18"/>
      <w:szCs w:val="18"/>
    </w:rPr>
  </w:style>
  <w:style w:type="character" w:customStyle="1" w:styleId="Char0">
    <w:name w:val="页脚 Char"/>
    <w:link w:val="a4"/>
    <w:rPr>
      <w:kern w:val="2"/>
      <w:sz w:val="18"/>
      <w:szCs w:val="18"/>
    </w:rPr>
  </w:style>
  <w:style w:type="character" w:customStyle="1" w:styleId="Char1">
    <w:name w:val="批注框文本 Char"/>
    <w:link w:val="a5"/>
    <w:rPr>
      <w:kern w:val="2"/>
      <w:sz w:val="18"/>
      <w:szCs w:val="18"/>
    </w:rPr>
  </w:style>
  <w:style w:type="paragraph" w:styleId="a5">
    <w:name w:val="Balloon Text"/>
    <w:basedOn w:val="a"/>
    <w:link w:val="Char1"/>
    <w:rPr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4</DocSecurity>
  <PresentationFormat/>
  <Lines>4</Lines>
  <Paragraphs>1</Paragraphs>
  <Slides>0</Slides>
  <Notes>0</Notes>
  <HiddenSlides>0</HiddenSlides>
  <MMClips>0</MMClips>
  <ScaleCrop>false</ScaleCrop>
  <Company>byfund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husq</dc:creator>
  <cp:keywords/>
  <cp:lastModifiedBy>ZHONGM</cp:lastModifiedBy>
  <cp:revision>2</cp:revision>
  <cp:lastPrinted>2016-06-03T08:35:00Z</cp:lastPrinted>
  <dcterms:created xsi:type="dcterms:W3CDTF">2020-10-21T16:01:00Z</dcterms:created>
  <dcterms:modified xsi:type="dcterms:W3CDTF">2020-10-21T16:01:00Z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