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2" w:rsidRDefault="00AE34FD" w:rsidP="00CE6870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FC0AF2" w:rsidRDefault="00AE34FD" w:rsidP="00CE6870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FC0AF2" w:rsidRDefault="00AE34FD" w:rsidP="00CE6870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>
        <w:rPr>
          <w:rFonts w:ascii="Times New Roman" w:eastAsia="楷体_GB2312" w:hAnsi="Times New Roman" w:cs="Times New Roman"/>
          <w:sz w:val="24"/>
          <w:szCs w:val="24"/>
        </w:rPr>
        <w:t>基金合同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（“本公司”）旗下部分基金</w:t>
      </w:r>
      <w:r>
        <w:rPr>
          <w:rFonts w:ascii="Times New Roman" w:eastAsia="楷体_GB2312" w:hAnsi="Times New Roman" w:cs="Times New Roman"/>
          <w:sz w:val="24"/>
          <w:szCs w:val="24"/>
        </w:rPr>
        <w:t>参与了</w:t>
      </w:r>
      <w:r w:rsidR="000059D1" w:rsidRPr="000059D1">
        <w:rPr>
          <w:rFonts w:ascii="Times New Roman" w:eastAsia="楷体_GB2312" w:hAnsi="Times New Roman" w:cs="Times New Roman" w:hint="eastAsia"/>
          <w:sz w:val="24"/>
          <w:szCs w:val="24"/>
        </w:rPr>
        <w:t>浙江中胤时尚股份有限公司</w:t>
      </w:r>
      <w:r w:rsidR="00B75DC5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0059D1" w:rsidRPr="000059D1">
        <w:rPr>
          <w:rFonts w:ascii="Times New Roman" w:eastAsia="楷体_GB2312" w:hAnsi="Times New Roman" w:cs="Times New Roman" w:hint="eastAsia"/>
          <w:sz w:val="24"/>
          <w:szCs w:val="24"/>
        </w:rPr>
        <w:t>中胤时尚</w:t>
      </w:r>
      <w:r w:rsidR="00A62ED5">
        <w:rPr>
          <w:rFonts w:ascii="Times New Roman" w:eastAsia="楷体_GB2312" w:hAnsi="Times New Roman" w:cs="Times New Roman" w:hint="eastAsia"/>
          <w:sz w:val="24"/>
          <w:szCs w:val="24"/>
        </w:rPr>
        <w:t>”）</w:t>
      </w:r>
      <w:r>
        <w:rPr>
          <w:rFonts w:ascii="Times New Roman" w:eastAsia="楷体_GB2312" w:hAnsi="Times New Roman" w:cs="Times New Roman"/>
          <w:sz w:val="24"/>
          <w:szCs w:val="24"/>
        </w:rPr>
        <w:t>首次公开发行股票</w:t>
      </w:r>
      <w:r w:rsidR="00A62ED5">
        <w:rPr>
          <w:rFonts w:ascii="Times New Roman" w:eastAsia="楷体_GB2312" w:hAnsi="Times New Roman" w:cs="Times New Roman"/>
          <w:sz w:val="24"/>
          <w:szCs w:val="24"/>
        </w:rPr>
        <w:t>并</w:t>
      </w:r>
      <w:r w:rsidR="00D51045">
        <w:rPr>
          <w:rFonts w:ascii="Times New Roman" w:eastAsia="楷体_GB2312" w:hAnsi="Times New Roman" w:cs="Times New Roman"/>
          <w:sz w:val="24"/>
          <w:szCs w:val="24"/>
        </w:rPr>
        <w:t>拟</w:t>
      </w:r>
      <w:r w:rsidR="00A62ED5">
        <w:rPr>
          <w:rFonts w:ascii="Times New Roman" w:eastAsia="楷体_GB2312" w:hAnsi="Times New Roman" w:cs="Times New Roman"/>
          <w:sz w:val="24"/>
          <w:szCs w:val="24"/>
        </w:rPr>
        <w:t>在</w:t>
      </w:r>
      <w:r w:rsidR="000059D1">
        <w:rPr>
          <w:rFonts w:ascii="Times New Roman" w:eastAsia="楷体_GB2312" w:hAnsi="Times New Roman" w:cs="Times New Roman"/>
          <w:sz w:val="24"/>
          <w:szCs w:val="24"/>
        </w:rPr>
        <w:t>创业板</w:t>
      </w:r>
      <w:r w:rsidR="00B75DC5">
        <w:rPr>
          <w:rFonts w:ascii="Times New Roman" w:eastAsia="楷体_GB2312" w:hAnsi="Times New Roman" w:cs="Times New Roman"/>
          <w:sz w:val="24"/>
          <w:szCs w:val="24"/>
        </w:rPr>
        <w:t>上市</w:t>
      </w:r>
      <w:r>
        <w:rPr>
          <w:rFonts w:ascii="Times New Roman" w:eastAsia="楷体_GB2312" w:hAnsi="Times New Roman" w:cs="Times New Roman"/>
          <w:sz w:val="24"/>
          <w:szCs w:val="24"/>
        </w:rPr>
        <w:t>（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“</w:t>
      </w:r>
      <w:r>
        <w:rPr>
          <w:rFonts w:ascii="Times New Roman" w:eastAsia="楷体_GB2312" w:hAnsi="Times New Roman" w:cs="Times New Roman"/>
          <w:sz w:val="24"/>
          <w:szCs w:val="24"/>
        </w:rPr>
        <w:t>本次发行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”</w:t>
      </w:r>
      <w:r>
        <w:rPr>
          <w:rFonts w:ascii="Times New Roman" w:eastAsia="楷体_GB2312" w:hAnsi="Times New Roman" w:cs="Times New Roman"/>
          <w:sz w:val="24"/>
          <w:szCs w:val="24"/>
        </w:rPr>
        <w:t>）的网下申购，本公司股东中国国际金融股份有限公司为本次发行的主承销商。本次发行价格</w:t>
      </w:r>
      <w:r w:rsidRPr="00D97C1D">
        <w:rPr>
          <w:rFonts w:ascii="Times New Roman" w:eastAsia="楷体_GB2312" w:hAnsi="Times New Roman" w:cs="Times New Roman"/>
          <w:sz w:val="24"/>
          <w:szCs w:val="24"/>
        </w:rPr>
        <w:t>为</w:t>
      </w:r>
      <w:r w:rsidR="000059D1">
        <w:rPr>
          <w:rFonts w:ascii="Times New Roman" w:eastAsia="楷体_GB2312" w:hAnsi="Times New Roman" w:cs="Times New Roman" w:hint="eastAsia"/>
          <w:sz w:val="24"/>
          <w:szCs w:val="24"/>
        </w:rPr>
        <w:t>8.96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>
        <w:rPr>
          <w:rFonts w:ascii="Times New Roman" w:eastAsia="楷体_GB2312" w:hAnsi="Times New Roman" w:cs="Times New Roman"/>
          <w:sz w:val="24"/>
          <w:szCs w:val="24"/>
        </w:rPr>
        <w:t>，由发行人和主承销商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根据初步询价结果，综合考虑发行人基本面、可比公司估值水平、所处行业、市场情况、募集资金需求及承销风险等因素</w:t>
      </w:r>
      <w:r>
        <w:rPr>
          <w:rFonts w:ascii="Times New Roman" w:eastAsia="楷体_GB2312" w:hAnsi="Times New Roman" w:cs="Times New Roman"/>
          <w:sz w:val="24"/>
          <w:szCs w:val="24"/>
        </w:rPr>
        <w:t>后协商确定。</w:t>
      </w:r>
    </w:p>
    <w:p w:rsidR="00FC0AF2" w:rsidRDefault="00AE34FD" w:rsidP="00CE6870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根据法律法规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>
        <w:rPr>
          <w:rFonts w:ascii="Times New Roman" w:eastAsia="楷体_GB2312" w:hAnsi="Times New Roman" w:cs="Times New Roman"/>
          <w:sz w:val="24"/>
          <w:szCs w:val="24"/>
        </w:rPr>
        <w:t>基金合同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及</w:t>
      </w:r>
      <w:r w:rsidR="000059D1" w:rsidRPr="000059D1">
        <w:rPr>
          <w:rFonts w:ascii="Times New Roman" w:eastAsia="楷体_GB2312" w:hAnsi="Times New Roman" w:cs="Times New Roman" w:hint="eastAsia"/>
          <w:sz w:val="24"/>
          <w:szCs w:val="24"/>
        </w:rPr>
        <w:t>中胤时尚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于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2020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年</w:t>
      </w:r>
      <w:r w:rsidR="00B75DC5">
        <w:rPr>
          <w:rFonts w:ascii="Times New Roman" w:eastAsia="楷体_GB2312" w:hAnsi="Times New Roman" w:cs="Times New Roman" w:hint="eastAsia"/>
          <w:sz w:val="24"/>
          <w:szCs w:val="24"/>
        </w:rPr>
        <w:t>10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月</w:t>
      </w:r>
      <w:r w:rsidR="000059D1">
        <w:rPr>
          <w:rFonts w:ascii="Times New Roman" w:eastAsia="楷体_GB2312" w:hAnsi="Times New Roman" w:cs="Times New Roman" w:hint="eastAsia"/>
          <w:sz w:val="24"/>
          <w:szCs w:val="24"/>
        </w:rPr>
        <w:t>19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日</w:t>
      </w:r>
      <w:r>
        <w:rPr>
          <w:rFonts w:ascii="Times New Roman" w:eastAsia="楷体_GB2312" w:hAnsi="Times New Roman" w:cs="Times New Roman"/>
          <w:sz w:val="24"/>
          <w:szCs w:val="24"/>
        </w:rPr>
        <w:t>发布的《</w:t>
      </w:r>
      <w:r w:rsidR="000059D1" w:rsidRPr="000059D1">
        <w:rPr>
          <w:rFonts w:ascii="Times New Roman" w:eastAsia="楷体_GB2312" w:hAnsi="Times New Roman" w:cs="Times New Roman" w:hint="eastAsia"/>
          <w:sz w:val="24"/>
          <w:szCs w:val="24"/>
        </w:rPr>
        <w:t>浙江中胤时尚股份有限公司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首次公开发行股票</w:t>
      </w:r>
      <w:r w:rsidR="000059D1">
        <w:rPr>
          <w:rFonts w:ascii="Times New Roman" w:eastAsia="楷体_GB2312" w:hAnsi="Times New Roman" w:cs="Times New Roman" w:hint="eastAsia"/>
          <w:sz w:val="24"/>
          <w:szCs w:val="24"/>
        </w:rPr>
        <w:t>并在创业板上市</w:t>
      </w:r>
      <w:r w:rsidR="00A62ED5">
        <w:rPr>
          <w:rFonts w:ascii="Times New Roman" w:eastAsia="楷体_GB2312" w:hAnsi="Times New Roman" w:cs="Times New Roman" w:hint="eastAsia"/>
          <w:sz w:val="24"/>
          <w:szCs w:val="24"/>
        </w:rPr>
        <w:t>网下初步配售结果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公告</w:t>
      </w:r>
      <w:r>
        <w:rPr>
          <w:rFonts w:ascii="Times New Roman" w:eastAsia="楷体_GB2312" w:hAnsi="Times New Roman" w:cs="Times New Roman"/>
          <w:sz w:val="24"/>
          <w:szCs w:val="24"/>
        </w:rPr>
        <w:t>》，现将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本公司旗下基金</w:t>
      </w:r>
      <w:r>
        <w:rPr>
          <w:rFonts w:ascii="Times New Roman" w:eastAsia="楷体_GB2312" w:hAnsi="Times New Roman" w:cs="Times New Roman"/>
          <w:sz w:val="24"/>
          <w:szCs w:val="24"/>
        </w:rPr>
        <w:t>获配信息公告如下：</w:t>
      </w:r>
    </w:p>
    <w:tbl>
      <w:tblPr>
        <w:tblStyle w:val="a9"/>
        <w:tblW w:w="4812" w:type="pct"/>
        <w:jc w:val="center"/>
        <w:tblLook w:val="04A0"/>
      </w:tblPr>
      <w:tblGrid>
        <w:gridCol w:w="5334"/>
        <w:gridCol w:w="1426"/>
        <w:gridCol w:w="1442"/>
      </w:tblGrid>
      <w:tr w:rsidR="00FC0AF2" w:rsidTr="00D51045">
        <w:trPr>
          <w:jc w:val="center"/>
        </w:trPr>
        <w:tc>
          <w:tcPr>
            <w:tcW w:w="3252" w:type="pct"/>
            <w:shd w:val="clear" w:color="auto" w:fill="D9D9D9" w:themeFill="background1" w:themeFillShade="D9"/>
            <w:vAlign w:val="center"/>
          </w:tcPr>
          <w:p w:rsidR="00FC0AF2" w:rsidRDefault="00AE34FD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基金名称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:rsidR="00FC0AF2" w:rsidRDefault="00AE34FD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获配数量（股）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="00FC0AF2" w:rsidRDefault="00AE34FD" w:rsidP="00AE34FD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获配金额（元）</w:t>
            </w:r>
          </w:p>
        </w:tc>
      </w:tr>
      <w:tr w:rsidR="00B75DC5" w:rsidTr="000059D1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中金量化多策略灵活配置混合型证券投资基金</w:t>
            </w:r>
          </w:p>
        </w:tc>
        <w:tc>
          <w:tcPr>
            <w:tcW w:w="86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7,969</w:t>
            </w:r>
          </w:p>
        </w:tc>
        <w:tc>
          <w:tcPr>
            <w:tcW w:w="87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71,402.24</w:t>
            </w:r>
          </w:p>
        </w:tc>
      </w:tr>
      <w:tr w:rsidR="00B75DC5" w:rsidTr="000059D1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中金沪深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300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指数增强型发起式证券投资基金</w:t>
            </w:r>
          </w:p>
        </w:tc>
        <w:tc>
          <w:tcPr>
            <w:tcW w:w="86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9,611</w:t>
            </w:r>
          </w:p>
        </w:tc>
        <w:tc>
          <w:tcPr>
            <w:tcW w:w="87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86,114.56</w:t>
            </w:r>
          </w:p>
        </w:tc>
      </w:tr>
      <w:tr w:rsidR="00B75DC5" w:rsidTr="000059D1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中金中证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500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指数增强型发起式证券投资基金</w:t>
            </w:r>
          </w:p>
        </w:tc>
        <w:tc>
          <w:tcPr>
            <w:tcW w:w="86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9,611</w:t>
            </w:r>
          </w:p>
        </w:tc>
        <w:tc>
          <w:tcPr>
            <w:tcW w:w="879" w:type="pct"/>
            <w:vAlign w:val="center"/>
          </w:tcPr>
          <w:p w:rsidR="00B75DC5" w:rsidRDefault="00F7296A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8</w:t>
            </w:r>
            <w:bookmarkStart w:id="0" w:name="_GoBack"/>
            <w:bookmarkEnd w:id="0"/>
            <w:r w:rsidR="000059D1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6,114.56</w:t>
            </w:r>
          </w:p>
        </w:tc>
      </w:tr>
      <w:tr w:rsidR="00B75DC5" w:rsidTr="000059D1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中金金泽量化精选混合型发起式证券投资基金</w:t>
            </w:r>
          </w:p>
        </w:tc>
        <w:tc>
          <w:tcPr>
            <w:tcW w:w="86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9,611</w:t>
            </w:r>
          </w:p>
        </w:tc>
        <w:tc>
          <w:tcPr>
            <w:tcW w:w="87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86,114.56</w:t>
            </w:r>
          </w:p>
        </w:tc>
      </w:tr>
      <w:tr w:rsidR="00B75DC5" w:rsidTr="000059D1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中金丰硕混合型证券投资基金</w:t>
            </w:r>
          </w:p>
        </w:tc>
        <w:tc>
          <w:tcPr>
            <w:tcW w:w="86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9,418</w:t>
            </w:r>
          </w:p>
        </w:tc>
        <w:tc>
          <w:tcPr>
            <w:tcW w:w="87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84,385.28</w:t>
            </w:r>
          </w:p>
        </w:tc>
      </w:tr>
      <w:tr w:rsidR="00B75DC5" w:rsidTr="000059D1">
        <w:trPr>
          <w:trHeight w:val="322"/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中金金序量化蓝筹混合型证券投资基金</w:t>
            </w:r>
          </w:p>
        </w:tc>
        <w:tc>
          <w:tcPr>
            <w:tcW w:w="86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7,969</w:t>
            </w:r>
          </w:p>
        </w:tc>
        <w:tc>
          <w:tcPr>
            <w:tcW w:w="87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71,402.24</w:t>
            </w:r>
          </w:p>
        </w:tc>
      </w:tr>
      <w:tr w:rsidR="00B75DC5" w:rsidTr="000059D1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 w:rsidP="00D5104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中金中证优选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300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指数证券投资基金</w:t>
            </w:r>
            <w:r w:rsidR="00D51045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（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LOF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6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9,466</w:t>
            </w:r>
          </w:p>
        </w:tc>
        <w:tc>
          <w:tcPr>
            <w:tcW w:w="87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84,815.36</w:t>
            </w:r>
          </w:p>
        </w:tc>
      </w:tr>
      <w:tr w:rsidR="00B75DC5" w:rsidTr="000059D1">
        <w:trPr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中金新医药股票型证券投资基金</w:t>
            </w:r>
          </w:p>
        </w:tc>
        <w:tc>
          <w:tcPr>
            <w:tcW w:w="86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9,563</w:t>
            </w:r>
          </w:p>
        </w:tc>
        <w:tc>
          <w:tcPr>
            <w:tcW w:w="87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85,684.48</w:t>
            </w:r>
          </w:p>
        </w:tc>
      </w:tr>
      <w:tr w:rsidR="000059D1" w:rsidTr="000059D1">
        <w:trPr>
          <w:trHeight w:val="367"/>
          <w:jc w:val="center"/>
        </w:trPr>
        <w:tc>
          <w:tcPr>
            <w:tcW w:w="3252" w:type="pct"/>
            <w:vAlign w:val="center"/>
          </w:tcPr>
          <w:p w:rsidR="000059D1" w:rsidRPr="00D51045" w:rsidRDefault="000059D1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MSCI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中国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A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869" w:type="pct"/>
            <w:vAlign w:val="center"/>
          </w:tcPr>
          <w:p w:rsidR="000059D1" w:rsidRDefault="000059D1" w:rsidP="000059D1">
            <w:pPr>
              <w:jc w:val="center"/>
            </w:pPr>
            <w:r w:rsidRPr="00236EDE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9,611</w:t>
            </w:r>
          </w:p>
        </w:tc>
        <w:tc>
          <w:tcPr>
            <w:tcW w:w="879" w:type="pct"/>
            <w:vAlign w:val="center"/>
          </w:tcPr>
          <w:p w:rsidR="000059D1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86,114.56</w:t>
            </w:r>
          </w:p>
        </w:tc>
      </w:tr>
      <w:tr w:rsidR="000059D1" w:rsidTr="000059D1">
        <w:trPr>
          <w:trHeight w:val="123"/>
          <w:jc w:val="center"/>
        </w:trPr>
        <w:tc>
          <w:tcPr>
            <w:tcW w:w="3252" w:type="pct"/>
            <w:vAlign w:val="center"/>
          </w:tcPr>
          <w:p w:rsidR="000059D1" w:rsidRPr="00D51045" w:rsidRDefault="000059D1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869" w:type="pct"/>
            <w:vAlign w:val="center"/>
          </w:tcPr>
          <w:p w:rsidR="000059D1" w:rsidRDefault="000059D1" w:rsidP="000059D1">
            <w:pPr>
              <w:jc w:val="center"/>
            </w:pPr>
            <w:r w:rsidRPr="00236EDE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9,611</w:t>
            </w:r>
          </w:p>
        </w:tc>
        <w:tc>
          <w:tcPr>
            <w:tcW w:w="879" w:type="pct"/>
            <w:vAlign w:val="center"/>
          </w:tcPr>
          <w:p w:rsidR="000059D1" w:rsidRDefault="000059D1" w:rsidP="000059D1">
            <w:pPr>
              <w:jc w:val="center"/>
            </w:pPr>
            <w:r w:rsidRPr="00946BF0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86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,</w:t>
            </w:r>
            <w:r w:rsidRPr="00946BF0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114.56</w:t>
            </w:r>
          </w:p>
        </w:tc>
      </w:tr>
      <w:tr w:rsidR="000059D1" w:rsidTr="000059D1">
        <w:trPr>
          <w:trHeight w:val="123"/>
          <w:jc w:val="center"/>
        </w:trPr>
        <w:tc>
          <w:tcPr>
            <w:tcW w:w="3252" w:type="pct"/>
            <w:vAlign w:val="center"/>
          </w:tcPr>
          <w:p w:rsidR="000059D1" w:rsidRPr="00D51045" w:rsidRDefault="000059D1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中金科创主题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3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869" w:type="pct"/>
            <w:vAlign w:val="center"/>
          </w:tcPr>
          <w:p w:rsidR="000059D1" w:rsidRDefault="000059D1" w:rsidP="000059D1">
            <w:pPr>
              <w:jc w:val="center"/>
            </w:pPr>
            <w:r w:rsidRPr="00236EDE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9,611</w:t>
            </w:r>
          </w:p>
        </w:tc>
        <w:tc>
          <w:tcPr>
            <w:tcW w:w="879" w:type="pct"/>
            <w:vAlign w:val="center"/>
          </w:tcPr>
          <w:p w:rsidR="000059D1" w:rsidRDefault="000059D1" w:rsidP="000059D1">
            <w:pPr>
              <w:jc w:val="center"/>
            </w:pPr>
            <w:r w:rsidRPr="00946BF0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86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,</w:t>
            </w:r>
            <w:r w:rsidRPr="00946BF0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114.56</w:t>
            </w:r>
          </w:p>
        </w:tc>
      </w:tr>
      <w:tr w:rsidR="00B75DC5" w:rsidTr="000059D1">
        <w:trPr>
          <w:trHeight w:val="123"/>
          <w:jc w:val="center"/>
        </w:trPr>
        <w:tc>
          <w:tcPr>
            <w:tcW w:w="3252" w:type="pct"/>
            <w:vAlign w:val="center"/>
          </w:tcPr>
          <w:p w:rsidR="00B75DC5" w:rsidRPr="00D51045" w:rsidRDefault="00B75DC5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中金中证沪港深优选消费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50</w:t>
            </w:r>
            <w:r w:rsidRPr="00D51045">
              <w:rPr>
                <w:rFonts w:ascii="Times New Roman" w:eastAsia="楷体_GB2312" w:hAnsi="Times New Roman" w:cs="Times New Roman"/>
                <w:sz w:val="20"/>
                <w:szCs w:val="20"/>
              </w:rPr>
              <w:t>指数证券投资基金</w:t>
            </w:r>
          </w:p>
        </w:tc>
        <w:tc>
          <w:tcPr>
            <w:tcW w:w="86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7,728</w:t>
            </w:r>
          </w:p>
        </w:tc>
        <w:tc>
          <w:tcPr>
            <w:tcW w:w="879" w:type="pct"/>
            <w:vAlign w:val="center"/>
          </w:tcPr>
          <w:p w:rsidR="00B75DC5" w:rsidRDefault="000059D1" w:rsidP="000059D1">
            <w:pPr>
              <w:jc w:val="center"/>
            </w:pP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69,242.88</w:t>
            </w:r>
          </w:p>
        </w:tc>
      </w:tr>
    </w:tbl>
    <w:p w:rsidR="00FC0AF2" w:rsidRPr="00D97C1D" w:rsidRDefault="00AE34FD" w:rsidP="00CE6870">
      <w:pPr>
        <w:autoSpaceDE w:val="0"/>
        <w:autoSpaceDN w:val="0"/>
        <w:adjustRightInd w:val="0"/>
        <w:spacing w:beforeLines="50" w:afterLines="50"/>
        <w:ind w:firstLine="420"/>
        <w:jc w:val="left"/>
        <w:rPr>
          <w:rFonts w:ascii="Times New Roman" w:eastAsia="楷体_GB2312" w:hAnsi="Times New Roman" w:cs="Times New Roman"/>
          <w:kern w:val="0"/>
          <w:sz w:val="22"/>
          <w:szCs w:val="24"/>
        </w:rPr>
      </w:pPr>
      <w:r w:rsidRPr="00D97C1D">
        <w:rPr>
          <w:rFonts w:ascii="Times New Roman" w:eastAsia="楷体_GB2312" w:hAnsi="Times New Roman" w:cs="Times New Roman"/>
          <w:kern w:val="0"/>
          <w:sz w:val="20"/>
          <w:szCs w:val="24"/>
        </w:rPr>
        <w:t>注：</w:t>
      </w:r>
      <w:r w:rsidRPr="00D97C1D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本次网下发行不向网下投资者收取佣金、过户费和印花税等费用。</w:t>
      </w:r>
    </w:p>
    <w:p w:rsidR="00FC0AF2" w:rsidRDefault="00AE34FD" w:rsidP="00CE6870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kern w:val="0"/>
          <w:sz w:val="24"/>
          <w:szCs w:val="24"/>
        </w:rPr>
        <w:t>特此公告</w:t>
      </w:r>
    </w:p>
    <w:p w:rsidR="00FC0AF2" w:rsidRDefault="00AE34FD" w:rsidP="00CE6870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>
        <w:rPr>
          <w:rFonts w:ascii="Times New Roman" w:eastAsia="楷体_GB2312" w:hAnsi="Times New Roman" w:cs="Times New Roman"/>
          <w:kern w:val="0"/>
          <w:sz w:val="24"/>
          <w:szCs w:val="24"/>
        </w:rPr>
        <w:t>中金基金管理有限公司</w:t>
      </w:r>
    </w:p>
    <w:p w:rsidR="00FC0AF2" w:rsidRDefault="00AE34FD" w:rsidP="005423E8">
      <w:pPr>
        <w:spacing w:beforeLines="50" w:afterLines="50"/>
        <w:jc w:val="right"/>
      </w:pP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2020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年</w:t>
      </w:r>
      <w:r w:rsidR="00D51045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10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月</w:t>
      </w:r>
      <w:r w:rsidR="000059D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>日</w:t>
      </w:r>
    </w:p>
    <w:sectPr w:rsidR="00FC0AF2" w:rsidSect="00542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70" w:rsidRDefault="00CE6870" w:rsidP="00CE6870">
      <w:r>
        <w:separator/>
      </w:r>
    </w:p>
  </w:endnote>
  <w:endnote w:type="continuationSeparator" w:id="0">
    <w:p w:rsidR="00CE6870" w:rsidRDefault="00CE6870" w:rsidP="00CE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70" w:rsidRDefault="00CE6870" w:rsidP="00CE6870">
      <w:r>
        <w:separator/>
      </w:r>
    </w:p>
  </w:footnote>
  <w:footnote w:type="continuationSeparator" w:id="0">
    <w:p w:rsidR="00CE6870" w:rsidRDefault="00CE6870" w:rsidP="00CE6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5ABD3B7"/>
    <w:rsid w:val="D5DD4C03"/>
    <w:rsid w:val="DFB755DE"/>
    <w:rsid w:val="F3DF6333"/>
    <w:rsid w:val="F7FF1200"/>
    <w:rsid w:val="FFFDF546"/>
    <w:rsid w:val="00002C5D"/>
    <w:rsid w:val="000059D1"/>
    <w:rsid w:val="000476E7"/>
    <w:rsid w:val="00052929"/>
    <w:rsid w:val="00097A2E"/>
    <w:rsid w:val="00156FEE"/>
    <w:rsid w:val="00163C7B"/>
    <w:rsid w:val="001643C7"/>
    <w:rsid w:val="00164CA7"/>
    <w:rsid w:val="001729E7"/>
    <w:rsid w:val="00172A27"/>
    <w:rsid w:val="001E01E1"/>
    <w:rsid w:val="00211571"/>
    <w:rsid w:val="002E4436"/>
    <w:rsid w:val="002E57C9"/>
    <w:rsid w:val="00336A2F"/>
    <w:rsid w:val="00351B6D"/>
    <w:rsid w:val="0037307F"/>
    <w:rsid w:val="003730B8"/>
    <w:rsid w:val="00383D43"/>
    <w:rsid w:val="00387283"/>
    <w:rsid w:val="003B0326"/>
    <w:rsid w:val="003C49CF"/>
    <w:rsid w:val="003D07E5"/>
    <w:rsid w:val="003E2578"/>
    <w:rsid w:val="003E25DA"/>
    <w:rsid w:val="004343C7"/>
    <w:rsid w:val="00437BCF"/>
    <w:rsid w:val="00454743"/>
    <w:rsid w:val="00495039"/>
    <w:rsid w:val="004B4629"/>
    <w:rsid w:val="0052668A"/>
    <w:rsid w:val="005423E8"/>
    <w:rsid w:val="00580073"/>
    <w:rsid w:val="006A36E9"/>
    <w:rsid w:val="006F0B07"/>
    <w:rsid w:val="00720194"/>
    <w:rsid w:val="00722DD4"/>
    <w:rsid w:val="007D083F"/>
    <w:rsid w:val="007F1F31"/>
    <w:rsid w:val="008320EA"/>
    <w:rsid w:val="00851B64"/>
    <w:rsid w:val="0097486C"/>
    <w:rsid w:val="009D070A"/>
    <w:rsid w:val="009F73EF"/>
    <w:rsid w:val="00A331EB"/>
    <w:rsid w:val="00A62ED5"/>
    <w:rsid w:val="00A6528A"/>
    <w:rsid w:val="00A87330"/>
    <w:rsid w:val="00AC6C51"/>
    <w:rsid w:val="00AE34FD"/>
    <w:rsid w:val="00B50C25"/>
    <w:rsid w:val="00B75DC5"/>
    <w:rsid w:val="00B91A14"/>
    <w:rsid w:val="00B96288"/>
    <w:rsid w:val="00BB5965"/>
    <w:rsid w:val="00BB6854"/>
    <w:rsid w:val="00C10FD9"/>
    <w:rsid w:val="00C47181"/>
    <w:rsid w:val="00CA4101"/>
    <w:rsid w:val="00CB753C"/>
    <w:rsid w:val="00CD0251"/>
    <w:rsid w:val="00CE6870"/>
    <w:rsid w:val="00D26D4A"/>
    <w:rsid w:val="00D51045"/>
    <w:rsid w:val="00D61AF3"/>
    <w:rsid w:val="00D97C1D"/>
    <w:rsid w:val="00DC3E7B"/>
    <w:rsid w:val="00E11869"/>
    <w:rsid w:val="00EF1EDA"/>
    <w:rsid w:val="00F72146"/>
    <w:rsid w:val="00F7296A"/>
    <w:rsid w:val="00F9044B"/>
    <w:rsid w:val="00FC0AF2"/>
    <w:rsid w:val="00FF635E"/>
    <w:rsid w:val="0B7F0D7B"/>
    <w:rsid w:val="4BBC281C"/>
    <w:rsid w:val="5B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423E8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423E8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5423E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42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42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5423E8"/>
    <w:rPr>
      <w:sz w:val="21"/>
      <w:szCs w:val="21"/>
    </w:rPr>
  </w:style>
  <w:style w:type="table" w:styleId="a9">
    <w:name w:val="Table Grid"/>
    <w:basedOn w:val="a1"/>
    <w:uiPriority w:val="59"/>
    <w:qFormat/>
    <w:rsid w:val="0054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5423E8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5423E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423E8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5423E8"/>
  </w:style>
  <w:style w:type="character" w:customStyle="1" w:styleId="Char">
    <w:name w:val="批注主题 Char"/>
    <w:basedOn w:val="Char0"/>
    <w:link w:val="a3"/>
    <w:uiPriority w:val="99"/>
    <w:semiHidden/>
    <w:qFormat/>
    <w:rsid w:val="00542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4</DocSecurity>
  <Lines>6</Lines>
  <Paragraphs>1</Paragraphs>
  <ScaleCrop>false</ScaleCrop>
  <Company>HP Inc.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2020-01-11T01:55:00Z</cp:lastPrinted>
  <dcterms:created xsi:type="dcterms:W3CDTF">2020-10-19T16:01:00Z</dcterms:created>
  <dcterms:modified xsi:type="dcterms:W3CDTF">2020-10-19T16:01:00Z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