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24" w:rsidRDefault="00ED4624" w:rsidP="00F30CE1">
      <w:pPr>
        <w:spacing w:line="360" w:lineRule="auto"/>
        <w:jc w:val="center"/>
        <w:rPr>
          <w:rFonts w:asciiTheme="minorEastAsia" w:hAnsiTheme="minorEastAsia"/>
          <w:b/>
          <w:sz w:val="28"/>
          <w:szCs w:val="28"/>
        </w:rPr>
      </w:pPr>
      <w:r w:rsidRPr="00ED4624">
        <w:rPr>
          <w:rFonts w:asciiTheme="minorEastAsia" w:hAnsiTheme="minorEastAsia" w:hint="eastAsia"/>
          <w:b/>
          <w:sz w:val="28"/>
          <w:szCs w:val="28"/>
        </w:rPr>
        <w:t>关于召开</w:t>
      </w:r>
      <w:r w:rsidR="00745F40">
        <w:rPr>
          <w:rFonts w:asciiTheme="minorEastAsia" w:hAnsiTheme="minorEastAsia" w:hint="eastAsia"/>
          <w:b/>
          <w:sz w:val="28"/>
          <w:szCs w:val="28"/>
        </w:rPr>
        <w:t>信诚中证智能家居指数分级证券投资基金</w:t>
      </w:r>
    </w:p>
    <w:p w:rsidR="009A0248" w:rsidRPr="00B54136" w:rsidRDefault="00ED4624" w:rsidP="00F30CE1">
      <w:pPr>
        <w:spacing w:line="360" w:lineRule="auto"/>
        <w:jc w:val="center"/>
        <w:rPr>
          <w:rFonts w:asciiTheme="minorEastAsia" w:hAnsiTheme="minorEastAsia"/>
          <w:b/>
          <w:sz w:val="28"/>
          <w:szCs w:val="28"/>
        </w:rPr>
      </w:pPr>
      <w:r w:rsidRPr="00ED4624">
        <w:rPr>
          <w:rFonts w:asciiTheme="minorEastAsia" w:hAnsiTheme="minorEastAsia" w:hint="eastAsia"/>
          <w:b/>
          <w:sz w:val="28"/>
          <w:szCs w:val="28"/>
        </w:rPr>
        <w:t>基金份额持有人大会的补充公告</w:t>
      </w:r>
    </w:p>
    <w:p w:rsidR="009A0248" w:rsidRDefault="009A0248" w:rsidP="00F30CE1">
      <w:pPr>
        <w:spacing w:line="360" w:lineRule="auto"/>
      </w:pPr>
    </w:p>
    <w:p w:rsidR="00FB3AAA" w:rsidRDefault="003D3346" w:rsidP="00EF108D">
      <w:pPr>
        <w:spacing w:line="360" w:lineRule="auto"/>
        <w:ind w:firstLineChars="200" w:firstLine="480"/>
        <w:rPr>
          <w:sz w:val="24"/>
          <w:szCs w:val="24"/>
        </w:rPr>
      </w:pPr>
      <w:r w:rsidRPr="00B54136">
        <w:rPr>
          <w:rFonts w:hAnsi="宋体" w:hint="eastAsia"/>
          <w:sz w:val="24"/>
          <w:szCs w:val="24"/>
        </w:rPr>
        <w:t>中信保诚基金管理有限公司</w:t>
      </w:r>
      <w:r w:rsidR="009A0248" w:rsidRPr="00B54136">
        <w:rPr>
          <w:rFonts w:hint="eastAsia"/>
          <w:sz w:val="24"/>
          <w:szCs w:val="24"/>
        </w:rPr>
        <w:t>（以下简称“基金管理人”）已于</w:t>
      </w:r>
      <w:r w:rsidRPr="00B54136">
        <w:rPr>
          <w:rFonts w:hAnsi="宋体" w:hint="eastAsia"/>
          <w:sz w:val="24"/>
          <w:szCs w:val="24"/>
        </w:rPr>
        <w:t>2020</w:t>
      </w:r>
      <w:r w:rsidRPr="00B54136">
        <w:rPr>
          <w:rFonts w:hAnsi="宋体" w:hint="eastAsia"/>
          <w:sz w:val="24"/>
          <w:szCs w:val="24"/>
        </w:rPr>
        <w:t>年</w:t>
      </w:r>
      <w:r w:rsidR="00F30CE1">
        <w:rPr>
          <w:rFonts w:hAnsi="宋体" w:hint="eastAsia"/>
          <w:sz w:val="24"/>
          <w:szCs w:val="24"/>
        </w:rPr>
        <w:t>9</w:t>
      </w:r>
      <w:r w:rsidRPr="00B54136">
        <w:rPr>
          <w:rFonts w:hAnsi="宋体" w:hint="eastAsia"/>
          <w:sz w:val="24"/>
          <w:szCs w:val="24"/>
        </w:rPr>
        <w:t>月</w:t>
      </w:r>
      <w:r w:rsidR="00745F40">
        <w:rPr>
          <w:rFonts w:hAnsi="宋体" w:hint="eastAsia"/>
          <w:sz w:val="24"/>
          <w:szCs w:val="24"/>
        </w:rPr>
        <w:t>25</w:t>
      </w:r>
      <w:r w:rsidRPr="00B54136">
        <w:rPr>
          <w:rFonts w:hAnsi="宋体" w:hint="eastAsia"/>
          <w:sz w:val="24"/>
          <w:szCs w:val="24"/>
        </w:rPr>
        <w:t>日在《</w:t>
      </w:r>
      <w:r w:rsidR="0061146A" w:rsidRPr="0061146A">
        <w:rPr>
          <w:rFonts w:hAnsi="宋体" w:hint="eastAsia"/>
          <w:sz w:val="24"/>
          <w:szCs w:val="24"/>
        </w:rPr>
        <w:t>上海证券报</w:t>
      </w:r>
      <w:r w:rsidRPr="00B54136">
        <w:rPr>
          <w:rFonts w:hAnsi="宋体" w:hint="eastAsia"/>
          <w:sz w:val="24"/>
          <w:szCs w:val="24"/>
        </w:rPr>
        <w:t>》</w:t>
      </w:r>
      <w:r w:rsidR="00712E50">
        <w:rPr>
          <w:rFonts w:hAnsi="宋体" w:hint="eastAsia"/>
          <w:sz w:val="24"/>
          <w:szCs w:val="24"/>
        </w:rPr>
        <w:t>、</w:t>
      </w:r>
      <w:r w:rsidR="00712E50" w:rsidRPr="00712E50">
        <w:rPr>
          <w:rFonts w:hAnsi="宋体" w:hint="eastAsia"/>
          <w:sz w:val="24"/>
          <w:szCs w:val="24"/>
        </w:rPr>
        <w:t>深圳证券交易所网站（</w:t>
      </w:r>
      <w:r w:rsidR="00712E50">
        <w:rPr>
          <w:rFonts w:hAnsi="宋体" w:hint="eastAsia"/>
          <w:sz w:val="24"/>
          <w:szCs w:val="24"/>
        </w:rPr>
        <w:t>www.szse.cn</w:t>
      </w:r>
      <w:r w:rsidR="00712E50" w:rsidRPr="00712E50">
        <w:rPr>
          <w:rFonts w:hAnsi="宋体" w:hint="eastAsia"/>
          <w:sz w:val="24"/>
          <w:szCs w:val="24"/>
        </w:rPr>
        <w:t>）</w:t>
      </w:r>
      <w:r w:rsidRPr="00B54136">
        <w:rPr>
          <w:rFonts w:hAnsi="宋体" w:hint="eastAsia"/>
          <w:sz w:val="24"/>
          <w:szCs w:val="24"/>
        </w:rPr>
        <w:t>及本公司网站（</w:t>
      </w:r>
      <w:hyperlink r:id="rId7" w:history="1">
        <w:r w:rsidRPr="00B54136">
          <w:rPr>
            <w:rFonts w:cs="Arial Unicode MS" w:hint="eastAsia"/>
            <w:sz w:val="24"/>
            <w:szCs w:val="24"/>
          </w:rPr>
          <w:t>www.citicprufunds.com.cn</w:t>
        </w:r>
      </w:hyperlink>
      <w:r w:rsidRPr="00B54136">
        <w:rPr>
          <w:rFonts w:hAnsi="宋体" w:hint="eastAsia"/>
          <w:sz w:val="24"/>
          <w:szCs w:val="24"/>
        </w:rPr>
        <w:t>）发布了《</w:t>
      </w:r>
      <w:r w:rsidR="00F30CE1" w:rsidRPr="00F30CE1">
        <w:rPr>
          <w:rFonts w:hAnsi="宋体" w:hint="eastAsia"/>
          <w:sz w:val="24"/>
          <w:szCs w:val="24"/>
        </w:rPr>
        <w:t>中信保诚基金管理有限公司关于以通讯方式召开</w:t>
      </w:r>
      <w:r w:rsidR="00745F40">
        <w:rPr>
          <w:rFonts w:hAnsi="宋体" w:hint="eastAsia"/>
          <w:sz w:val="24"/>
          <w:szCs w:val="24"/>
        </w:rPr>
        <w:t>信诚中证智能家居指数分级证券投资基金</w:t>
      </w:r>
      <w:r w:rsidR="00F30CE1" w:rsidRPr="00F30CE1">
        <w:rPr>
          <w:rFonts w:hAnsi="宋体" w:hint="eastAsia"/>
          <w:sz w:val="24"/>
          <w:szCs w:val="24"/>
        </w:rPr>
        <w:t>基金份额持有人大会的公告</w:t>
      </w:r>
      <w:r w:rsidRPr="00B54136">
        <w:rPr>
          <w:rFonts w:hAnsi="宋体" w:hint="eastAsia"/>
          <w:sz w:val="24"/>
          <w:szCs w:val="24"/>
        </w:rPr>
        <w:t>》</w:t>
      </w:r>
      <w:r w:rsidR="009A0248" w:rsidRPr="00B54136">
        <w:rPr>
          <w:rFonts w:hint="eastAsia"/>
          <w:sz w:val="24"/>
          <w:szCs w:val="24"/>
        </w:rPr>
        <w:t>（以下简称“《公告》”），并分别于</w:t>
      </w:r>
      <w:r w:rsidRPr="00B54136">
        <w:rPr>
          <w:rFonts w:hAnsi="宋体" w:hint="eastAsia"/>
          <w:sz w:val="24"/>
          <w:szCs w:val="24"/>
        </w:rPr>
        <w:t>2020</w:t>
      </w:r>
      <w:r w:rsidRPr="00B54136">
        <w:rPr>
          <w:rFonts w:hAnsi="宋体" w:hint="eastAsia"/>
          <w:sz w:val="24"/>
          <w:szCs w:val="24"/>
        </w:rPr>
        <w:t>年</w:t>
      </w:r>
      <w:r w:rsidR="00F30CE1">
        <w:rPr>
          <w:rFonts w:hAnsi="宋体" w:hint="eastAsia"/>
          <w:sz w:val="24"/>
          <w:szCs w:val="24"/>
        </w:rPr>
        <w:t>9</w:t>
      </w:r>
      <w:r w:rsidRPr="00B54136">
        <w:rPr>
          <w:rFonts w:hAnsi="宋体" w:hint="eastAsia"/>
          <w:sz w:val="24"/>
          <w:szCs w:val="24"/>
        </w:rPr>
        <w:t>月</w:t>
      </w:r>
      <w:r w:rsidR="00745F40">
        <w:rPr>
          <w:rFonts w:hAnsi="宋体" w:hint="eastAsia"/>
          <w:sz w:val="24"/>
          <w:szCs w:val="24"/>
        </w:rPr>
        <w:t>28</w:t>
      </w:r>
      <w:r w:rsidRPr="00B54136">
        <w:rPr>
          <w:rFonts w:hAnsi="宋体" w:hint="eastAsia"/>
          <w:sz w:val="24"/>
          <w:szCs w:val="24"/>
        </w:rPr>
        <w:t>日</w:t>
      </w:r>
      <w:r w:rsidR="009A0248" w:rsidRPr="00B54136">
        <w:rPr>
          <w:rFonts w:hint="eastAsia"/>
          <w:sz w:val="24"/>
          <w:szCs w:val="24"/>
        </w:rPr>
        <w:t>、</w:t>
      </w:r>
      <w:r w:rsidRPr="00B54136">
        <w:rPr>
          <w:rFonts w:hAnsi="宋体" w:hint="eastAsia"/>
          <w:sz w:val="24"/>
          <w:szCs w:val="24"/>
        </w:rPr>
        <w:t>2020</w:t>
      </w:r>
      <w:r w:rsidRPr="00B54136">
        <w:rPr>
          <w:rFonts w:hAnsi="宋体" w:hint="eastAsia"/>
          <w:sz w:val="24"/>
          <w:szCs w:val="24"/>
        </w:rPr>
        <w:t>年</w:t>
      </w:r>
      <w:r w:rsidR="00F30CE1">
        <w:rPr>
          <w:rFonts w:hAnsi="宋体" w:hint="eastAsia"/>
          <w:sz w:val="24"/>
          <w:szCs w:val="24"/>
        </w:rPr>
        <w:t>9</w:t>
      </w:r>
      <w:r w:rsidRPr="00B54136">
        <w:rPr>
          <w:rFonts w:hAnsi="宋体" w:hint="eastAsia"/>
          <w:sz w:val="24"/>
          <w:szCs w:val="24"/>
        </w:rPr>
        <w:t>月</w:t>
      </w:r>
      <w:r w:rsidR="00745F40">
        <w:rPr>
          <w:rFonts w:hAnsi="宋体" w:hint="eastAsia"/>
          <w:sz w:val="24"/>
          <w:szCs w:val="24"/>
        </w:rPr>
        <w:t>29</w:t>
      </w:r>
      <w:r w:rsidRPr="00B54136">
        <w:rPr>
          <w:rFonts w:hAnsi="宋体" w:hint="eastAsia"/>
          <w:sz w:val="24"/>
          <w:szCs w:val="24"/>
        </w:rPr>
        <w:t>日</w:t>
      </w:r>
      <w:r w:rsidR="009A0248" w:rsidRPr="00B54136">
        <w:rPr>
          <w:rFonts w:hint="eastAsia"/>
          <w:sz w:val="24"/>
          <w:szCs w:val="24"/>
        </w:rPr>
        <w:t>在《</w:t>
      </w:r>
      <w:r w:rsidR="0061146A" w:rsidRPr="0061146A">
        <w:rPr>
          <w:rFonts w:hAnsi="宋体" w:hint="eastAsia"/>
          <w:sz w:val="24"/>
          <w:szCs w:val="24"/>
        </w:rPr>
        <w:t>上海证券报</w:t>
      </w:r>
      <w:r w:rsidR="009A0248" w:rsidRPr="00B54136">
        <w:rPr>
          <w:rFonts w:hint="eastAsia"/>
          <w:sz w:val="24"/>
          <w:szCs w:val="24"/>
        </w:rPr>
        <w:t>》</w:t>
      </w:r>
      <w:r w:rsidR="00712E50" w:rsidRPr="00712E50">
        <w:rPr>
          <w:rFonts w:hint="eastAsia"/>
          <w:sz w:val="24"/>
          <w:szCs w:val="24"/>
        </w:rPr>
        <w:t>、深圳证券交易所网站（</w:t>
      </w:r>
      <w:r w:rsidR="00712E50" w:rsidRPr="00712E50">
        <w:rPr>
          <w:rFonts w:hint="eastAsia"/>
          <w:sz w:val="24"/>
          <w:szCs w:val="24"/>
        </w:rPr>
        <w:t>www.szse.cn</w:t>
      </w:r>
      <w:r w:rsidR="00712E50" w:rsidRPr="00712E50">
        <w:rPr>
          <w:rFonts w:hint="eastAsia"/>
          <w:sz w:val="24"/>
          <w:szCs w:val="24"/>
        </w:rPr>
        <w:t>）</w:t>
      </w:r>
      <w:r w:rsidR="009A0248" w:rsidRPr="00B54136">
        <w:rPr>
          <w:rFonts w:hint="eastAsia"/>
          <w:sz w:val="24"/>
          <w:szCs w:val="24"/>
        </w:rPr>
        <w:t>及本公司网站（</w:t>
      </w:r>
      <w:hyperlink r:id="rId8" w:history="1">
        <w:r w:rsidRPr="00B54136">
          <w:rPr>
            <w:rFonts w:cs="Arial Unicode MS" w:hint="eastAsia"/>
            <w:sz w:val="24"/>
            <w:szCs w:val="24"/>
          </w:rPr>
          <w:t>www.citicprufunds.com.cn</w:t>
        </w:r>
      </w:hyperlink>
      <w:r w:rsidR="009A0248" w:rsidRPr="00B54136">
        <w:rPr>
          <w:rFonts w:hint="eastAsia"/>
          <w:sz w:val="24"/>
          <w:szCs w:val="24"/>
        </w:rPr>
        <w:t>）发布了《</w:t>
      </w:r>
      <w:r w:rsidR="00F30CE1" w:rsidRPr="00F30CE1">
        <w:rPr>
          <w:rFonts w:hAnsi="宋体" w:hint="eastAsia"/>
          <w:sz w:val="24"/>
          <w:szCs w:val="24"/>
        </w:rPr>
        <w:t>中信保诚基金管理有限公司关于以通讯方式召开</w:t>
      </w:r>
      <w:r w:rsidR="00745F40">
        <w:rPr>
          <w:rFonts w:hAnsi="宋体" w:hint="eastAsia"/>
          <w:sz w:val="24"/>
          <w:szCs w:val="24"/>
        </w:rPr>
        <w:t>信诚中证智能家居指数分级证券投资基金</w:t>
      </w:r>
      <w:r w:rsidR="00F30CE1" w:rsidRPr="00F30CE1">
        <w:rPr>
          <w:rFonts w:hAnsi="宋体" w:hint="eastAsia"/>
          <w:sz w:val="24"/>
          <w:szCs w:val="24"/>
        </w:rPr>
        <w:t>基金份额持有人大会的公告</w:t>
      </w:r>
      <w:r w:rsidRPr="00B54136">
        <w:rPr>
          <w:rFonts w:hint="eastAsia"/>
          <w:sz w:val="24"/>
          <w:szCs w:val="24"/>
        </w:rPr>
        <w:t>的第一次提示性公告</w:t>
      </w:r>
      <w:r w:rsidR="009A0248" w:rsidRPr="00B54136">
        <w:rPr>
          <w:rFonts w:hint="eastAsia"/>
          <w:sz w:val="24"/>
          <w:szCs w:val="24"/>
        </w:rPr>
        <w:t>》</w:t>
      </w:r>
      <w:r w:rsidR="00F30CE1">
        <w:rPr>
          <w:rFonts w:hint="eastAsia"/>
          <w:sz w:val="24"/>
          <w:szCs w:val="24"/>
        </w:rPr>
        <w:t>、</w:t>
      </w:r>
      <w:r w:rsidR="009A0248" w:rsidRPr="00B54136">
        <w:rPr>
          <w:rFonts w:hint="eastAsia"/>
          <w:sz w:val="24"/>
          <w:szCs w:val="24"/>
        </w:rPr>
        <w:t>《</w:t>
      </w:r>
      <w:r w:rsidR="00F30CE1" w:rsidRPr="00F30CE1">
        <w:rPr>
          <w:rFonts w:hAnsi="宋体" w:hint="eastAsia"/>
          <w:sz w:val="24"/>
          <w:szCs w:val="24"/>
        </w:rPr>
        <w:t>中信保诚基金管理有限公司关于以通讯方式召开</w:t>
      </w:r>
      <w:r w:rsidR="00745F40">
        <w:rPr>
          <w:rFonts w:hAnsi="宋体" w:hint="eastAsia"/>
          <w:sz w:val="24"/>
          <w:szCs w:val="24"/>
        </w:rPr>
        <w:t>信诚中证智能家居指数分级证券投资基金</w:t>
      </w:r>
      <w:r w:rsidR="00F30CE1" w:rsidRPr="00F30CE1">
        <w:rPr>
          <w:rFonts w:hAnsi="宋体" w:hint="eastAsia"/>
          <w:sz w:val="24"/>
          <w:szCs w:val="24"/>
        </w:rPr>
        <w:t>基金份额持有人大会的公告</w:t>
      </w:r>
      <w:r w:rsidRPr="00B54136">
        <w:rPr>
          <w:rFonts w:hint="eastAsia"/>
          <w:sz w:val="24"/>
          <w:szCs w:val="24"/>
        </w:rPr>
        <w:t>的第二次提示性公告</w:t>
      </w:r>
      <w:r w:rsidR="009A0248" w:rsidRPr="00B54136">
        <w:rPr>
          <w:rFonts w:hint="eastAsia"/>
          <w:sz w:val="24"/>
          <w:szCs w:val="24"/>
        </w:rPr>
        <w:t>》</w:t>
      </w:r>
    </w:p>
    <w:p w:rsidR="009A0248" w:rsidRPr="00B54136" w:rsidRDefault="009A0248" w:rsidP="00F30CE1">
      <w:pPr>
        <w:spacing w:line="360" w:lineRule="auto"/>
        <w:ind w:firstLineChars="200" w:firstLine="480"/>
        <w:rPr>
          <w:sz w:val="24"/>
          <w:szCs w:val="24"/>
        </w:rPr>
      </w:pPr>
      <w:r w:rsidRPr="00B54136">
        <w:rPr>
          <w:rFonts w:hint="eastAsia"/>
          <w:sz w:val="24"/>
          <w:szCs w:val="24"/>
        </w:rPr>
        <w:t>为使</w:t>
      </w:r>
      <w:r w:rsidR="00745F40">
        <w:rPr>
          <w:rFonts w:hAnsi="宋体" w:hint="eastAsia"/>
          <w:sz w:val="24"/>
          <w:szCs w:val="24"/>
        </w:rPr>
        <w:t>信诚中证智能家居指</w:t>
      </w:r>
      <w:bookmarkStart w:id="0" w:name="_GoBack"/>
      <w:r w:rsidR="00745F40">
        <w:rPr>
          <w:rFonts w:hAnsi="宋体" w:hint="eastAsia"/>
          <w:sz w:val="24"/>
          <w:szCs w:val="24"/>
        </w:rPr>
        <w:t>数</w:t>
      </w:r>
      <w:bookmarkEnd w:id="0"/>
      <w:r w:rsidR="00745F40">
        <w:rPr>
          <w:rFonts w:hAnsi="宋体" w:hint="eastAsia"/>
          <w:sz w:val="24"/>
          <w:szCs w:val="24"/>
        </w:rPr>
        <w:t>分级证券投资基金</w:t>
      </w:r>
      <w:r w:rsidR="00EF108D" w:rsidRPr="00EF108D">
        <w:rPr>
          <w:rFonts w:hint="eastAsia"/>
          <w:sz w:val="24"/>
          <w:szCs w:val="24"/>
        </w:rPr>
        <w:t>（以下简称“本基金”）</w:t>
      </w:r>
      <w:r w:rsidRPr="00B54136">
        <w:rPr>
          <w:rFonts w:hint="eastAsia"/>
          <w:sz w:val="24"/>
          <w:szCs w:val="24"/>
        </w:rPr>
        <w:t>投资者更方便地参与本次基金份额持有人大会，现就本次持有人大会新增的表决方式发布本补充公告（以下简称“《补充公告》”）。</w:t>
      </w:r>
    </w:p>
    <w:p w:rsidR="009A0248" w:rsidRPr="00B54136" w:rsidRDefault="009A0248" w:rsidP="00F30CE1">
      <w:pPr>
        <w:spacing w:line="360" w:lineRule="auto"/>
        <w:rPr>
          <w:rFonts w:asciiTheme="minorEastAsia"/>
          <w:b/>
          <w:sz w:val="24"/>
          <w:szCs w:val="24"/>
        </w:rPr>
      </w:pPr>
      <w:r w:rsidRPr="00B54136">
        <w:rPr>
          <w:rFonts w:asciiTheme="minorEastAsia" w:hint="eastAsia"/>
          <w:b/>
          <w:sz w:val="24"/>
          <w:szCs w:val="24"/>
        </w:rPr>
        <w:t>一、新增表决方式</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1、</w:t>
      </w:r>
      <w:r w:rsidR="00FB3AAA">
        <w:rPr>
          <w:rFonts w:asciiTheme="minorEastAsia" w:hint="eastAsia"/>
          <w:sz w:val="24"/>
          <w:szCs w:val="24"/>
        </w:rPr>
        <w:t>网络投票</w:t>
      </w:r>
      <w:r w:rsidRPr="00B54136">
        <w:rPr>
          <w:rFonts w:asciiTheme="minorEastAsia" w:hint="eastAsia"/>
          <w:sz w:val="24"/>
          <w:szCs w:val="24"/>
        </w:rPr>
        <w:t>表决方式（</w:t>
      </w:r>
      <w:r w:rsidR="00570DA1" w:rsidRPr="00F57D7B">
        <w:rPr>
          <w:rFonts w:asciiTheme="minorEastAsia" w:hint="eastAsia"/>
          <w:sz w:val="24"/>
          <w:szCs w:val="24"/>
        </w:rPr>
        <w:t>仅限</w:t>
      </w:r>
      <w:r w:rsidR="00570DA1">
        <w:rPr>
          <w:rFonts w:asciiTheme="minorEastAsia" w:hint="eastAsia"/>
          <w:sz w:val="24"/>
          <w:szCs w:val="24"/>
        </w:rPr>
        <w:t>预留</w:t>
      </w:r>
      <w:r w:rsidR="000E0CFD">
        <w:rPr>
          <w:rFonts w:asciiTheme="minorEastAsia" w:hint="eastAsia"/>
          <w:sz w:val="24"/>
          <w:szCs w:val="24"/>
        </w:rPr>
        <w:t>身份证信息</w:t>
      </w:r>
      <w:r w:rsidR="00570DA1" w:rsidRPr="00F57D7B">
        <w:rPr>
          <w:rFonts w:asciiTheme="minorEastAsia" w:hint="eastAsia"/>
          <w:sz w:val="24"/>
          <w:szCs w:val="24"/>
        </w:rPr>
        <w:t>的个人投资者</w:t>
      </w:r>
      <w:r w:rsidRPr="00B54136">
        <w:rPr>
          <w:rFonts w:asciiTheme="minorEastAsia" w:hint="eastAsia"/>
          <w:sz w:val="24"/>
          <w:szCs w:val="24"/>
        </w:rPr>
        <w:t>）</w:t>
      </w:r>
    </w:p>
    <w:p w:rsidR="00FB3AAA" w:rsidRPr="00FB3AAA" w:rsidRDefault="00FB3AAA" w:rsidP="00FB3AAA">
      <w:pPr>
        <w:spacing w:line="360" w:lineRule="auto"/>
        <w:ind w:firstLineChars="200" w:firstLine="480"/>
        <w:rPr>
          <w:rFonts w:asciiTheme="minorEastAsia"/>
          <w:sz w:val="24"/>
          <w:szCs w:val="24"/>
        </w:rPr>
      </w:pPr>
      <w:r w:rsidRPr="00FB3AAA">
        <w:rPr>
          <w:rFonts w:asciiTheme="minorEastAsia" w:hint="eastAsia"/>
          <w:sz w:val="24"/>
          <w:szCs w:val="24"/>
        </w:rPr>
        <w:t>为方便基金份额持有人（</w:t>
      </w:r>
      <w:r w:rsidR="00712E50">
        <w:rPr>
          <w:rFonts w:asciiTheme="minorEastAsia" w:hint="eastAsia"/>
          <w:sz w:val="24"/>
          <w:szCs w:val="24"/>
        </w:rPr>
        <w:t>预留</w:t>
      </w:r>
      <w:r w:rsidR="000E0CFD">
        <w:rPr>
          <w:rFonts w:asciiTheme="minorEastAsia" w:hint="eastAsia"/>
          <w:sz w:val="24"/>
          <w:szCs w:val="24"/>
        </w:rPr>
        <w:t>身份证信息</w:t>
      </w:r>
      <w:r w:rsidR="007D64CE">
        <w:rPr>
          <w:rFonts w:asciiTheme="minorEastAsia" w:hint="eastAsia"/>
          <w:sz w:val="24"/>
          <w:szCs w:val="24"/>
        </w:rPr>
        <w:t>的</w:t>
      </w:r>
      <w:r w:rsidR="007D64CE" w:rsidRPr="00B54136">
        <w:rPr>
          <w:rFonts w:asciiTheme="minorEastAsia" w:hint="eastAsia"/>
          <w:sz w:val="24"/>
          <w:szCs w:val="24"/>
        </w:rPr>
        <w:t>个人投资者</w:t>
      </w:r>
      <w:r w:rsidRPr="00FB3AAA">
        <w:rPr>
          <w:rFonts w:asciiTheme="minorEastAsia" w:hint="eastAsia"/>
          <w:sz w:val="24"/>
          <w:szCs w:val="24"/>
        </w:rPr>
        <w:t>）参与本次大会投票，</w:t>
      </w:r>
      <w:r w:rsidR="00712E50" w:rsidRPr="00FB3AAA">
        <w:rPr>
          <w:rFonts w:asciiTheme="minorEastAsia" w:hint="eastAsia"/>
          <w:sz w:val="24"/>
          <w:szCs w:val="24"/>
        </w:rPr>
        <w:t>基金份额持有人可通过支付宝搜索“</w:t>
      </w:r>
      <w:r w:rsidR="00712E50">
        <w:rPr>
          <w:rFonts w:asciiTheme="minorEastAsia" w:hint="eastAsia"/>
          <w:sz w:val="24"/>
          <w:szCs w:val="24"/>
        </w:rPr>
        <w:t>中信保诚</w:t>
      </w:r>
      <w:r w:rsidR="00712E50" w:rsidRPr="00FB3AAA">
        <w:rPr>
          <w:rFonts w:asciiTheme="minorEastAsia" w:hint="eastAsia"/>
          <w:sz w:val="24"/>
          <w:szCs w:val="24"/>
        </w:rPr>
        <w:t>基金财富号”，</w:t>
      </w:r>
      <w:r w:rsidR="00712E50">
        <w:rPr>
          <w:rFonts w:asciiTheme="minorEastAsia" w:hint="eastAsia"/>
          <w:sz w:val="24"/>
          <w:szCs w:val="24"/>
        </w:rPr>
        <w:t>进入财富号</w:t>
      </w:r>
      <w:r w:rsidR="00712E50" w:rsidRPr="00FB3AAA">
        <w:rPr>
          <w:rFonts w:asciiTheme="minorEastAsia" w:hint="eastAsia"/>
          <w:sz w:val="24"/>
          <w:szCs w:val="24"/>
        </w:rPr>
        <w:t>后根据界面引导进行投票</w:t>
      </w:r>
      <w:r w:rsidR="00712E50">
        <w:rPr>
          <w:rFonts w:asciiTheme="minorEastAsia" w:hint="eastAsia"/>
          <w:sz w:val="24"/>
          <w:szCs w:val="24"/>
        </w:rPr>
        <w:t>；或通过微信</w:t>
      </w:r>
      <w:r w:rsidR="00712E50" w:rsidRPr="00FB3AAA">
        <w:rPr>
          <w:rFonts w:asciiTheme="minorEastAsia" w:hint="eastAsia"/>
          <w:sz w:val="24"/>
          <w:szCs w:val="24"/>
        </w:rPr>
        <w:t>搜索“</w:t>
      </w:r>
      <w:r w:rsidR="00712E50">
        <w:rPr>
          <w:rFonts w:asciiTheme="minorEastAsia" w:hint="eastAsia"/>
          <w:sz w:val="24"/>
          <w:szCs w:val="24"/>
        </w:rPr>
        <w:t>中信保诚</w:t>
      </w:r>
      <w:r w:rsidR="00712E50" w:rsidRPr="00FB3AAA">
        <w:rPr>
          <w:rFonts w:asciiTheme="minorEastAsia" w:hint="eastAsia"/>
          <w:sz w:val="24"/>
          <w:szCs w:val="24"/>
        </w:rPr>
        <w:t>财富号”，</w:t>
      </w:r>
      <w:r w:rsidR="00712E50">
        <w:rPr>
          <w:rFonts w:asciiTheme="minorEastAsia" w:hint="eastAsia"/>
          <w:sz w:val="24"/>
          <w:szCs w:val="24"/>
        </w:rPr>
        <w:t>关注公众号后点击菜单“我的”-“投票/授权”进行投票</w:t>
      </w:r>
      <w:r w:rsidR="00712E50">
        <w:rPr>
          <w:rFonts w:asciiTheme="minorEastAsia"/>
          <w:sz w:val="24"/>
          <w:szCs w:val="24"/>
        </w:rPr>
        <w:t>。</w:t>
      </w:r>
      <w:r w:rsidR="00712E50" w:rsidRPr="00FB3AAA">
        <w:rPr>
          <w:rFonts w:asciiTheme="minorEastAsia" w:hint="eastAsia"/>
          <w:sz w:val="24"/>
          <w:szCs w:val="24"/>
        </w:rPr>
        <w:t>基金份额持有人完成身份验证后登录网络投票系统，按提示进行投票操作。</w:t>
      </w:r>
    </w:p>
    <w:p w:rsidR="00AE7344" w:rsidRDefault="00FB3AAA" w:rsidP="00EF108D">
      <w:pPr>
        <w:spacing w:line="360" w:lineRule="auto"/>
        <w:ind w:firstLineChars="200" w:firstLine="480"/>
        <w:rPr>
          <w:rFonts w:asciiTheme="minorEastAsia"/>
          <w:sz w:val="24"/>
          <w:szCs w:val="24"/>
        </w:rPr>
      </w:pPr>
      <w:r w:rsidRPr="00FB3AAA">
        <w:rPr>
          <w:rFonts w:asciiTheme="minorEastAsia" w:hint="eastAsia"/>
          <w:sz w:val="24"/>
          <w:szCs w:val="24"/>
        </w:rPr>
        <w:t>投票时间：</w:t>
      </w:r>
      <w:r w:rsidR="00AE7344" w:rsidRPr="00FB3AAA">
        <w:rPr>
          <w:rFonts w:asciiTheme="minorEastAsia" w:hint="eastAsia"/>
          <w:sz w:val="24"/>
          <w:szCs w:val="24"/>
        </w:rPr>
        <w:t>自2020年</w:t>
      </w:r>
      <w:r w:rsidR="00AE7344">
        <w:rPr>
          <w:rFonts w:asciiTheme="minorEastAsia" w:hint="eastAsia"/>
          <w:sz w:val="24"/>
          <w:szCs w:val="24"/>
        </w:rPr>
        <w:t>10</w:t>
      </w:r>
      <w:r w:rsidR="00AE7344" w:rsidRPr="00FB3AAA">
        <w:rPr>
          <w:rFonts w:asciiTheme="minorEastAsia" w:hint="eastAsia"/>
          <w:sz w:val="24"/>
          <w:szCs w:val="24"/>
        </w:rPr>
        <w:t>月</w:t>
      </w:r>
      <w:r w:rsidR="00AE7344">
        <w:rPr>
          <w:rFonts w:asciiTheme="minorEastAsia" w:hint="eastAsia"/>
          <w:sz w:val="24"/>
          <w:szCs w:val="24"/>
        </w:rPr>
        <w:t>18</w:t>
      </w:r>
      <w:r w:rsidR="00AE7344" w:rsidRPr="00FB3AAA">
        <w:rPr>
          <w:rFonts w:asciiTheme="minorEastAsia" w:hint="eastAsia"/>
          <w:sz w:val="24"/>
          <w:szCs w:val="24"/>
        </w:rPr>
        <w:t>日0：00起，至2020年10月</w:t>
      </w:r>
      <w:r w:rsidR="00745F40">
        <w:rPr>
          <w:rFonts w:asciiTheme="minorEastAsia" w:hint="eastAsia"/>
          <w:sz w:val="24"/>
          <w:szCs w:val="24"/>
        </w:rPr>
        <w:t>26</w:t>
      </w:r>
      <w:r w:rsidR="00AE7344" w:rsidRPr="00FB3AAA">
        <w:rPr>
          <w:rFonts w:asciiTheme="minorEastAsia" w:hint="eastAsia"/>
          <w:sz w:val="24"/>
          <w:szCs w:val="24"/>
        </w:rPr>
        <w:t>日17：00止（以基金管理人指定</w:t>
      </w:r>
      <w:r w:rsidR="00EF108D">
        <w:rPr>
          <w:rFonts w:asciiTheme="minorEastAsia" w:hint="eastAsia"/>
          <w:sz w:val="24"/>
          <w:szCs w:val="24"/>
        </w:rPr>
        <w:t>网络投票系统</w:t>
      </w:r>
      <w:r w:rsidR="00AE7344" w:rsidRPr="00FB3AAA">
        <w:rPr>
          <w:rFonts w:asciiTheme="minorEastAsia" w:hint="eastAsia"/>
          <w:sz w:val="24"/>
          <w:szCs w:val="24"/>
        </w:rPr>
        <w:t>收到表决时间为准）</w:t>
      </w:r>
      <w:r w:rsidR="00AE7344">
        <w:rPr>
          <w:rFonts w:asciiTheme="minorEastAsia" w:hint="eastAsia"/>
          <w:sz w:val="24"/>
          <w:szCs w:val="24"/>
        </w:rPr>
        <w:t>。</w:t>
      </w:r>
    </w:p>
    <w:p w:rsidR="00FB3AAA" w:rsidRPr="00FB3AAA" w:rsidRDefault="007D64CE" w:rsidP="00FB3AAA">
      <w:pPr>
        <w:spacing w:line="360" w:lineRule="auto"/>
        <w:ind w:firstLineChars="200" w:firstLine="480"/>
        <w:rPr>
          <w:rFonts w:asciiTheme="minorEastAsia"/>
          <w:sz w:val="24"/>
          <w:szCs w:val="24"/>
        </w:rPr>
      </w:pPr>
      <w:r>
        <w:rPr>
          <w:rFonts w:asciiTheme="minorEastAsia" w:hint="eastAsia"/>
          <w:sz w:val="24"/>
          <w:szCs w:val="24"/>
        </w:rPr>
        <w:t>网络投票</w:t>
      </w:r>
      <w:r w:rsidRPr="00FB3AAA">
        <w:rPr>
          <w:rFonts w:asciiTheme="minorEastAsia" w:hint="eastAsia"/>
          <w:sz w:val="24"/>
          <w:szCs w:val="24"/>
        </w:rPr>
        <w:t>方式仅适用于</w:t>
      </w:r>
      <w:r w:rsidR="008A7C12">
        <w:rPr>
          <w:rFonts w:asciiTheme="minorEastAsia" w:hint="eastAsia"/>
          <w:sz w:val="24"/>
          <w:szCs w:val="24"/>
        </w:rPr>
        <w:t>预留</w:t>
      </w:r>
      <w:r w:rsidR="000E0CFD">
        <w:rPr>
          <w:rFonts w:asciiTheme="minorEastAsia" w:hint="eastAsia"/>
          <w:sz w:val="24"/>
          <w:szCs w:val="24"/>
        </w:rPr>
        <w:t>身份证信息</w:t>
      </w:r>
      <w:r>
        <w:rPr>
          <w:rFonts w:asciiTheme="minorEastAsia" w:hint="eastAsia"/>
          <w:sz w:val="24"/>
          <w:szCs w:val="24"/>
        </w:rPr>
        <w:t>的</w:t>
      </w:r>
      <w:r w:rsidRPr="00B54136">
        <w:rPr>
          <w:rFonts w:asciiTheme="minorEastAsia" w:hint="eastAsia"/>
          <w:sz w:val="24"/>
          <w:szCs w:val="24"/>
        </w:rPr>
        <w:t>个人投资者</w:t>
      </w:r>
      <w:r w:rsidRPr="00FB3AAA">
        <w:rPr>
          <w:rFonts w:asciiTheme="minorEastAsia" w:hint="eastAsia"/>
          <w:sz w:val="24"/>
          <w:szCs w:val="24"/>
        </w:rPr>
        <w:t>，对机构投资者</w:t>
      </w:r>
      <w:r>
        <w:rPr>
          <w:rFonts w:asciiTheme="minorEastAsia" w:hint="eastAsia"/>
          <w:sz w:val="24"/>
          <w:szCs w:val="24"/>
        </w:rPr>
        <w:t>及预留非</w:t>
      </w:r>
      <w:r w:rsidR="000E0CFD">
        <w:rPr>
          <w:rFonts w:asciiTheme="minorEastAsia" w:hint="eastAsia"/>
          <w:sz w:val="24"/>
          <w:szCs w:val="24"/>
        </w:rPr>
        <w:t>身份证信息</w:t>
      </w:r>
      <w:r>
        <w:rPr>
          <w:rFonts w:asciiTheme="minorEastAsia" w:hint="eastAsia"/>
          <w:sz w:val="24"/>
          <w:szCs w:val="24"/>
        </w:rPr>
        <w:t>的</w:t>
      </w:r>
      <w:r w:rsidRPr="00B54136">
        <w:rPr>
          <w:rFonts w:asciiTheme="minorEastAsia" w:hint="eastAsia"/>
          <w:sz w:val="24"/>
          <w:szCs w:val="24"/>
        </w:rPr>
        <w:t>个人投资者</w:t>
      </w:r>
      <w:r w:rsidRPr="00FB3AAA">
        <w:rPr>
          <w:rFonts w:asciiTheme="minorEastAsia" w:hint="eastAsia"/>
          <w:sz w:val="24"/>
          <w:szCs w:val="24"/>
        </w:rPr>
        <w:t>暂不开通。</w:t>
      </w:r>
    </w:p>
    <w:p w:rsidR="009A0248" w:rsidRPr="00B54136" w:rsidRDefault="00AE7344" w:rsidP="00F30CE1">
      <w:pPr>
        <w:spacing w:line="360" w:lineRule="auto"/>
        <w:ind w:firstLineChars="200" w:firstLine="480"/>
        <w:rPr>
          <w:rFonts w:asciiTheme="minorEastAsia"/>
          <w:sz w:val="24"/>
          <w:szCs w:val="24"/>
        </w:rPr>
      </w:pPr>
      <w:r>
        <w:rPr>
          <w:rFonts w:asciiTheme="minorEastAsia" w:hint="eastAsia"/>
          <w:sz w:val="24"/>
          <w:szCs w:val="24"/>
        </w:rPr>
        <w:t>网络投票</w:t>
      </w:r>
      <w:r w:rsidRPr="00B54136">
        <w:rPr>
          <w:rFonts w:asciiTheme="minorEastAsia" w:hint="eastAsia"/>
          <w:sz w:val="24"/>
          <w:szCs w:val="24"/>
        </w:rPr>
        <w:t>表决</w:t>
      </w:r>
      <w:r w:rsidR="009A0248" w:rsidRPr="00B54136">
        <w:rPr>
          <w:rFonts w:asciiTheme="minorEastAsia" w:hint="eastAsia"/>
          <w:sz w:val="24"/>
          <w:szCs w:val="24"/>
        </w:rPr>
        <w:t>的效力认定详见本公告“二、表决效力确定规则”的相关内容。</w:t>
      </w:r>
    </w:p>
    <w:p w:rsidR="009A0248" w:rsidRPr="00B54136" w:rsidRDefault="009A0248" w:rsidP="00F30CE1">
      <w:pPr>
        <w:spacing w:line="360" w:lineRule="auto"/>
        <w:rPr>
          <w:rFonts w:asciiTheme="minorEastAsia"/>
          <w:b/>
          <w:sz w:val="24"/>
          <w:szCs w:val="24"/>
        </w:rPr>
      </w:pPr>
      <w:r w:rsidRPr="00B54136">
        <w:rPr>
          <w:rFonts w:asciiTheme="minorEastAsia" w:hint="eastAsia"/>
          <w:b/>
          <w:sz w:val="24"/>
          <w:szCs w:val="24"/>
        </w:rPr>
        <w:lastRenderedPageBreak/>
        <w:t>二、表决效力确定规则</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1、</w:t>
      </w:r>
      <w:r w:rsidR="00C23550">
        <w:rPr>
          <w:rFonts w:asciiTheme="minorEastAsia" w:hint="eastAsia"/>
          <w:sz w:val="24"/>
          <w:szCs w:val="24"/>
        </w:rPr>
        <w:t>网络投票</w:t>
      </w:r>
      <w:r w:rsidR="00C23550" w:rsidRPr="00B54136">
        <w:rPr>
          <w:rFonts w:asciiTheme="minorEastAsia" w:hint="eastAsia"/>
          <w:sz w:val="24"/>
          <w:szCs w:val="24"/>
        </w:rPr>
        <w:t>表决</w:t>
      </w:r>
      <w:r w:rsidRPr="00B54136">
        <w:rPr>
          <w:rFonts w:asciiTheme="minorEastAsia" w:hint="eastAsia"/>
          <w:sz w:val="24"/>
          <w:szCs w:val="24"/>
        </w:rPr>
        <w:t>效力确定</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基金份额持有人通过</w:t>
      </w:r>
      <w:r w:rsidR="00C23550">
        <w:rPr>
          <w:rFonts w:asciiTheme="minorEastAsia" w:hint="eastAsia"/>
          <w:sz w:val="24"/>
          <w:szCs w:val="24"/>
        </w:rPr>
        <w:t>网络投票系统</w:t>
      </w:r>
      <w:r w:rsidRPr="00B54136">
        <w:rPr>
          <w:rFonts w:asciiTheme="minorEastAsia" w:hint="eastAsia"/>
          <w:sz w:val="24"/>
          <w:szCs w:val="24"/>
        </w:rPr>
        <w:t>方式参与表决，能够核实身份且</w:t>
      </w:r>
      <w:r w:rsidR="002F2F4A">
        <w:rPr>
          <w:rFonts w:asciiTheme="minorEastAsia" w:hint="eastAsia"/>
          <w:sz w:val="24"/>
          <w:szCs w:val="24"/>
        </w:rPr>
        <w:t>选择“同意”、“反对”或“弃权”</w:t>
      </w:r>
      <w:r w:rsidR="001E5655">
        <w:rPr>
          <w:rFonts w:asciiTheme="minorEastAsia" w:hint="eastAsia"/>
          <w:sz w:val="24"/>
          <w:szCs w:val="24"/>
        </w:rPr>
        <w:t>中一项</w:t>
      </w:r>
      <w:r w:rsidR="002F2F4A" w:rsidRPr="00B54136">
        <w:rPr>
          <w:rFonts w:asciiTheme="minorEastAsia" w:hint="eastAsia"/>
          <w:sz w:val="24"/>
          <w:szCs w:val="24"/>
        </w:rPr>
        <w:t>的</w:t>
      </w:r>
      <w:r w:rsidRPr="00B54136">
        <w:rPr>
          <w:rFonts w:asciiTheme="minorEastAsia" w:hint="eastAsia"/>
          <w:sz w:val="24"/>
          <w:szCs w:val="24"/>
        </w:rPr>
        <w:t>，为有效表决，有效表决按表决意见计入相应的表决结果，其所代表的基金份额计入参加本次基金份额持有人大会表决的基金份额总数。</w:t>
      </w:r>
    </w:p>
    <w:p w:rsidR="009A0248" w:rsidRPr="00B54136" w:rsidRDefault="00901E67" w:rsidP="00F30CE1">
      <w:pPr>
        <w:spacing w:line="360" w:lineRule="auto"/>
        <w:ind w:firstLineChars="200" w:firstLine="480"/>
        <w:rPr>
          <w:rFonts w:asciiTheme="minorEastAsia"/>
          <w:sz w:val="24"/>
          <w:szCs w:val="24"/>
        </w:rPr>
      </w:pPr>
      <w:r>
        <w:rPr>
          <w:rFonts w:asciiTheme="minorEastAsia" w:hint="eastAsia"/>
          <w:sz w:val="24"/>
          <w:szCs w:val="24"/>
        </w:rPr>
        <w:t>2</w:t>
      </w:r>
      <w:r w:rsidR="009A0248" w:rsidRPr="00B54136">
        <w:rPr>
          <w:rFonts w:asciiTheme="minorEastAsia" w:hint="eastAsia"/>
          <w:sz w:val="24"/>
          <w:szCs w:val="24"/>
        </w:rPr>
        <w:t>、基金份额持有人以多种表决方式进行表决的，按如下原则处理：</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（1）如同时存在有效纸质、非纸质表决意见的，不论表决时间先后，均以有效的纸质表决意见为准。</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（2）如收到多份纸质表决意见的，效力认定规则见《</w:t>
      </w:r>
      <w:r w:rsidR="00DD0BF4" w:rsidRPr="00B54136">
        <w:rPr>
          <w:rFonts w:asciiTheme="minorEastAsia" w:hint="eastAsia"/>
          <w:sz w:val="24"/>
          <w:szCs w:val="24"/>
        </w:rPr>
        <w:t>公告</w:t>
      </w:r>
      <w:r w:rsidRPr="00B54136">
        <w:rPr>
          <w:rFonts w:asciiTheme="minorEastAsia" w:hint="eastAsia"/>
          <w:sz w:val="24"/>
          <w:szCs w:val="24"/>
        </w:rPr>
        <w:t>》“</w:t>
      </w:r>
      <w:r w:rsidR="00DD0BF4" w:rsidRPr="00B54136">
        <w:rPr>
          <w:rFonts w:asciiTheme="minorEastAsia" w:hint="eastAsia"/>
          <w:sz w:val="24"/>
          <w:szCs w:val="24"/>
        </w:rPr>
        <w:t>六</w:t>
      </w:r>
      <w:r w:rsidRPr="00B54136">
        <w:rPr>
          <w:rFonts w:asciiTheme="minorEastAsia" w:hint="eastAsia"/>
          <w:sz w:val="24"/>
          <w:szCs w:val="24"/>
        </w:rPr>
        <w:t>、计票”下第3点。</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（3）如同时存在多份</w:t>
      </w:r>
      <w:r w:rsidR="00AD1844">
        <w:rPr>
          <w:rFonts w:asciiTheme="minorEastAsia" w:hint="eastAsia"/>
          <w:sz w:val="24"/>
          <w:szCs w:val="24"/>
        </w:rPr>
        <w:t>有效</w:t>
      </w:r>
      <w:r w:rsidR="00AD1844" w:rsidRPr="00B54136">
        <w:rPr>
          <w:rFonts w:asciiTheme="minorEastAsia" w:hint="eastAsia"/>
          <w:sz w:val="24"/>
          <w:szCs w:val="24"/>
        </w:rPr>
        <w:t>非纸质表决意见</w:t>
      </w:r>
      <w:r w:rsidRPr="00B54136">
        <w:rPr>
          <w:rFonts w:asciiTheme="minorEastAsia" w:hint="eastAsia"/>
          <w:sz w:val="24"/>
          <w:szCs w:val="24"/>
        </w:rPr>
        <w:t>，以表决截止时间前最后一次记录的基金份额持有人有效的表决意见为准，先前的表决意见视为被撤回。</w:t>
      </w:r>
      <w:bookmarkStart w:id="1" w:name="_Hlk53606363"/>
      <w:r w:rsidR="00AD1844">
        <w:rPr>
          <w:rFonts w:asciiTheme="minorEastAsia" w:hint="eastAsia"/>
          <w:sz w:val="24"/>
          <w:szCs w:val="24"/>
        </w:rPr>
        <w:t>具体时间</w:t>
      </w:r>
      <w:r w:rsidR="00AD1844" w:rsidRPr="00FB3AAA">
        <w:rPr>
          <w:rFonts w:asciiTheme="minorEastAsia" w:hint="eastAsia"/>
          <w:sz w:val="24"/>
          <w:szCs w:val="24"/>
        </w:rPr>
        <w:t>以基金管理人指定</w:t>
      </w:r>
      <w:r w:rsidR="00EF108D">
        <w:rPr>
          <w:rFonts w:asciiTheme="minorEastAsia" w:hint="eastAsia"/>
          <w:sz w:val="24"/>
          <w:szCs w:val="24"/>
        </w:rPr>
        <w:t>网络投票系统</w:t>
      </w:r>
      <w:r w:rsidR="00AD1844">
        <w:rPr>
          <w:rFonts w:asciiTheme="minorEastAsia" w:hint="eastAsia"/>
          <w:sz w:val="24"/>
          <w:szCs w:val="24"/>
        </w:rPr>
        <w:t>或</w:t>
      </w:r>
      <w:r w:rsidR="00AD1844" w:rsidRPr="00AD1844">
        <w:rPr>
          <w:rFonts w:asciiTheme="minorEastAsia" w:hint="eastAsia"/>
          <w:sz w:val="24"/>
          <w:szCs w:val="24"/>
        </w:rPr>
        <w:t>基金管理人</w:t>
      </w:r>
      <w:r w:rsidR="008C6015">
        <w:rPr>
          <w:rFonts w:asciiTheme="minorEastAsia" w:hint="eastAsia"/>
          <w:sz w:val="24"/>
          <w:szCs w:val="24"/>
        </w:rPr>
        <w:t>指定</w:t>
      </w:r>
      <w:r w:rsidR="00AD1844" w:rsidRPr="00AD1844">
        <w:rPr>
          <w:rFonts w:asciiTheme="minorEastAsia" w:hint="eastAsia"/>
          <w:sz w:val="24"/>
          <w:szCs w:val="24"/>
        </w:rPr>
        <w:t>短信表决</w:t>
      </w:r>
      <w:r w:rsidR="00AD1844">
        <w:rPr>
          <w:rFonts w:asciiTheme="minorEastAsia" w:hint="eastAsia"/>
          <w:sz w:val="24"/>
          <w:szCs w:val="24"/>
        </w:rPr>
        <w:t>系统</w:t>
      </w:r>
      <w:r w:rsidR="004229A0">
        <w:rPr>
          <w:rFonts w:asciiTheme="minorEastAsia" w:hint="eastAsia"/>
          <w:sz w:val="24"/>
          <w:szCs w:val="24"/>
        </w:rPr>
        <w:t>记录</w:t>
      </w:r>
      <w:r w:rsidR="008C6015">
        <w:rPr>
          <w:rFonts w:asciiTheme="minorEastAsia" w:hint="eastAsia"/>
          <w:sz w:val="24"/>
          <w:szCs w:val="24"/>
        </w:rPr>
        <w:t>的</w:t>
      </w:r>
      <w:r w:rsidR="00AD1844" w:rsidRPr="00FB3AAA">
        <w:rPr>
          <w:rFonts w:asciiTheme="minorEastAsia" w:hint="eastAsia"/>
          <w:sz w:val="24"/>
          <w:szCs w:val="24"/>
        </w:rPr>
        <w:t>表决时间为准</w:t>
      </w:r>
      <w:r w:rsidR="008C6015">
        <w:rPr>
          <w:rFonts w:asciiTheme="minorEastAsia" w:hint="eastAsia"/>
          <w:sz w:val="24"/>
          <w:szCs w:val="24"/>
        </w:rPr>
        <w:t>。</w:t>
      </w:r>
      <w:bookmarkEnd w:id="1"/>
    </w:p>
    <w:p w:rsidR="009A0248" w:rsidRPr="00B54136" w:rsidRDefault="009A0248" w:rsidP="00F30CE1">
      <w:pPr>
        <w:spacing w:line="360" w:lineRule="auto"/>
        <w:rPr>
          <w:rFonts w:asciiTheme="minorEastAsia"/>
          <w:b/>
          <w:sz w:val="24"/>
          <w:szCs w:val="24"/>
        </w:rPr>
      </w:pPr>
      <w:r w:rsidRPr="00B54136">
        <w:rPr>
          <w:rFonts w:asciiTheme="minorEastAsia" w:hint="eastAsia"/>
          <w:b/>
          <w:sz w:val="24"/>
          <w:szCs w:val="24"/>
        </w:rPr>
        <w:t>三、其他事项</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本《补充公告》与《公告》不一致的，以本《补充公告》为准；本《补充公告》未尽事宜，仍按《公告》的相关规定执行。</w:t>
      </w:r>
    </w:p>
    <w:p w:rsidR="009A0248" w:rsidRPr="00B54136" w:rsidRDefault="009A0248" w:rsidP="00F30CE1">
      <w:pPr>
        <w:spacing w:line="360" w:lineRule="auto"/>
        <w:rPr>
          <w:rFonts w:asciiTheme="minorEastAsia"/>
          <w:b/>
          <w:sz w:val="24"/>
          <w:szCs w:val="24"/>
        </w:rPr>
      </w:pPr>
      <w:r w:rsidRPr="00B54136">
        <w:rPr>
          <w:rFonts w:asciiTheme="minorEastAsia" w:hint="eastAsia"/>
          <w:b/>
          <w:sz w:val="24"/>
          <w:szCs w:val="24"/>
        </w:rPr>
        <w:t>四、重要提示</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1、本次基金份额持有人大会的有关公告可通过</w:t>
      </w:r>
      <w:r w:rsidR="00DD0BF4" w:rsidRPr="00B54136">
        <w:rPr>
          <w:rFonts w:asciiTheme="minorEastAsia" w:hint="eastAsia"/>
          <w:sz w:val="24"/>
          <w:szCs w:val="24"/>
        </w:rPr>
        <w:t>中信保诚</w:t>
      </w:r>
      <w:r w:rsidRPr="00B54136">
        <w:rPr>
          <w:rFonts w:asciiTheme="minorEastAsia" w:hint="eastAsia"/>
          <w:sz w:val="24"/>
          <w:szCs w:val="24"/>
        </w:rPr>
        <w:t>基金管理有限公司网站查阅，投资人如有任何疑问，可致电本基金管理人客户服务电话</w:t>
      </w:r>
      <w:r w:rsidR="00DD0BF4" w:rsidRPr="00B54136">
        <w:rPr>
          <w:rFonts w:asciiTheme="minorEastAsia" w:hint="eastAsia"/>
          <w:sz w:val="24"/>
          <w:szCs w:val="24"/>
        </w:rPr>
        <w:t>400-666-0066</w:t>
      </w:r>
      <w:r w:rsidRPr="00B54136">
        <w:rPr>
          <w:rFonts w:asciiTheme="minorEastAsia" w:hint="eastAsia"/>
          <w:sz w:val="24"/>
          <w:szCs w:val="24"/>
        </w:rPr>
        <w:t>咨询。</w:t>
      </w:r>
    </w:p>
    <w:p w:rsidR="009A0248" w:rsidRPr="00B54136" w:rsidRDefault="009A0248" w:rsidP="00F30CE1">
      <w:pPr>
        <w:spacing w:line="360" w:lineRule="auto"/>
        <w:ind w:firstLineChars="200" w:firstLine="480"/>
        <w:rPr>
          <w:rFonts w:asciiTheme="minorEastAsia"/>
          <w:sz w:val="24"/>
          <w:szCs w:val="24"/>
        </w:rPr>
      </w:pPr>
      <w:r w:rsidRPr="00B54136">
        <w:rPr>
          <w:rFonts w:asciiTheme="minorEastAsia" w:hint="eastAsia"/>
          <w:sz w:val="24"/>
          <w:szCs w:val="24"/>
        </w:rPr>
        <w:t>2、本公告的有关内容由</w:t>
      </w:r>
      <w:r w:rsidR="00DD0BF4" w:rsidRPr="00B54136">
        <w:rPr>
          <w:rFonts w:asciiTheme="minorEastAsia" w:hint="eastAsia"/>
          <w:sz w:val="24"/>
          <w:szCs w:val="24"/>
        </w:rPr>
        <w:t>中信保诚</w:t>
      </w:r>
      <w:r w:rsidRPr="00B54136">
        <w:rPr>
          <w:rFonts w:asciiTheme="minorEastAsia" w:hint="eastAsia"/>
          <w:sz w:val="24"/>
          <w:szCs w:val="24"/>
        </w:rPr>
        <w:t>基金管理有限公司负责解释。</w:t>
      </w:r>
    </w:p>
    <w:p w:rsidR="009A0248" w:rsidRPr="00B54136" w:rsidRDefault="009A0248" w:rsidP="00F30CE1">
      <w:pPr>
        <w:spacing w:line="360" w:lineRule="auto"/>
        <w:rPr>
          <w:rFonts w:asciiTheme="minorEastAsia"/>
          <w:sz w:val="24"/>
          <w:szCs w:val="24"/>
        </w:rPr>
      </w:pPr>
    </w:p>
    <w:p w:rsidR="009A0248" w:rsidRPr="00B54136" w:rsidRDefault="009A0248" w:rsidP="00F30CE1">
      <w:pPr>
        <w:spacing w:line="360" w:lineRule="auto"/>
        <w:rPr>
          <w:rFonts w:asciiTheme="minorEastAsia"/>
          <w:sz w:val="24"/>
          <w:szCs w:val="24"/>
        </w:rPr>
      </w:pPr>
    </w:p>
    <w:p w:rsidR="009A0248" w:rsidRPr="00B54136" w:rsidRDefault="003D3346" w:rsidP="00F30CE1">
      <w:pPr>
        <w:spacing w:line="360" w:lineRule="auto"/>
        <w:jc w:val="right"/>
        <w:rPr>
          <w:rFonts w:asciiTheme="minorEastAsia"/>
          <w:sz w:val="24"/>
          <w:szCs w:val="24"/>
        </w:rPr>
      </w:pPr>
      <w:r w:rsidRPr="00B54136">
        <w:rPr>
          <w:rFonts w:asciiTheme="minorEastAsia" w:hint="eastAsia"/>
          <w:sz w:val="24"/>
          <w:szCs w:val="24"/>
        </w:rPr>
        <w:t>中信保诚</w:t>
      </w:r>
      <w:r w:rsidR="009A0248" w:rsidRPr="00B54136">
        <w:rPr>
          <w:rFonts w:asciiTheme="minorEastAsia" w:hint="eastAsia"/>
          <w:sz w:val="24"/>
          <w:szCs w:val="24"/>
        </w:rPr>
        <w:t>基金管理有限公司</w:t>
      </w:r>
    </w:p>
    <w:p w:rsidR="00BE3B3A" w:rsidRDefault="009A0248" w:rsidP="00F30CE1">
      <w:pPr>
        <w:spacing w:line="360" w:lineRule="auto"/>
        <w:jc w:val="right"/>
      </w:pPr>
      <w:r w:rsidRPr="00B54136">
        <w:rPr>
          <w:rFonts w:asciiTheme="minorEastAsia" w:hint="eastAsia"/>
          <w:sz w:val="24"/>
          <w:szCs w:val="24"/>
        </w:rPr>
        <w:t>20</w:t>
      </w:r>
      <w:r w:rsidR="003D3346" w:rsidRPr="00B54136">
        <w:rPr>
          <w:rFonts w:asciiTheme="minorEastAsia" w:hint="eastAsia"/>
          <w:sz w:val="24"/>
          <w:szCs w:val="24"/>
        </w:rPr>
        <w:t>20</w:t>
      </w:r>
      <w:r w:rsidRPr="00B54136">
        <w:rPr>
          <w:rFonts w:asciiTheme="minorEastAsia" w:hint="eastAsia"/>
          <w:sz w:val="24"/>
          <w:szCs w:val="24"/>
        </w:rPr>
        <w:t>年</w:t>
      </w:r>
      <w:r w:rsidR="00F30CE1">
        <w:rPr>
          <w:rFonts w:asciiTheme="minorEastAsia" w:hint="eastAsia"/>
          <w:sz w:val="24"/>
          <w:szCs w:val="24"/>
        </w:rPr>
        <w:t>10</w:t>
      </w:r>
      <w:r w:rsidRPr="00B54136">
        <w:rPr>
          <w:rFonts w:asciiTheme="minorEastAsia" w:hint="eastAsia"/>
          <w:sz w:val="24"/>
          <w:szCs w:val="24"/>
        </w:rPr>
        <w:t>月</w:t>
      </w:r>
      <w:r w:rsidR="00F30CE1">
        <w:rPr>
          <w:rFonts w:asciiTheme="minorEastAsia" w:hint="eastAsia"/>
          <w:sz w:val="24"/>
          <w:szCs w:val="24"/>
        </w:rPr>
        <w:t>17</w:t>
      </w:r>
      <w:r w:rsidRPr="00B54136">
        <w:rPr>
          <w:rFonts w:asciiTheme="minorEastAsia" w:hint="eastAsia"/>
          <w:sz w:val="24"/>
          <w:szCs w:val="24"/>
        </w:rPr>
        <w:t>日</w:t>
      </w:r>
    </w:p>
    <w:sectPr w:rsidR="00BE3B3A" w:rsidSect="00CF4B2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373DDF" w15:done="0"/>
  <w15:commentEx w15:paraId="12AEC2DD" w15:paraIdParent="43373DDF" w15:done="0"/>
  <w15:commentEx w15:paraId="27F0657C" w15:done="0"/>
  <w15:commentEx w15:paraId="682FE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373DDF" w16cid:durableId="2331F0D0"/>
  <w16cid:commentId w16cid:paraId="27F0657C" w16cid:durableId="2331F0D1"/>
  <w16cid:commentId w16cid:paraId="682FE052" w16cid:durableId="2331F0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3F" w:rsidRDefault="004D5C3F" w:rsidP="00B54136">
      <w:r>
        <w:separator/>
      </w:r>
    </w:p>
  </w:endnote>
  <w:endnote w:type="continuationSeparator" w:id="0">
    <w:p w:rsidR="004D5C3F" w:rsidRDefault="004D5C3F" w:rsidP="00B54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3F" w:rsidRDefault="004D5C3F" w:rsidP="00B54136">
      <w:r>
        <w:separator/>
      </w:r>
    </w:p>
  </w:footnote>
  <w:footnote w:type="continuationSeparator" w:id="0">
    <w:p w:rsidR="004D5C3F" w:rsidRDefault="004D5C3F" w:rsidP="00B5413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248"/>
    <w:rsid w:val="0001230A"/>
    <w:rsid w:val="0004215B"/>
    <w:rsid w:val="000669F3"/>
    <w:rsid w:val="000D2826"/>
    <w:rsid w:val="000D4524"/>
    <w:rsid w:val="000E0CFD"/>
    <w:rsid w:val="00141B4A"/>
    <w:rsid w:val="00171A1E"/>
    <w:rsid w:val="001D4C72"/>
    <w:rsid w:val="001E5655"/>
    <w:rsid w:val="00283DC0"/>
    <w:rsid w:val="002D6641"/>
    <w:rsid w:val="002E698F"/>
    <w:rsid w:val="002F2F4A"/>
    <w:rsid w:val="003B27DD"/>
    <w:rsid w:val="003D3346"/>
    <w:rsid w:val="004229A0"/>
    <w:rsid w:val="004B0E6D"/>
    <w:rsid w:val="004D5C3F"/>
    <w:rsid w:val="00512C76"/>
    <w:rsid w:val="00521FFB"/>
    <w:rsid w:val="00570DA1"/>
    <w:rsid w:val="005A5A30"/>
    <w:rsid w:val="005C25FD"/>
    <w:rsid w:val="0061146A"/>
    <w:rsid w:val="0061692C"/>
    <w:rsid w:val="00634F6B"/>
    <w:rsid w:val="0064086A"/>
    <w:rsid w:val="00650894"/>
    <w:rsid w:val="006A74C0"/>
    <w:rsid w:val="00712E50"/>
    <w:rsid w:val="00745F40"/>
    <w:rsid w:val="007D64CE"/>
    <w:rsid w:val="008A7C12"/>
    <w:rsid w:val="008C236D"/>
    <w:rsid w:val="008C6015"/>
    <w:rsid w:val="008F443F"/>
    <w:rsid w:val="00901E67"/>
    <w:rsid w:val="00990043"/>
    <w:rsid w:val="009A0248"/>
    <w:rsid w:val="00A04416"/>
    <w:rsid w:val="00A10FB5"/>
    <w:rsid w:val="00A2597F"/>
    <w:rsid w:val="00A74921"/>
    <w:rsid w:val="00AD1844"/>
    <w:rsid w:val="00AE7344"/>
    <w:rsid w:val="00AF40C7"/>
    <w:rsid w:val="00B54136"/>
    <w:rsid w:val="00B566BD"/>
    <w:rsid w:val="00BC18A3"/>
    <w:rsid w:val="00BE3B3A"/>
    <w:rsid w:val="00C20291"/>
    <w:rsid w:val="00C23550"/>
    <w:rsid w:val="00C418C9"/>
    <w:rsid w:val="00C447A2"/>
    <w:rsid w:val="00C77BFC"/>
    <w:rsid w:val="00C828D2"/>
    <w:rsid w:val="00CB0E24"/>
    <w:rsid w:val="00CD47EF"/>
    <w:rsid w:val="00CD49B2"/>
    <w:rsid w:val="00CF4B26"/>
    <w:rsid w:val="00D42A01"/>
    <w:rsid w:val="00D67D1B"/>
    <w:rsid w:val="00DD0BF4"/>
    <w:rsid w:val="00E4318E"/>
    <w:rsid w:val="00E73372"/>
    <w:rsid w:val="00ED4624"/>
    <w:rsid w:val="00EF108D"/>
    <w:rsid w:val="00F00891"/>
    <w:rsid w:val="00F30CE1"/>
    <w:rsid w:val="00FB3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3346"/>
    <w:rPr>
      <w:sz w:val="18"/>
      <w:szCs w:val="18"/>
    </w:rPr>
  </w:style>
  <w:style w:type="character" w:customStyle="1" w:styleId="Char">
    <w:name w:val="批注框文本 Char"/>
    <w:basedOn w:val="a0"/>
    <w:link w:val="a3"/>
    <w:uiPriority w:val="99"/>
    <w:semiHidden/>
    <w:rsid w:val="003D3346"/>
    <w:rPr>
      <w:sz w:val="18"/>
      <w:szCs w:val="18"/>
    </w:rPr>
  </w:style>
  <w:style w:type="paragraph" w:styleId="a4">
    <w:name w:val="header"/>
    <w:basedOn w:val="a"/>
    <w:link w:val="Char0"/>
    <w:uiPriority w:val="99"/>
    <w:unhideWhenUsed/>
    <w:rsid w:val="00B541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4136"/>
    <w:rPr>
      <w:sz w:val="18"/>
      <w:szCs w:val="18"/>
    </w:rPr>
  </w:style>
  <w:style w:type="paragraph" w:styleId="a5">
    <w:name w:val="footer"/>
    <w:basedOn w:val="a"/>
    <w:link w:val="Char1"/>
    <w:uiPriority w:val="99"/>
    <w:unhideWhenUsed/>
    <w:rsid w:val="00B54136"/>
    <w:pPr>
      <w:tabs>
        <w:tab w:val="center" w:pos="4153"/>
        <w:tab w:val="right" w:pos="8306"/>
      </w:tabs>
      <w:snapToGrid w:val="0"/>
      <w:jc w:val="left"/>
    </w:pPr>
    <w:rPr>
      <w:sz w:val="18"/>
      <w:szCs w:val="18"/>
    </w:rPr>
  </w:style>
  <w:style w:type="character" w:customStyle="1" w:styleId="Char1">
    <w:name w:val="页脚 Char"/>
    <w:basedOn w:val="a0"/>
    <w:link w:val="a5"/>
    <w:uiPriority w:val="99"/>
    <w:rsid w:val="00B54136"/>
    <w:rPr>
      <w:sz w:val="18"/>
      <w:szCs w:val="18"/>
    </w:rPr>
  </w:style>
  <w:style w:type="character" w:styleId="a6">
    <w:name w:val="annotation reference"/>
    <w:basedOn w:val="a0"/>
    <w:uiPriority w:val="99"/>
    <w:semiHidden/>
    <w:unhideWhenUsed/>
    <w:rsid w:val="00AE7344"/>
    <w:rPr>
      <w:sz w:val="21"/>
      <w:szCs w:val="21"/>
    </w:rPr>
  </w:style>
  <w:style w:type="paragraph" w:styleId="a7">
    <w:name w:val="annotation text"/>
    <w:basedOn w:val="a"/>
    <w:link w:val="Char2"/>
    <w:uiPriority w:val="99"/>
    <w:semiHidden/>
    <w:unhideWhenUsed/>
    <w:rsid w:val="00AE7344"/>
    <w:pPr>
      <w:jc w:val="left"/>
    </w:pPr>
  </w:style>
  <w:style w:type="character" w:customStyle="1" w:styleId="Char2">
    <w:name w:val="批注文字 Char"/>
    <w:basedOn w:val="a0"/>
    <w:link w:val="a7"/>
    <w:uiPriority w:val="99"/>
    <w:semiHidden/>
    <w:rsid w:val="00AE7344"/>
  </w:style>
  <w:style w:type="paragraph" w:styleId="a8">
    <w:name w:val="annotation subject"/>
    <w:basedOn w:val="a7"/>
    <w:next w:val="a7"/>
    <w:link w:val="Char3"/>
    <w:uiPriority w:val="99"/>
    <w:semiHidden/>
    <w:unhideWhenUsed/>
    <w:rsid w:val="00AE7344"/>
    <w:rPr>
      <w:b/>
      <w:bCs/>
    </w:rPr>
  </w:style>
  <w:style w:type="character" w:customStyle="1" w:styleId="Char3">
    <w:name w:val="批注主题 Char"/>
    <w:basedOn w:val="Char2"/>
    <w:link w:val="a8"/>
    <w:uiPriority w:val="99"/>
    <w:semiHidden/>
    <w:rsid w:val="00AE7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3346"/>
    <w:rPr>
      <w:sz w:val="18"/>
      <w:szCs w:val="18"/>
    </w:rPr>
  </w:style>
  <w:style w:type="character" w:customStyle="1" w:styleId="Char">
    <w:name w:val="批注框文本 Char"/>
    <w:basedOn w:val="a0"/>
    <w:link w:val="a3"/>
    <w:uiPriority w:val="99"/>
    <w:semiHidden/>
    <w:rsid w:val="003D3346"/>
    <w:rPr>
      <w:sz w:val="18"/>
      <w:szCs w:val="18"/>
    </w:rPr>
  </w:style>
  <w:style w:type="paragraph" w:styleId="a4">
    <w:name w:val="header"/>
    <w:basedOn w:val="a"/>
    <w:link w:val="Char0"/>
    <w:uiPriority w:val="99"/>
    <w:unhideWhenUsed/>
    <w:rsid w:val="00B541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54136"/>
    <w:rPr>
      <w:sz w:val="18"/>
      <w:szCs w:val="18"/>
    </w:rPr>
  </w:style>
  <w:style w:type="paragraph" w:styleId="a5">
    <w:name w:val="footer"/>
    <w:basedOn w:val="a"/>
    <w:link w:val="Char1"/>
    <w:uiPriority w:val="99"/>
    <w:unhideWhenUsed/>
    <w:rsid w:val="00B54136"/>
    <w:pPr>
      <w:tabs>
        <w:tab w:val="center" w:pos="4153"/>
        <w:tab w:val="right" w:pos="8306"/>
      </w:tabs>
      <w:snapToGrid w:val="0"/>
      <w:jc w:val="left"/>
    </w:pPr>
    <w:rPr>
      <w:sz w:val="18"/>
      <w:szCs w:val="18"/>
    </w:rPr>
  </w:style>
  <w:style w:type="character" w:customStyle="1" w:styleId="Char1">
    <w:name w:val="页脚 Char"/>
    <w:basedOn w:val="a0"/>
    <w:link w:val="a5"/>
    <w:uiPriority w:val="99"/>
    <w:rsid w:val="00B54136"/>
    <w:rPr>
      <w:sz w:val="18"/>
      <w:szCs w:val="18"/>
    </w:rPr>
  </w:style>
  <w:style w:type="character" w:styleId="a6">
    <w:name w:val="annotation reference"/>
    <w:basedOn w:val="a0"/>
    <w:uiPriority w:val="99"/>
    <w:semiHidden/>
    <w:unhideWhenUsed/>
    <w:rsid w:val="00AE7344"/>
    <w:rPr>
      <w:sz w:val="21"/>
      <w:szCs w:val="21"/>
    </w:rPr>
  </w:style>
  <w:style w:type="paragraph" w:styleId="a7">
    <w:name w:val="annotation text"/>
    <w:basedOn w:val="a"/>
    <w:link w:val="Char2"/>
    <w:uiPriority w:val="99"/>
    <w:semiHidden/>
    <w:unhideWhenUsed/>
    <w:rsid w:val="00AE7344"/>
    <w:pPr>
      <w:jc w:val="left"/>
    </w:pPr>
  </w:style>
  <w:style w:type="character" w:customStyle="1" w:styleId="Char2">
    <w:name w:val="批注文字 Char"/>
    <w:basedOn w:val="a0"/>
    <w:link w:val="a7"/>
    <w:uiPriority w:val="99"/>
    <w:semiHidden/>
    <w:rsid w:val="00AE7344"/>
  </w:style>
  <w:style w:type="paragraph" w:styleId="a8">
    <w:name w:val="annotation subject"/>
    <w:basedOn w:val="a7"/>
    <w:next w:val="a7"/>
    <w:link w:val="Char3"/>
    <w:uiPriority w:val="99"/>
    <w:semiHidden/>
    <w:unhideWhenUsed/>
    <w:rsid w:val="00AE7344"/>
    <w:rPr>
      <w:b/>
      <w:bCs/>
    </w:rPr>
  </w:style>
  <w:style w:type="character" w:customStyle="1" w:styleId="Char3">
    <w:name w:val="批注主题 Char"/>
    <w:basedOn w:val="Char2"/>
    <w:link w:val="a8"/>
    <w:uiPriority w:val="99"/>
    <w:semiHidden/>
    <w:rsid w:val="00AE7344"/>
    <w:rPr>
      <w:b/>
      <w:bCs/>
    </w:rPr>
  </w:style>
</w:styles>
</file>

<file path=word/webSettings.xml><?xml version="1.0" encoding="utf-8"?>
<w:webSettings xmlns:r="http://schemas.openxmlformats.org/officeDocument/2006/relationships" xmlns:w="http://schemas.openxmlformats.org/wordprocessingml/2006/main">
  <w:divs>
    <w:div w:id="372774738">
      <w:bodyDiv w:val="1"/>
      <w:marLeft w:val="0"/>
      <w:marRight w:val="0"/>
      <w:marTop w:val="0"/>
      <w:marBottom w:val="0"/>
      <w:divBdr>
        <w:top w:val="none" w:sz="0" w:space="0" w:color="auto"/>
        <w:left w:val="none" w:sz="0" w:space="0" w:color="auto"/>
        <w:bottom w:val="none" w:sz="0" w:space="0" w:color="auto"/>
        <w:right w:val="none" w:sz="0" w:space="0" w:color="auto"/>
      </w:divBdr>
    </w:div>
    <w:div w:id="16125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cprufunds.com.cn"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iticprufunds.com.c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FE3B-1B9F-461A-8B1A-919E84F9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4</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龚威鞘</dc:creator>
  <cp:lastModifiedBy>ZHONGM</cp:lastModifiedBy>
  <cp:revision>2</cp:revision>
  <dcterms:created xsi:type="dcterms:W3CDTF">2020-10-16T16:00:00Z</dcterms:created>
  <dcterms:modified xsi:type="dcterms:W3CDTF">2020-10-16T16:00:00Z</dcterms:modified>
</cp:coreProperties>
</file>