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18" w:rsidRDefault="00596918" w:rsidP="005144FF">
      <w:pPr>
        <w:autoSpaceDE w:val="0"/>
        <w:autoSpaceDN w:val="0"/>
        <w:adjustRightInd w:val="0"/>
        <w:spacing w:line="360" w:lineRule="auto"/>
        <w:ind w:firstLineChars="200" w:firstLine="482"/>
        <w:jc w:val="center"/>
        <w:rPr>
          <w:b/>
          <w:bCs/>
          <w:sz w:val="24"/>
        </w:rPr>
      </w:pPr>
      <w:r w:rsidRPr="00596918">
        <w:rPr>
          <w:rFonts w:hint="eastAsia"/>
          <w:b/>
          <w:bCs/>
          <w:sz w:val="24"/>
        </w:rPr>
        <w:t>中信建投基金管理有限公司关于</w:t>
      </w:r>
      <w:r>
        <w:rPr>
          <w:rFonts w:hint="eastAsia"/>
          <w:b/>
          <w:bCs/>
          <w:sz w:val="24"/>
        </w:rPr>
        <w:t>中信建投医药健康混合型证券投资基金</w:t>
      </w:r>
      <w:r w:rsidRPr="00596918">
        <w:rPr>
          <w:rFonts w:hint="eastAsia"/>
          <w:b/>
          <w:bCs/>
          <w:sz w:val="24"/>
        </w:rPr>
        <w:t>投资科创板上市股票及相关风险揭示的公告</w:t>
      </w:r>
    </w:p>
    <w:p w:rsidR="005144FF" w:rsidRPr="005144FF" w:rsidRDefault="005144FF" w:rsidP="005144FF">
      <w:pPr>
        <w:autoSpaceDE w:val="0"/>
        <w:autoSpaceDN w:val="0"/>
        <w:adjustRightInd w:val="0"/>
        <w:spacing w:line="360" w:lineRule="auto"/>
        <w:ind w:firstLineChars="200" w:firstLine="482"/>
        <w:jc w:val="center"/>
        <w:rPr>
          <w:b/>
          <w:bCs/>
          <w:sz w:val="24"/>
        </w:rPr>
      </w:pP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根据《中华人民共和国证券投资基金法》（以下简称“《基金法》”）及科创板相关法律法规，现就中信建投基金管理有限公司（以下简称“本公司”）旗下</w:t>
      </w:r>
      <w:r>
        <w:rPr>
          <w:rFonts w:hint="eastAsia"/>
          <w:bCs/>
          <w:sz w:val="24"/>
        </w:rPr>
        <w:t>中信建投医药健康混合型证券投资基金</w:t>
      </w:r>
      <w:r w:rsidRPr="00596918">
        <w:rPr>
          <w:rFonts w:hint="eastAsia"/>
          <w:bCs/>
          <w:sz w:val="24"/>
        </w:rPr>
        <w:t>投资科创板上市股票（以下简称“科创板股票”）的有关事项公告如下：</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一、科创板股票是国内依法发行上市的股票，属于《基金法》第七十二条第一项规定的“上市交易的股票”，系《基金法》及中国证监会规定的基金可投资的品种。</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二、</w:t>
      </w:r>
      <w:r>
        <w:rPr>
          <w:rFonts w:hint="eastAsia"/>
          <w:bCs/>
          <w:sz w:val="24"/>
        </w:rPr>
        <w:t>中信建投医药健康混合型证券投资基金</w:t>
      </w:r>
      <w:r w:rsidRPr="00596918">
        <w:rPr>
          <w:rFonts w:hint="eastAsia"/>
          <w:bCs/>
          <w:sz w:val="24"/>
        </w:rPr>
        <w:t>可在遵守基金合同关于投资目标、投资策略、投资范围、资产配置比例和风险收益特征等约定的前提下，参与投资科创板股票。</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三、</w:t>
      </w:r>
      <w:r>
        <w:rPr>
          <w:rFonts w:hint="eastAsia"/>
          <w:bCs/>
          <w:sz w:val="24"/>
        </w:rPr>
        <w:t>中信建投医药健康混合型证券投资基金</w:t>
      </w:r>
      <w:r w:rsidRPr="00596918">
        <w:rPr>
          <w:rFonts w:hint="eastAsia"/>
          <w:bCs/>
          <w:sz w:val="24"/>
        </w:rPr>
        <w:t>将按照监管机构的相关规定和要求，根据审慎原则进行科创板股票的投资，保持好基金投资风格的一致性，做好流动性风险管理工作，并进行必要的信息披露，切实保护好基金投资者的利益。敬请投资者留意。</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四、风险揭示</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基金资产投资于科创板股票，会面临科创板机制下因投资标的、市场制度以及交易规则等差异带来的特有风险，包括但不限于流动性风险、市场风险、退市风险、集中投资风险、政策风险等。</w:t>
      </w:r>
    </w:p>
    <w:p w:rsidR="00596918" w:rsidRPr="00596918" w:rsidRDefault="00596918" w:rsidP="00596918">
      <w:pPr>
        <w:autoSpaceDE w:val="0"/>
        <w:autoSpaceDN w:val="0"/>
        <w:adjustRightInd w:val="0"/>
        <w:spacing w:line="360" w:lineRule="auto"/>
        <w:ind w:firstLineChars="200" w:firstLine="480"/>
        <w:jc w:val="left"/>
        <w:rPr>
          <w:bCs/>
          <w:sz w:val="24"/>
        </w:rPr>
      </w:pPr>
      <w:r>
        <w:rPr>
          <w:rFonts w:hint="eastAsia"/>
          <w:bCs/>
          <w:sz w:val="24"/>
        </w:rPr>
        <w:t>中信建投医药健康混合型证券投资基金</w:t>
      </w:r>
      <w:r w:rsidRPr="00596918">
        <w:rPr>
          <w:rFonts w:hint="eastAsia"/>
          <w:bCs/>
          <w:sz w:val="24"/>
        </w:rPr>
        <w:t>可根据投资策略需要或市场环境的变化，选择将部分基金资产投资于科创板股票或选择不将基金资产投资于科创板股票，基金资产并非必然投资于科创板股票。</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提醒投资者注意，投资科创板股票的风险包括但不限于：</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1</w:t>
      </w:r>
      <w:r w:rsidRPr="00596918">
        <w:rPr>
          <w:rFonts w:hint="eastAsia"/>
          <w:bCs/>
          <w:sz w:val="24"/>
        </w:rPr>
        <w:t>、流动性风险</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科创板投资门槛高，个人投资者需要满足一定条件才可参与科创板股票投资，科创板股票流动性可能弱于其他市场板块，若机构投资者对个股形成一致性预期，存在基金持有股票无法正常成交的风险。</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lastRenderedPageBreak/>
        <w:t>2</w:t>
      </w:r>
      <w:r w:rsidRPr="00596918">
        <w:rPr>
          <w:rFonts w:hint="eastAsia"/>
          <w:bCs/>
          <w:sz w:val="24"/>
        </w:rPr>
        <w:t>、市场风险</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科创板上市企业集中来自新一代信息技术、高端装备、新材料、新能源、节能环保及生物医药等高新技术和战略新兴产业领域，往往具有研发投入规模大、盈利周期长、技术迭代快、风险高以及严重依赖核心项目、核心技术人员、少数供应商等特点；科创板上市企业的持续创新能力、主营业务发展的可持续性、公司收入及盈利水平等具有较大不确定性，与传统二级市场投资存在差异，整体投资难度加大，个股市场风险加大。</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科创板股票上市后的前</w:t>
      </w:r>
      <w:r w:rsidRPr="00596918">
        <w:rPr>
          <w:rFonts w:hint="eastAsia"/>
          <w:bCs/>
          <w:sz w:val="24"/>
        </w:rPr>
        <w:t xml:space="preserve"> 5 </w:t>
      </w:r>
      <w:r w:rsidRPr="00596918">
        <w:rPr>
          <w:rFonts w:hint="eastAsia"/>
          <w:bCs/>
          <w:sz w:val="24"/>
        </w:rPr>
        <w:t>个交易日不设涨跌幅限制，其后涨跌幅限制为</w:t>
      </w:r>
      <w:r w:rsidRPr="00596918">
        <w:rPr>
          <w:rFonts w:hint="eastAsia"/>
          <w:bCs/>
          <w:sz w:val="24"/>
        </w:rPr>
        <w:t>20%</w:t>
      </w:r>
      <w:r w:rsidRPr="00596918">
        <w:rPr>
          <w:rFonts w:hint="eastAsia"/>
          <w:bCs/>
          <w:sz w:val="24"/>
        </w:rPr>
        <w:t>，个股波动幅度较其他股票加大，市场风险随之上升。</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3</w:t>
      </w:r>
      <w:r w:rsidRPr="00596918">
        <w:rPr>
          <w:rFonts w:hint="eastAsia"/>
          <w:bCs/>
          <w:sz w:val="24"/>
        </w:rPr>
        <w:t>、退市风险</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科创板有更为严格的退市标准，且不设暂停上市、恢复上市和重新上市制度，科创板上市企业退市风险更大，可能给基金净值带来不利影响。</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4</w:t>
      </w:r>
      <w:r w:rsidRPr="00596918">
        <w:rPr>
          <w:rFonts w:hint="eastAsia"/>
          <w:bCs/>
          <w:sz w:val="24"/>
        </w:rPr>
        <w:t>、集中投资风险</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因科创板上市企业均为科技创新成长型</w:t>
      </w:r>
      <w:r w:rsidR="008E5145">
        <w:rPr>
          <w:rFonts w:hint="eastAsia"/>
          <w:bCs/>
          <w:sz w:val="24"/>
        </w:rPr>
        <w:t>企业</w:t>
      </w:r>
      <w:r w:rsidRPr="00596918">
        <w:rPr>
          <w:rFonts w:hint="eastAsia"/>
          <w:bCs/>
          <w:sz w:val="24"/>
        </w:rPr>
        <w:t>，其商业模式、盈利风险、业绩波动等特征较为相似，</w:t>
      </w:r>
      <w:r w:rsidR="008E5145">
        <w:rPr>
          <w:rFonts w:hint="eastAsia"/>
          <w:bCs/>
          <w:sz w:val="24"/>
        </w:rPr>
        <w:t>基金</w:t>
      </w:r>
      <w:r w:rsidRPr="00596918">
        <w:rPr>
          <w:rFonts w:hint="eastAsia"/>
          <w:bCs/>
          <w:sz w:val="24"/>
        </w:rPr>
        <w:t>难以通过分散投资降低投资风险，若股票价格同向波动，将引起基金净值波动。</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5</w:t>
      </w:r>
      <w:r w:rsidRPr="00596918">
        <w:rPr>
          <w:rFonts w:hint="eastAsia"/>
          <w:bCs/>
          <w:sz w:val="24"/>
        </w:rPr>
        <w:t>、政策风险</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国家对高新技术产业扶持力度及重视程度的变化会对科创板上市企业带来较大影响，国际经济形势变化对战略新兴产业及科创板股票也会带来政策影响。</w:t>
      </w:r>
    </w:p>
    <w:p w:rsidR="00596918" w:rsidRP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6</w:t>
      </w:r>
      <w:r w:rsidRPr="00596918">
        <w:rPr>
          <w:rFonts w:hint="eastAsia"/>
          <w:bCs/>
          <w:sz w:val="24"/>
        </w:rPr>
        <w:t>、其他风险</w:t>
      </w:r>
    </w:p>
    <w:p w:rsidR="00C83978" w:rsidRDefault="00596918" w:rsidP="005144FF">
      <w:pPr>
        <w:autoSpaceDE w:val="0"/>
        <w:autoSpaceDN w:val="0"/>
        <w:adjustRightInd w:val="0"/>
        <w:spacing w:line="360" w:lineRule="auto"/>
        <w:ind w:firstLineChars="200" w:firstLine="480"/>
        <w:jc w:val="left"/>
        <w:rPr>
          <w:bCs/>
          <w:sz w:val="24"/>
        </w:rPr>
      </w:pPr>
      <w:r w:rsidRPr="00596918">
        <w:rPr>
          <w:rFonts w:hint="eastAsia"/>
          <w:bCs/>
          <w:sz w:val="24"/>
        </w:rPr>
        <w:t>在科创板市场投资还存在其他因制度规则差异可能带来的风险，提请投资者注意。</w:t>
      </w:r>
    </w:p>
    <w:p w:rsidR="005144FF" w:rsidRPr="00596918" w:rsidRDefault="005144FF" w:rsidP="005144FF">
      <w:pPr>
        <w:autoSpaceDE w:val="0"/>
        <w:autoSpaceDN w:val="0"/>
        <w:adjustRightInd w:val="0"/>
        <w:spacing w:line="360" w:lineRule="auto"/>
        <w:ind w:firstLineChars="200" w:firstLine="480"/>
        <w:jc w:val="left"/>
        <w:rPr>
          <w:bCs/>
          <w:sz w:val="24"/>
        </w:rPr>
      </w:pPr>
    </w:p>
    <w:p w:rsid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t>本公司承诺以诚实信用、勤勉尽责的原则，认真评估科创板市场的投资风险，审慎做出投资决定。投资者投资本公司管理的基金时，应认真阅读相关基金合同、招募说明书等文件，全面认识基金产品的风险收益特征，在了解产品情况及听取销售机构适当性意见的基础上，根据自身的风险承受能力、投资期限和投资目标，对基金投资作出独立决策，选择合适的基金产品。</w:t>
      </w:r>
    </w:p>
    <w:p w:rsidR="005144FF" w:rsidRPr="00596918" w:rsidRDefault="005144FF" w:rsidP="00596918">
      <w:pPr>
        <w:autoSpaceDE w:val="0"/>
        <w:autoSpaceDN w:val="0"/>
        <w:adjustRightInd w:val="0"/>
        <w:spacing w:line="360" w:lineRule="auto"/>
        <w:ind w:firstLineChars="200" w:firstLine="480"/>
        <w:jc w:val="left"/>
        <w:rPr>
          <w:bCs/>
          <w:sz w:val="24"/>
        </w:rPr>
      </w:pPr>
    </w:p>
    <w:p w:rsidR="00596918" w:rsidRDefault="00596918" w:rsidP="00596918">
      <w:pPr>
        <w:autoSpaceDE w:val="0"/>
        <w:autoSpaceDN w:val="0"/>
        <w:adjustRightInd w:val="0"/>
        <w:spacing w:line="360" w:lineRule="auto"/>
        <w:ind w:firstLineChars="200" w:firstLine="480"/>
        <w:jc w:val="left"/>
        <w:rPr>
          <w:bCs/>
          <w:sz w:val="24"/>
        </w:rPr>
      </w:pPr>
      <w:r w:rsidRPr="00596918">
        <w:rPr>
          <w:rFonts w:hint="eastAsia"/>
          <w:bCs/>
          <w:sz w:val="24"/>
        </w:rPr>
        <w:lastRenderedPageBreak/>
        <w:t>特此公告。</w:t>
      </w:r>
    </w:p>
    <w:p w:rsidR="005A6FA0" w:rsidRDefault="005A6FA0" w:rsidP="00596918">
      <w:pPr>
        <w:autoSpaceDE w:val="0"/>
        <w:autoSpaceDN w:val="0"/>
        <w:adjustRightInd w:val="0"/>
        <w:spacing w:line="360" w:lineRule="auto"/>
        <w:ind w:firstLineChars="200" w:firstLine="480"/>
        <w:jc w:val="left"/>
        <w:rPr>
          <w:bCs/>
          <w:sz w:val="24"/>
        </w:rPr>
      </w:pPr>
    </w:p>
    <w:p w:rsidR="005A6FA0" w:rsidRDefault="005A6FA0" w:rsidP="00596918">
      <w:pPr>
        <w:autoSpaceDE w:val="0"/>
        <w:autoSpaceDN w:val="0"/>
        <w:adjustRightInd w:val="0"/>
        <w:spacing w:line="360" w:lineRule="auto"/>
        <w:ind w:firstLineChars="200" w:firstLine="480"/>
        <w:jc w:val="left"/>
        <w:rPr>
          <w:bCs/>
          <w:sz w:val="24"/>
        </w:rPr>
      </w:pPr>
    </w:p>
    <w:p w:rsidR="00133478" w:rsidRPr="00596918" w:rsidRDefault="00133478" w:rsidP="00596918">
      <w:pPr>
        <w:autoSpaceDE w:val="0"/>
        <w:autoSpaceDN w:val="0"/>
        <w:adjustRightInd w:val="0"/>
        <w:spacing w:line="360" w:lineRule="auto"/>
        <w:ind w:firstLineChars="200" w:firstLine="480"/>
        <w:jc w:val="left"/>
        <w:rPr>
          <w:bCs/>
          <w:sz w:val="24"/>
        </w:rPr>
      </w:pPr>
    </w:p>
    <w:p w:rsidR="00596918" w:rsidRPr="00596918" w:rsidRDefault="00596918" w:rsidP="005A6FA0">
      <w:pPr>
        <w:autoSpaceDE w:val="0"/>
        <w:autoSpaceDN w:val="0"/>
        <w:adjustRightInd w:val="0"/>
        <w:spacing w:line="360" w:lineRule="auto"/>
        <w:ind w:firstLineChars="200" w:firstLine="480"/>
        <w:jc w:val="right"/>
        <w:rPr>
          <w:bCs/>
          <w:sz w:val="24"/>
        </w:rPr>
      </w:pPr>
      <w:r w:rsidRPr="00596918">
        <w:rPr>
          <w:rFonts w:hint="eastAsia"/>
          <w:bCs/>
          <w:sz w:val="24"/>
        </w:rPr>
        <w:t>中信建投基金管理有限公司</w:t>
      </w:r>
    </w:p>
    <w:p w:rsidR="00596918" w:rsidRPr="00596918" w:rsidRDefault="00596918" w:rsidP="005A6FA0">
      <w:pPr>
        <w:autoSpaceDE w:val="0"/>
        <w:autoSpaceDN w:val="0"/>
        <w:adjustRightInd w:val="0"/>
        <w:spacing w:line="360" w:lineRule="auto"/>
        <w:ind w:firstLineChars="200" w:firstLine="480"/>
        <w:jc w:val="right"/>
        <w:rPr>
          <w:bCs/>
          <w:sz w:val="24"/>
        </w:rPr>
      </w:pPr>
      <w:r w:rsidRPr="00596918">
        <w:rPr>
          <w:rFonts w:hint="eastAsia"/>
          <w:bCs/>
          <w:sz w:val="24"/>
        </w:rPr>
        <w:t xml:space="preserve">2020 </w:t>
      </w:r>
      <w:r w:rsidRPr="00596918">
        <w:rPr>
          <w:rFonts w:hint="eastAsia"/>
          <w:bCs/>
          <w:sz w:val="24"/>
        </w:rPr>
        <w:t>年</w:t>
      </w:r>
      <w:r w:rsidRPr="00596918">
        <w:rPr>
          <w:rFonts w:hint="eastAsia"/>
          <w:bCs/>
          <w:sz w:val="24"/>
        </w:rPr>
        <w:t xml:space="preserve"> </w:t>
      </w:r>
      <w:r>
        <w:rPr>
          <w:rFonts w:hint="eastAsia"/>
          <w:bCs/>
          <w:sz w:val="24"/>
        </w:rPr>
        <w:t>10</w:t>
      </w:r>
      <w:r w:rsidRPr="00596918">
        <w:rPr>
          <w:rFonts w:hint="eastAsia"/>
          <w:bCs/>
          <w:sz w:val="24"/>
        </w:rPr>
        <w:t xml:space="preserve"> </w:t>
      </w:r>
      <w:r w:rsidRPr="00596918">
        <w:rPr>
          <w:rFonts w:hint="eastAsia"/>
          <w:bCs/>
          <w:sz w:val="24"/>
        </w:rPr>
        <w:t>月</w:t>
      </w:r>
      <w:r w:rsidRPr="00596918">
        <w:rPr>
          <w:rFonts w:hint="eastAsia"/>
          <w:bCs/>
          <w:sz w:val="24"/>
        </w:rPr>
        <w:t xml:space="preserve"> </w:t>
      </w:r>
      <w:r>
        <w:rPr>
          <w:rFonts w:hint="eastAsia"/>
          <w:bCs/>
          <w:sz w:val="24"/>
        </w:rPr>
        <w:t>15</w:t>
      </w:r>
      <w:r w:rsidRPr="00596918">
        <w:rPr>
          <w:rFonts w:hint="eastAsia"/>
          <w:bCs/>
          <w:sz w:val="24"/>
        </w:rPr>
        <w:t xml:space="preserve"> </w:t>
      </w:r>
      <w:r w:rsidRPr="00596918">
        <w:rPr>
          <w:rFonts w:hint="eastAsia"/>
          <w:bCs/>
          <w:sz w:val="24"/>
        </w:rPr>
        <w:t>日</w:t>
      </w:r>
    </w:p>
    <w:p w:rsidR="00596918" w:rsidRDefault="00596918" w:rsidP="00273E78">
      <w:pPr>
        <w:widowControl/>
        <w:spacing w:line="276" w:lineRule="auto"/>
        <w:rPr>
          <w:rFonts w:asciiTheme="majorEastAsia" w:eastAsiaTheme="majorEastAsia" w:hAnsiTheme="majorEastAsia" w:cs="Arial"/>
          <w:color w:val="000000" w:themeColor="text1"/>
          <w:sz w:val="24"/>
          <w:shd w:val="clear" w:color="auto" w:fill="FFFFFF"/>
        </w:rPr>
      </w:pPr>
    </w:p>
    <w:p w:rsidR="00BF5270" w:rsidRPr="00273E78" w:rsidRDefault="00BF5270" w:rsidP="00273E78">
      <w:pPr>
        <w:spacing w:line="276" w:lineRule="auto"/>
        <w:ind w:firstLineChars="200" w:firstLine="482"/>
        <w:jc w:val="left"/>
        <w:rPr>
          <w:rFonts w:asciiTheme="majorEastAsia" w:eastAsiaTheme="majorEastAsia" w:hAnsiTheme="majorEastAsia"/>
          <w:b/>
          <w:color w:val="000000" w:themeColor="text1"/>
          <w:sz w:val="24"/>
        </w:rPr>
      </w:pPr>
      <w:bookmarkStart w:id="0" w:name="_GoBack"/>
      <w:bookmarkEnd w:id="0"/>
    </w:p>
    <w:sectPr w:rsidR="00BF5270" w:rsidRPr="00273E78" w:rsidSect="00A268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3C" w:rsidRDefault="0071443C" w:rsidP="005766BA">
      <w:r>
        <w:separator/>
      </w:r>
    </w:p>
  </w:endnote>
  <w:endnote w:type="continuationSeparator" w:id="0">
    <w:p w:rsidR="0071443C" w:rsidRDefault="0071443C" w:rsidP="00576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3C" w:rsidRDefault="0071443C" w:rsidP="005766BA">
      <w:r>
        <w:separator/>
      </w:r>
    </w:p>
  </w:footnote>
  <w:footnote w:type="continuationSeparator" w:id="0">
    <w:p w:rsidR="0071443C" w:rsidRDefault="0071443C" w:rsidP="00576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EEF"/>
    <w:rsid w:val="00075BE3"/>
    <w:rsid w:val="000B0101"/>
    <w:rsid w:val="000F66C9"/>
    <w:rsid w:val="00113F59"/>
    <w:rsid w:val="00114C70"/>
    <w:rsid w:val="00131B5C"/>
    <w:rsid w:val="00133478"/>
    <w:rsid w:val="0015419D"/>
    <w:rsid w:val="001739EC"/>
    <w:rsid w:val="001B357A"/>
    <w:rsid w:val="001C7696"/>
    <w:rsid w:val="001F73C0"/>
    <w:rsid w:val="0020582E"/>
    <w:rsid w:val="00235FE2"/>
    <w:rsid w:val="0026556A"/>
    <w:rsid w:val="00271C0D"/>
    <w:rsid w:val="00273E78"/>
    <w:rsid w:val="002A2C59"/>
    <w:rsid w:val="002B0624"/>
    <w:rsid w:val="002C5CA4"/>
    <w:rsid w:val="002D670A"/>
    <w:rsid w:val="00337957"/>
    <w:rsid w:val="003411E0"/>
    <w:rsid w:val="00396C4F"/>
    <w:rsid w:val="003D1253"/>
    <w:rsid w:val="003E12B1"/>
    <w:rsid w:val="003E3613"/>
    <w:rsid w:val="003E7E3D"/>
    <w:rsid w:val="00404B36"/>
    <w:rsid w:val="004247DE"/>
    <w:rsid w:val="00463474"/>
    <w:rsid w:val="004A5F2F"/>
    <w:rsid w:val="004A7BCA"/>
    <w:rsid w:val="004C10C5"/>
    <w:rsid w:val="004C434D"/>
    <w:rsid w:val="004D65E6"/>
    <w:rsid w:val="00500531"/>
    <w:rsid w:val="005030E9"/>
    <w:rsid w:val="005105CD"/>
    <w:rsid w:val="005144FF"/>
    <w:rsid w:val="005212FE"/>
    <w:rsid w:val="005766BA"/>
    <w:rsid w:val="00596918"/>
    <w:rsid w:val="005A6FA0"/>
    <w:rsid w:val="005F60F2"/>
    <w:rsid w:val="006050FB"/>
    <w:rsid w:val="006544CC"/>
    <w:rsid w:val="00665AF9"/>
    <w:rsid w:val="0068349C"/>
    <w:rsid w:val="006B65A0"/>
    <w:rsid w:val="006F098B"/>
    <w:rsid w:val="006F3AC8"/>
    <w:rsid w:val="0071443C"/>
    <w:rsid w:val="00740604"/>
    <w:rsid w:val="00751C11"/>
    <w:rsid w:val="00754299"/>
    <w:rsid w:val="007632BC"/>
    <w:rsid w:val="00784662"/>
    <w:rsid w:val="00795181"/>
    <w:rsid w:val="007A1641"/>
    <w:rsid w:val="007F207D"/>
    <w:rsid w:val="00850F72"/>
    <w:rsid w:val="00852364"/>
    <w:rsid w:val="0086595E"/>
    <w:rsid w:val="008B6769"/>
    <w:rsid w:val="008B742C"/>
    <w:rsid w:val="008D646A"/>
    <w:rsid w:val="008E5145"/>
    <w:rsid w:val="008F3E77"/>
    <w:rsid w:val="00902EEF"/>
    <w:rsid w:val="00912FC5"/>
    <w:rsid w:val="00913FC2"/>
    <w:rsid w:val="00915A48"/>
    <w:rsid w:val="00932D26"/>
    <w:rsid w:val="00940470"/>
    <w:rsid w:val="00955B50"/>
    <w:rsid w:val="00975D81"/>
    <w:rsid w:val="00986023"/>
    <w:rsid w:val="009A5A6B"/>
    <w:rsid w:val="009F54AA"/>
    <w:rsid w:val="00A1418B"/>
    <w:rsid w:val="00A268C0"/>
    <w:rsid w:val="00A817D1"/>
    <w:rsid w:val="00AA0914"/>
    <w:rsid w:val="00AB39A7"/>
    <w:rsid w:val="00B067B1"/>
    <w:rsid w:val="00B20CA7"/>
    <w:rsid w:val="00B260E0"/>
    <w:rsid w:val="00B40D60"/>
    <w:rsid w:val="00B43159"/>
    <w:rsid w:val="00B51F54"/>
    <w:rsid w:val="00B661DE"/>
    <w:rsid w:val="00BA1FAC"/>
    <w:rsid w:val="00BF5270"/>
    <w:rsid w:val="00C22575"/>
    <w:rsid w:val="00C24102"/>
    <w:rsid w:val="00C31BB1"/>
    <w:rsid w:val="00C433FC"/>
    <w:rsid w:val="00C53122"/>
    <w:rsid w:val="00C734A4"/>
    <w:rsid w:val="00C83978"/>
    <w:rsid w:val="00CA3E2C"/>
    <w:rsid w:val="00CD292B"/>
    <w:rsid w:val="00CE221F"/>
    <w:rsid w:val="00CF5229"/>
    <w:rsid w:val="00CF5A82"/>
    <w:rsid w:val="00D65C61"/>
    <w:rsid w:val="00D7211F"/>
    <w:rsid w:val="00DB08A0"/>
    <w:rsid w:val="00DC72D8"/>
    <w:rsid w:val="00DF1531"/>
    <w:rsid w:val="00E157EB"/>
    <w:rsid w:val="00E263BB"/>
    <w:rsid w:val="00E4336C"/>
    <w:rsid w:val="00E43A0A"/>
    <w:rsid w:val="00E5412B"/>
    <w:rsid w:val="00E72291"/>
    <w:rsid w:val="00E87366"/>
    <w:rsid w:val="00EB1C80"/>
    <w:rsid w:val="00EC02EB"/>
    <w:rsid w:val="00EF095D"/>
    <w:rsid w:val="00F02831"/>
    <w:rsid w:val="00F20052"/>
    <w:rsid w:val="00F568A0"/>
    <w:rsid w:val="00F9367D"/>
    <w:rsid w:val="00FA0234"/>
    <w:rsid w:val="00FF68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F"/>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FA0234"/>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1B5C"/>
    <w:rPr>
      <w:sz w:val="18"/>
      <w:szCs w:val="18"/>
    </w:rPr>
  </w:style>
  <w:style w:type="character" w:customStyle="1" w:styleId="Char">
    <w:name w:val="批注框文本 Char"/>
    <w:basedOn w:val="a0"/>
    <w:link w:val="a3"/>
    <w:uiPriority w:val="99"/>
    <w:semiHidden/>
    <w:rsid w:val="00131B5C"/>
    <w:rPr>
      <w:rFonts w:ascii="Times New Roman" w:eastAsia="宋体" w:hAnsi="Times New Roman" w:cs="Times New Roman"/>
      <w:sz w:val="18"/>
      <w:szCs w:val="18"/>
    </w:rPr>
  </w:style>
  <w:style w:type="character" w:styleId="a4">
    <w:name w:val="annotation reference"/>
    <w:basedOn w:val="a0"/>
    <w:uiPriority w:val="99"/>
    <w:semiHidden/>
    <w:unhideWhenUsed/>
    <w:rsid w:val="00114C70"/>
    <w:rPr>
      <w:sz w:val="21"/>
      <w:szCs w:val="21"/>
    </w:rPr>
  </w:style>
  <w:style w:type="paragraph" w:styleId="a5">
    <w:name w:val="annotation text"/>
    <w:basedOn w:val="a"/>
    <w:link w:val="Char0"/>
    <w:uiPriority w:val="99"/>
    <w:semiHidden/>
    <w:unhideWhenUsed/>
    <w:rsid w:val="00114C70"/>
    <w:pPr>
      <w:jc w:val="left"/>
    </w:pPr>
  </w:style>
  <w:style w:type="character" w:customStyle="1" w:styleId="Char0">
    <w:name w:val="批注文字 Char"/>
    <w:basedOn w:val="a0"/>
    <w:link w:val="a5"/>
    <w:uiPriority w:val="99"/>
    <w:semiHidden/>
    <w:rsid w:val="00114C70"/>
    <w:rPr>
      <w:rFonts w:ascii="Times New Roman" w:eastAsia="宋体" w:hAnsi="Times New Roman" w:cs="Times New Roman"/>
      <w:szCs w:val="24"/>
    </w:rPr>
  </w:style>
  <w:style w:type="paragraph" w:styleId="a6">
    <w:name w:val="annotation subject"/>
    <w:basedOn w:val="a5"/>
    <w:next w:val="a5"/>
    <w:link w:val="Char1"/>
    <w:uiPriority w:val="99"/>
    <w:semiHidden/>
    <w:unhideWhenUsed/>
    <w:rsid w:val="00114C70"/>
    <w:rPr>
      <w:b/>
      <w:bCs/>
    </w:rPr>
  </w:style>
  <w:style w:type="character" w:customStyle="1" w:styleId="Char1">
    <w:name w:val="批注主题 Char"/>
    <w:basedOn w:val="Char0"/>
    <w:link w:val="a6"/>
    <w:uiPriority w:val="99"/>
    <w:semiHidden/>
    <w:rsid w:val="00114C70"/>
    <w:rPr>
      <w:rFonts w:ascii="Times New Roman" w:eastAsia="宋体" w:hAnsi="Times New Roman" w:cs="Times New Roman"/>
      <w:b/>
      <w:bCs/>
      <w:szCs w:val="24"/>
    </w:rPr>
  </w:style>
  <w:style w:type="paragraph" w:styleId="a7">
    <w:name w:val="header"/>
    <w:basedOn w:val="a"/>
    <w:link w:val="Char2"/>
    <w:uiPriority w:val="99"/>
    <w:unhideWhenUsed/>
    <w:rsid w:val="005766B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766BA"/>
    <w:rPr>
      <w:rFonts w:ascii="Times New Roman" w:eastAsia="宋体" w:hAnsi="Times New Roman" w:cs="Times New Roman"/>
      <w:sz w:val="18"/>
      <w:szCs w:val="18"/>
    </w:rPr>
  </w:style>
  <w:style w:type="paragraph" w:styleId="a8">
    <w:name w:val="footer"/>
    <w:basedOn w:val="a"/>
    <w:link w:val="Char3"/>
    <w:uiPriority w:val="99"/>
    <w:unhideWhenUsed/>
    <w:rsid w:val="005766BA"/>
    <w:pPr>
      <w:tabs>
        <w:tab w:val="center" w:pos="4153"/>
        <w:tab w:val="right" w:pos="8306"/>
      </w:tabs>
      <w:snapToGrid w:val="0"/>
      <w:jc w:val="left"/>
    </w:pPr>
    <w:rPr>
      <w:sz w:val="18"/>
      <w:szCs w:val="18"/>
    </w:rPr>
  </w:style>
  <w:style w:type="character" w:customStyle="1" w:styleId="Char3">
    <w:name w:val="页脚 Char"/>
    <w:basedOn w:val="a0"/>
    <w:link w:val="a8"/>
    <w:uiPriority w:val="99"/>
    <w:rsid w:val="005766BA"/>
    <w:rPr>
      <w:rFonts w:ascii="Times New Roman" w:eastAsia="宋体" w:hAnsi="Times New Roman" w:cs="Times New Roman"/>
      <w:sz w:val="18"/>
      <w:szCs w:val="18"/>
    </w:rPr>
  </w:style>
  <w:style w:type="paragraph" w:styleId="a9">
    <w:name w:val="Document Map"/>
    <w:basedOn w:val="a"/>
    <w:link w:val="Char4"/>
    <w:uiPriority w:val="99"/>
    <w:semiHidden/>
    <w:unhideWhenUsed/>
    <w:rsid w:val="004A7BCA"/>
    <w:rPr>
      <w:rFonts w:ascii="宋体"/>
      <w:sz w:val="18"/>
      <w:szCs w:val="18"/>
    </w:rPr>
  </w:style>
  <w:style w:type="character" w:customStyle="1" w:styleId="Char4">
    <w:name w:val="文档结构图 Char"/>
    <w:basedOn w:val="a0"/>
    <w:link w:val="a9"/>
    <w:uiPriority w:val="99"/>
    <w:semiHidden/>
    <w:rsid w:val="004A7BCA"/>
    <w:rPr>
      <w:rFonts w:ascii="宋体" w:eastAsia="宋体" w:hAnsi="Times New Roman" w:cs="Times New Roman"/>
      <w:sz w:val="18"/>
      <w:szCs w:val="18"/>
    </w:rPr>
  </w:style>
  <w:style w:type="character" w:customStyle="1" w:styleId="3Char">
    <w:name w:val="标题 3 Char"/>
    <w:basedOn w:val="a0"/>
    <w:link w:val="3"/>
    <w:uiPriority w:val="9"/>
    <w:rsid w:val="00FA0234"/>
    <w:rPr>
      <w:rFonts w:ascii="宋体" w:eastAsia="宋体" w:hAnsi="宋体" w:cs="宋体"/>
      <w:b/>
      <w:bCs/>
      <w:kern w:val="0"/>
      <w:sz w:val="27"/>
      <w:szCs w:val="27"/>
    </w:rPr>
  </w:style>
  <w:style w:type="character" w:styleId="aa">
    <w:name w:val="Strong"/>
    <w:basedOn w:val="a0"/>
    <w:uiPriority w:val="22"/>
    <w:qFormat/>
    <w:rsid w:val="00FA0234"/>
    <w:rPr>
      <w:b/>
      <w:bCs/>
    </w:rPr>
  </w:style>
  <w:style w:type="paragraph" w:styleId="ab">
    <w:name w:val="Normal (Web)"/>
    <w:basedOn w:val="a"/>
    <w:uiPriority w:val="99"/>
    <w:semiHidden/>
    <w:unhideWhenUsed/>
    <w:rsid w:val="00FA0234"/>
    <w:pPr>
      <w:widowControl/>
      <w:spacing w:before="100" w:beforeAutospacing="1" w:after="100" w:afterAutospacing="1"/>
      <w:jc w:val="left"/>
    </w:pPr>
    <w:rPr>
      <w:rFonts w:ascii="宋体" w:hAnsi="宋体" w:cs="宋体"/>
      <w:kern w:val="0"/>
      <w:sz w:val="24"/>
    </w:rPr>
  </w:style>
  <w:style w:type="character" w:styleId="ac">
    <w:name w:val="Hyperlink"/>
    <w:basedOn w:val="a0"/>
    <w:uiPriority w:val="99"/>
    <w:semiHidden/>
    <w:unhideWhenUsed/>
    <w:rsid w:val="00FA0234"/>
    <w:rPr>
      <w:color w:val="0000FF"/>
      <w:u w:val="single"/>
    </w:rPr>
  </w:style>
  <w:style w:type="character" w:customStyle="1" w:styleId="apple-converted-space">
    <w:name w:val="apple-converted-space"/>
    <w:basedOn w:val="a0"/>
    <w:rsid w:val="00FA0234"/>
  </w:style>
</w:styles>
</file>

<file path=word/webSettings.xml><?xml version="1.0" encoding="utf-8"?>
<w:webSettings xmlns:r="http://schemas.openxmlformats.org/officeDocument/2006/relationships" xmlns:w="http://schemas.openxmlformats.org/wordprocessingml/2006/main">
  <w:divs>
    <w:div w:id="1549994912">
      <w:bodyDiv w:val="1"/>
      <w:marLeft w:val="0"/>
      <w:marRight w:val="0"/>
      <w:marTop w:val="0"/>
      <w:marBottom w:val="0"/>
      <w:divBdr>
        <w:top w:val="none" w:sz="0" w:space="0" w:color="auto"/>
        <w:left w:val="none" w:sz="0" w:space="0" w:color="auto"/>
        <w:bottom w:val="none" w:sz="0" w:space="0" w:color="auto"/>
        <w:right w:val="none" w:sz="0" w:space="0" w:color="auto"/>
      </w:divBdr>
      <w:divsChild>
        <w:div w:id="1254243299">
          <w:marLeft w:val="0"/>
          <w:marRight w:val="0"/>
          <w:marTop w:val="0"/>
          <w:marBottom w:val="150"/>
          <w:divBdr>
            <w:top w:val="none" w:sz="0" w:space="0" w:color="auto"/>
            <w:left w:val="none" w:sz="0" w:space="0" w:color="auto"/>
            <w:bottom w:val="none" w:sz="0" w:space="0" w:color="auto"/>
            <w:right w:val="none" w:sz="0" w:space="0" w:color="auto"/>
          </w:divBdr>
        </w:div>
        <w:div w:id="1111783211">
          <w:marLeft w:val="0"/>
          <w:marRight w:val="0"/>
          <w:marTop w:val="0"/>
          <w:marBottom w:val="0"/>
          <w:divBdr>
            <w:top w:val="none" w:sz="0" w:space="0" w:color="auto"/>
            <w:left w:val="none" w:sz="0" w:space="0" w:color="auto"/>
            <w:bottom w:val="none" w:sz="0" w:space="0" w:color="auto"/>
            <w:right w:val="none" w:sz="0" w:space="0" w:color="auto"/>
          </w:divBdr>
          <w:divsChild>
            <w:div w:id="1700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CCB7-469C-4FF9-B71F-7B86C4D0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1258</Characters>
  <Application>Microsoft Office Word</Application>
  <DocSecurity>4</DocSecurity>
  <Lines>10</Lines>
  <Paragraphs>2</Paragraphs>
  <ScaleCrop>false</ScaleCrop>
  <Company>Organization Name</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0810ludy</dc:creator>
  <cp:keywords/>
  <dc:description/>
  <cp:lastModifiedBy>ZHONGM</cp:lastModifiedBy>
  <cp:revision>2</cp:revision>
  <cp:lastPrinted>2020-10-14T01:27:00Z</cp:lastPrinted>
  <dcterms:created xsi:type="dcterms:W3CDTF">2020-10-14T16:01:00Z</dcterms:created>
  <dcterms:modified xsi:type="dcterms:W3CDTF">2020-10-14T16:01:00Z</dcterms:modified>
</cp:coreProperties>
</file>