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BDC" w:rsidRDefault="007815C8">
      <w:pPr>
        <w:spacing w:line="225" w:lineRule="atLeast"/>
        <w:jc w:val="center"/>
        <w:rPr>
          <w:rFonts w:ascii="宋体" w:eastAsia="宋体" w:hAnsi="宋体" w:cs="Times New Roman"/>
          <w:b/>
          <w:bCs/>
          <w:sz w:val="28"/>
          <w:szCs w:val="28"/>
        </w:rPr>
      </w:pPr>
      <w:r>
        <w:rPr>
          <w:rFonts w:ascii="宋体" w:eastAsia="宋体" w:hAnsi="宋体" w:cs="Times New Roman" w:hint="eastAsia"/>
          <w:b/>
          <w:bCs/>
          <w:sz w:val="28"/>
          <w:szCs w:val="28"/>
        </w:rPr>
        <w:t>鹏华基金</w:t>
      </w:r>
      <w:r>
        <w:rPr>
          <w:rFonts w:ascii="宋体" w:eastAsia="宋体" w:hAnsi="宋体" w:cs="Times New Roman"/>
          <w:b/>
          <w:bCs/>
          <w:sz w:val="28"/>
          <w:szCs w:val="28"/>
        </w:rPr>
        <w:t>管理有限公司</w:t>
      </w:r>
      <w:r w:rsidR="001C2D77">
        <w:rPr>
          <w:rFonts w:ascii="宋体" w:eastAsia="宋体" w:hAnsi="宋体" w:cs="Times New Roman" w:hint="eastAsia"/>
          <w:b/>
          <w:bCs/>
          <w:sz w:val="28"/>
          <w:szCs w:val="28"/>
        </w:rPr>
        <w:t>关于调整旗下部分基金投资范围并相应修改法律文件的公告</w:t>
      </w:r>
    </w:p>
    <w:p w:rsidR="00384BDC" w:rsidRDefault="00384BDC">
      <w:pPr>
        <w:adjustRightInd w:val="0"/>
        <w:spacing w:line="360" w:lineRule="auto"/>
        <w:ind w:firstLineChars="200" w:firstLine="480"/>
        <w:rPr>
          <w:rFonts w:ascii="Arial" w:eastAsia="宋体" w:hAnsi="Arial" w:cs="Arial"/>
          <w:sz w:val="24"/>
          <w:szCs w:val="20"/>
        </w:rPr>
      </w:pPr>
    </w:p>
    <w:p w:rsidR="00384BDC" w:rsidRDefault="001C2D77">
      <w:pPr>
        <w:adjustRightInd w:val="0"/>
        <w:spacing w:line="360" w:lineRule="auto"/>
        <w:ind w:firstLineChars="200" w:firstLine="480"/>
        <w:rPr>
          <w:rFonts w:ascii="Arial" w:eastAsia="宋体" w:hAnsi="Arial" w:cs="Arial"/>
          <w:sz w:val="24"/>
          <w:szCs w:val="20"/>
        </w:rPr>
      </w:pPr>
      <w:r>
        <w:rPr>
          <w:rFonts w:ascii="Arial" w:eastAsia="宋体" w:hAnsi="Arial" w:cs="Arial" w:hint="eastAsia"/>
          <w:sz w:val="24"/>
          <w:szCs w:val="20"/>
        </w:rPr>
        <w:t>为</w:t>
      </w:r>
      <w:r w:rsidR="007815C8">
        <w:rPr>
          <w:rFonts w:ascii="Arial" w:eastAsia="宋体" w:hAnsi="Arial" w:cs="Arial" w:hint="eastAsia"/>
          <w:sz w:val="24"/>
          <w:szCs w:val="20"/>
        </w:rPr>
        <w:t>更好地</w:t>
      </w:r>
      <w:r>
        <w:rPr>
          <w:rFonts w:ascii="Arial" w:eastAsia="宋体" w:hAnsi="Arial" w:cs="Arial" w:hint="eastAsia"/>
          <w:sz w:val="24"/>
          <w:szCs w:val="20"/>
        </w:rPr>
        <w:t>满足投资者需求，</w:t>
      </w:r>
      <w:r w:rsidR="007815C8">
        <w:rPr>
          <w:rFonts w:ascii="Arial" w:eastAsia="宋体" w:hAnsi="Arial" w:cs="Arial" w:hint="eastAsia"/>
          <w:sz w:val="24"/>
          <w:szCs w:val="20"/>
        </w:rPr>
        <w:t>鹏华基金</w:t>
      </w:r>
      <w:r w:rsidR="007815C8">
        <w:rPr>
          <w:rFonts w:ascii="Arial" w:eastAsia="宋体" w:hAnsi="Arial" w:cs="Arial"/>
          <w:sz w:val="24"/>
          <w:szCs w:val="20"/>
        </w:rPr>
        <w:t>管理有限公司</w:t>
      </w:r>
      <w:r>
        <w:rPr>
          <w:rFonts w:ascii="Arial" w:eastAsia="宋体" w:hAnsi="Arial" w:cs="Arial" w:hint="eastAsia"/>
          <w:sz w:val="24"/>
          <w:szCs w:val="20"/>
        </w:rPr>
        <w:t>(</w:t>
      </w:r>
      <w:r>
        <w:rPr>
          <w:rFonts w:ascii="Arial" w:eastAsia="宋体" w:hAnsi="Arial" w:cs="Arial" w:hint="eastAsia"/>
          <w:sz w:val="24"/>
          <w:szCs w:val="20"/>
        </w:rPr>
        <w:t>以下简称“本公司”</w:t>
      </w:r>
      <w:r>
        <w:rPr>
          <w:rFonts w:ascii="Arial" w:eastAsia="宋体" w:hAnsi="Arial" w:cs="Arial" w:hint="eastAsia"/>
          <w:sz w:val="24"/>
          <w:szCs w:val="20"/>
        </w:rPr>
        <w:t>)</w:t>
      </w:r>
      <w:r>
        <w:rPr>
          <w:rFonts w:ascii="Arial" w:eastAsia="宋体" w:hAnsi="Arial" w:cs="Arial" w:hint="eastAsia"/>
          <w:sz w:val="24"/>
          <w:szCs w:val="20"/>
        </w:rPr>
        <w:t>决定根据《中华人民共和国证券投资基金法》、《公开募集证券投资基金运作管理办法》、《存托凭证发行与交易管理办法</w:t>
      </w:r>
      <w:r w:rsidR="00C14358">
        <w:rPr>
          <w:rFonts w:ascii="Arial" w:eastAsia="宋体" w:hAnsi="Arial" w:cs="Arial" w:hint="eastAsia"/>
          <w:sz w:val="24"/>
          <w:szCs w:val="20"/>
        </w:rPr>
        <w:t>（试行）</w:t>
      </w:r>
      <w:r>
        <w:rPr>
          <w:rFonts w:ascii="Arial" w:eastAsia="宋体" w:hAnsi="Arial" w:cs="Arial" w:hint="eastAsia"/>
          <w:sz w:val="24"/>
          <w:szCs w:val="20"/>
        </w:rPr>
        <w:t>》、旗下部分基金的《基金合同》以及中国证监会的最新规定，在</w:t>
      </w:r>
      <w:r w:rsidR="00972659" w:rsidRPr="00972659">
        <w:rPr>
          <w:rFonts w:ascii="Arial" w:eastAsia="宋体" w:hAnsi="Arial" w:cs="Arial" w:hint="eastAsia"/>
          <w:sz w:val="24"/>
          <w:szCs w:val="20"/>
        </w:rPr>
        <w:t>旗下部分基金</w:t>
      </w:r>
      <w:r w:rsidR="00972659">
        <w:rPr>
          <w:rFonts w:ascii="Arial" w:eastAsia="宋体" w:hAnsi="Arial" w:cs="Arial" w:hint="eastAsia"/>
          <w:sz w:val="24"/>
          <w:szCs w:val="20"/>
        </w:rPr>
        <w:t>的</w:t>
      </w:r>
      <w:r>
        <w:rPr>
          <w:rFonts w:ascii="Arial" w:eastAsia="宋体" w:hAnsi="Arial" w:cs="Arial" w:hint="eastAsia"/>
          <w:sz w:val="24"/>
          <w:szCs w:val="20"/>
        </w:rPr>
        <w:t>投资范围中新增存托凭证并对《基金合同》和《托管协议》的相应条款进行修改。</w:t>
      </w:r>
    </w:p>
    <w:p w:rsidR="00384BDC" w:rsidRDefault="001C2D77">
      <w:pPr>
        <w:adjustRightInd w:val="0"/>
        <w:spacing w:line="360" w:lineRule="auto"/>
        <w:ind w:firstLineChars="200" w:firstLine="480"/>
        <w:rPr>
          <w:rFonts w:ascii="Arial" w:eastAsia="宋体" w:hAnsi="Arial" w:cs="Arial"/>
          <w:sz w:val="24"/>
          <w:szCs w:val="20"/>
        </w:rPr>
      </w:pPr>
      <w:r>
        <w:rPr>
          <w:rFonts w:ascii="Arial" w:eastAsia="宋体" w:hAnsi="Arial" w:cs="Arial" w:hint="eastAsia"/>
          <w:sz w:val="24"/>
          <w:szCs w:val="20"/>
        </w:rPr>
        <w:t>此次拟进行修改的基金共</w:t>
      </w:r>
      <w:r w:rsidR="00206308">
        <w:rPr>
          <w:rFonts w:ascii="Arial" w:eastAsia="宋体" w:hAnsi="Arial" w:cs="Arial"/>
          <w:sz w:val="24"/>
          <w:szCs w:val="20"/>
        </w:rPr>
        <w:t>94</w:t>
      </w:r>
      <w:r>
        <w:rPr>
          <w:rFonts w:ascii="Arial" w:eastAsia="宋体" w:hAnsi="Arial" w:cs="Arial" w:hint="eastAsia"/>
          <w:sz w:val="24"/>
          <w:szCs w:val="20"/>
        </w:rPr>
        <w:t>只，列表如下：</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4534"/>
        <w:gridCol w:w="3099"/>
      </w:tblGrid>
      <w:tr w:rsidR="00193266" w:rsidTr="009E2E7C">
        <w:trPr>
          <w:trHeight w:val="300"/>
        </w:trPr>
        <w:tc>
          <w:tcPr>
            <w:tcW w:w="746" w:type="dxa"/>
            <w:shd w:val="clear" w:color="auto" w:fill="auto"/>
            <w:noWrap/>
            <w:vAlign w:val="center"/>
          </w:tcPr>
          <w:p w:rsidR="00193266" w:rsidRPr="001553B1" w:rsidRDefault="00193266" w:rsidP="007815C8">
            <w:pPr>
              <w:widowControl/>
              <w:jc w:val="center"/>
              <w:rPr>
                <w:rFonts w:ascii="宋体" w:eastAsia="宋体" w:hAnsi="宋体" w:cs="宋体"/>
                <w:b/>
                <w:bCs/>
                <w:color w:val="000000"/>
                <w:kern w:val="0"/>
                <w:szCs w:val="21"/>
              </w:rPr>
            </w:pPr>
            <w:r w:rsidRPr="001553B1">
              <w:rPr>
                <w:rFonts w:ascii="宋体" w:eastAsia="宋体" w:hAnsi="宋体" w:cs="宋体" w:hint="eastAsia"/>
                <w:b/>
                <w:bCs/>
                <w:color w:val="000000"/>
                <w:kern w:val="0"/>
                <w:szCs w:val="21"/>
              </w:rPr>
              <w:t>序号</w:t>
            </w:r>
          </w:p>
        </w:tc>
        <w:tc>
          <w:tcPr>
            <w:tcW w:w="4534" w:type="dxa"/>
            <w:shd w:val="clear" w:color="auto" w:fill="auto"/>
            <w:noWrap/>
            <w:vAlign w:val="center"/>
          </w:tcPr>
          <w:p w:rsidR="00193266" w:rsidRDefault="00193266" w:rsidP="009E2E7C">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基金全称</w:t>
            </w:r>
          </w:p>
        </w:tc>
        <w:tc>
          <w:tcPr>
            <w:tcW w:w="3099" w:type="dxa"/>
            <w:shd w:val="clear" w:color="auto" w:fill="auto"/>
            <w:noWrap/>
            <w:vAlign w:val="center"/>
          </w:tcPr>
          <w:p w:rsidR="00193266" w:rsidRDefault="00193266" w:rsidP="009E2E7C">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托管人</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1</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鹏华研究精选灵活配置混合型证券投资基金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中国建设银行股份有限公司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2</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鹏华创新驱动混合型证券投资基金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招商银行股份有限公司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3</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鹏华新兴产业混合型证券投资基金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招商银行股份有限公司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4</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鹏华文化传媒娱乐股票型证券投资基金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中国建设银行股份有限公司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5</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鹏华研究智选混合型证券投资基金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中国工商银行股份有限公司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6</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鹏华研究驱动混合型证券投资基金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7</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鹏华价值驱动混合型证券投资基金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中国工商银行股份有限公司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8</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鹏华科技创新混合型证券投资基金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中国建设银行股份有限公司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9</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鹏华新兴成长混合型证券投资基金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招商银行股份有限公司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10</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鹏华鑫享稳健混合型证券投资基金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中信建投证券股份有限公司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11</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鹏华弘嘉灵活配置混合型证券投资基金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招商银行股份有限公司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12</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鹏华弘尚灵活配置混合型证券投资基金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招商银行股份有限公司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13</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鹏华弘泽灵活配置混合型证券投资基金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招商银行股份有限公司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14</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鹏华弘和灵活配置混合型证券投资基金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中国建设银行股份有限公司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15</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鹏华弘华灵活配置混合型证券投资基金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中国建设银行股份有限公司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16</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鹏华弘信灵活配置混合型证券投资基金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中国建设银行股份有限公司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17</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鹏华前海万科</w:t>
            </w:r>
            <w:r w:rsidRPr="00620F01">
              <w:rPr>
                <w:rFonts w:hint="eastAsia"/>
              </w:rPr>
              <w:t>REITs</w:t>
            </w:r>
            <w:r w:rsidRPr="00620F01">
              <w:rPr>
                <w:rFonts w:hint="eastAsia"/>
              </w:rPr>
              <w:t>封闭式混合型发起式证券投资基金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上海浦东发展银行股份有限公司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18</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鹏华弘达灵活配置混合型证券投资基金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交通银行股份有限公司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19</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鹏华弘惠灵活配置混合型证券投资基金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平安银行股份有限公司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20</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鹏华兴泰定期开放灵活配置混合型证券投资基金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中国建设银行股份有限公司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21</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鹏华兴悦定期开放灵活配置混合型证券投资基金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招商银行股份有限公司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22</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鹏华睿投灵活配置混合型证券投资基金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招商银行股份有限公司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23</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鹏华兴合定期开放灵活配置混合型证券投资基金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招商银行股份有限公司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24</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鹏华弘实灵活配置混合型证券投资基金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中国建设银行股份有限公司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lastRenderedPageBreak/>
              <w:t>25</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鹏华弘益灵活配置混合型证券投资基金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26</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鹏华兴润定期开放灵活配置混合型证券投资基金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招商银行股份有限公司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27</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鹏华兴安定期开放灵活配置混合型证券投资基金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平安银行股份有限公司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28</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鹏华兴惠定期开放灵活配置混合型证券投资基金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兴业银行股份有限公司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29</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鹏华尊惠</w:t>
            </w:r>
            <w:r w:rsidRPr="00620F01">
              <w:rPr>
                <w:rFonts w:hint="eastAsia"/>
              </w:rPr>
              <w:t>18</w:t>
            </w:r>
            <w:r w:rsidRPr="00620F01">
              <w:rPr>
                <w:rFonts w:hint="eastAsia"/>
              </w:rPr>
              <w:t>个月定期开放混合型证券投资基金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招商银行股份有限公司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30</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鹏华弘利灵活配置混合型证券投资基金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中国建设银行股份有限公司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31</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鹏华弘润灵活配置混合型证券投资基金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中国建设银行股份有限公司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32</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鹏华兴利混合型证券投资基金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南京银行股份有限公司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33</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鹏华弘安灵活配置混合型证券投资基金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平安银行股份有限公司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34</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鹏华金鼎灵活配置混合型证券投资基金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中国工商银行股份有限公司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35</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鹏华科创主题</w:t>
            </w:r>
            <w:r w:rsidRPr="00620F01">
              <w:rPr>
                <w:rFonts w:hint="eastAsia"/>
              </w:rPr>
              <w:t>3</w:t>
            </w:r>
            <w:r w:rsidRPr="00620F01">
              <w:rPr>
                <w:rFonts w:hint="eastAsia"/>
              </w:rPr>
              <w:t>年封闭运作灵活配置混合型证券投资基金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中国工商银行股份有限公司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36</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鹏华金享混合型证券投资基金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中国国际金融股份有限公司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37</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鹏华安和混合型证券投资基金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中国工商银行股份有限公司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38</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鹏华安庆混合型证券投资基金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中国民生银行股份有限公司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39</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鹏华策略优选灵活配置混合型证券投资基金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中国工商银行股份有限公司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40</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鹏华精选成长混合型证券投资基金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中国建设银行股份有限公司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41</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鹏华价值优势混合型证券投资基金</w:t>
            </w:r>
            <w:r w:rsidRPr="00620F01">
              <w:rPr>
                <w:rFonts w:hint="eastAsia"/>
              </w:rPr>
              <w:t>(LOF)</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中国建设银行股份有限公司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42</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鹏华核心优势混合型证券投资基金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中国建设银行股份有限公司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43</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鹏华增瑞灵活配置混合型证券投资基金</w:t>
            </w:r>
            <w:r w:rsidRPr="00620F01">
              <w:rPr>
                <w:rFonts w:hint="eastAsia"/>
              </w:rPr>
              <w:t>(LOF)</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中国工商银行股份有限公司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44</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鹏华盛世创新混合型证券投资基金</w:t>
            </w:r>
            <w:r w:rsidRPr="00620F01">
              <w:rPr>
                <w:rFonts w:hint="eastAsia"/>
              </w:rPr>
              <w:t>(LOF)</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中国建设银行股份有限公司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45</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鹏华改革红利股票型证券投资基金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中国工商银行股份有限公司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46</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鹏华稳健回报混合型证券投资基金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招商银行股份有限公司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47</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鹏华股息精选混合型证券投资基金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中国工商银行股份有限公司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48</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鹏华优质企业混合型证券投资基金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交通银行股份有限公司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49</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鹏华启航两年封闭运作混合型证券投资基金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招商银行股份有限公司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50</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鹏华环保产业股票型证券投资基金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中国建设银行股份有限公司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51</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鹏华价值精选股票型证券投资基金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中国建设银行股份有限公司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52</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鹏华精选回报三年定期开放混合型证券投资基金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中国建设银行股份有限公司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53</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鹏华产业精选灵活配置混合型证券投资基金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中国工商银行股份有限公司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54</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鹏华中国</w:t>
            </w:r>
            <w:r w:rsidRPr="00620F01">
              <w:rPr>
                <w:rFonts w:hint="eastAsia"/>
              </w:rPr>
              <w:t>50</w:t>
            </w:r>
            <w:r w:rsidRPr="00620F01">
              <w:rPr>
                <w:rFonts w:hint="eastAsia"/>
              </w:rPr>
              <w:t>开放式证券投资基金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交通银行股份有限公司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55</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鹏华消费优选混合型证券投资基金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中国工商银行股份有限公司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56</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鹏华养老产业股票型证券投资基金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中国工商银行股份有限公司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57</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鹏华策略回报灵活配置混合型证券投资基金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中国工商银行股份有限公司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58</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鹏华医疗保健股票型证券投资基金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中国建设银行股份有限公司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59</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鹏华消费领先灵活配置混合型证券投资基金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交通银行股份有限公司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60</w:t>
            </w:r>
          </w:p>
        </w:tc>
        <w:tc>
          <w:tcPr>
            <w:tcW w:w="4534" w:type="dxa"/>
            <w:shd w:val="clear" w:color="auto" w:fill="auto"/>
            <w:noWrap/>
          </w:tcPr>
          <w:p w:rsidR="00206308" w:rsidRDefault="00AC2676" w:rsidP="00206308">
            <w:pPr>
              <w:widowControl/>
              <w:jc w:val="left"/>
              <w:rPr>
                <w:rFonts w:ascii="宋体" w:eastAsia="宋体" w:hAnsi="宋体" w:cs="宋体"/>
                <w:color w:val="000000"/>
                <w:kern w:val="0"/>
                <w:szCs w:val="21"/>
              </w:rPr>
            </w:pPr>
            <w:r w:rsidRPr="00AC2676">
              <w:rPr>
                <w:rFonts w:hint="eastAsia"/>
              </w:rPr>
              <w:t>鹏华普天系列开放式证券投资基金（普天收益证券投资基金）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交通银行股份有限公司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61</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鹏华健康环保灵活配置混合型证券投资基金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中国工商银行股份有限公司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lastRenderedPageBreak/>
              <w:t>62</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鹏华优势企业股票型证券投资基金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63</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鹏华优质治理混合型证券投资基金</w:t>
            </w:r>
            <w:r w:rsidRPr="00620F01">
              <w:rPr>
                <w:rFonts w:hint="eastAsia"/>
              </w:rPr>
              <w:t>(LOF)</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中国工商银行股份有限公司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64</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鹏华外延成长灵活配置混合型证券投资基金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中国建设银行股份有限公司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65</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鹏华优质回报两年定期开放混合型证券投资基金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中国工商银行股份有限公司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66</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鹏华价值成长混合型证券投资基金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招商银行股份有限公司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67</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鹏华价值共赢两年持有期混合型证券投资基金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68</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鹏华成长价值混合型证券投资基金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中国建设银行股份有限公司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69</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鹏华优选回报灵活配置混合型证券投资基金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中国工商银行股份有限公司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70</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鹏华匠心精选混合型证券投资基金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71</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鹏华沪深</w:t>
            </w:r>
            <w:r w:rsidRPr="00620F01">
              <w:rPr>
                <w:rFonts w:hint="eastAsia"/>
              </w:rPr>
              <w:t>300</w:t>
            </w:r>
            <w:r w:rsidRPr="00620F01">
              <w:rPr>
                <w:rFonts w:hint="eastAsia"/>
              </w:rPr>
              <w:t>指数证券投资基金</w:t>
            </w:r>
            <w:r w:rsidRPr="00620F01">
              <w:rPr>
                <w:rFonts w:hint="eastAsia"/>
              </w:rPr>
              <w:t>(LOF)</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中国工商银行股份有限公司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72</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鹏华中证</w:t>
            </w:r>
            <w:r w:rsidRPr="00620F01">
              <w:rPr>
                <w:rFonts w:hint="eastAsia"/>
              </w:rPr>
              <w:t>500</w:t>
            </w:r>
            <w:r w:rsidRPr="00620F01">
              <w:rPr>
                <w:rFonts w:hint="eastAsia"/>
              </w:rPr>
              <w:t>指数证券投资基金</w:t>
            </w:r>
            <w:r w:rsidRPr="00620F01">
              <w:rPr>
                <w:rFonts w:hint="eastAsia"/>
              </w:rPr>
              <w:t>(LOF)</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中国工商银行股份有限公司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73</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鹏华中证医药卫生指数证券投资基金</w:t>
            </w:r>
            <w:r w:rsidRPr="00620F01">
              <w:rPr>
                <w:rFonts w:hint="eastAsia"/>
              </w:rPr>
              <w:t>(LOF)</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中国建设银行股份有限公司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74</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鹏华量化先锋混合型证券投资基金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中国建设银行股份有限公司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75</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鹏华中证空天一体军工指数证券投资基金</w:t>
            </w:r>
            <w:r w:rsidRPr="00620F01">
              <w:rPr>
                <w:rFonts w:hint="eastAsia"/>
              </w:rPr>
              <w:t>(LOF)</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中国工商银行股份有限公司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76</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鹏华中证酒交易型开放式指数证券投资基金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中国建设银行股份有限公司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77</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鹏华中证</w:t>
            </w:r>
            <w:r w:rsidRPr="00620F01">
              <w:rPr>
                <w:rFonts w:hint="eastAsia"/>
              </w:rPr>
              <w:t>800</w:t>
            </w:r>
            <w:r w:rsidRPr="00620F01">
              <w:rPr>
                <w:rFonts w:hint="eastAsia"/>
              </w:rPr>
              <w:t>证券保险交易型开放式指数证券投资基金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中国建设银行股份有限公司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78</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鹏华中证传媒交易型开放式指数证券投资基金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中国建设银行股份有限公司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79</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鹏华中证</w:t>
            </w:r>
            <w:r w:rsidRPr="00620F01">
              <w:rPr>
                <w:rFonts w:hint="eastAsia"/>
              </w:rPr>
              <w:t>500</w:t>
            </w:r>
            <w:r w:rsidRPr="00620F01">
              <w:rPr>
                <w:rFonts w:hint="eastAsia"/>
              </w:rPr>
              <w:t>交易型开放式指数证券投资基金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中国工商银行股份有限公司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80</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鹏华国证证券龙头交易型开放式指数证券投资基金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中信证券股份有限公司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81</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鹏华中证高股息龙头交易型开放式指数证券投资基金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中信证券股份有限公司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82</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鹏华中证银行交易型开放式指数证券投资基金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中国建设银行股份有限公司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83</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鹏华沪深</w:t>
            </w:r>
            <w:r w:rsidRPr="00620F01">
              <w:rPr>
                <w:rFonts w:hint="eastAsia"/>
              </w:rPr>
              <w:t>300</w:t>
            </w:r>
            <w:r w:rsidRPr="00620F01">
              <w:rPr>
                <w:rFonts w:hint="eastAsia"/>
              </w:rPr>
              <w:t>指数增强型证券投资基金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招商银行股份有限公司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84</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鹏华沪深港新兴成长灵活配置混合型证券投资基金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中国建设银行股份有限公司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85</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鹏华弘盛灵活配置混合型证券投资基金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招商银行股份有限公司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86</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鹏华金城灵活配置混合型证券投资基金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87</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鹏华安益增强混合型证券投资基金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中国工商银行股份有限公司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88</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鹏华安泽混合型证券投资基金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中国建设银行股份有限公司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89</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鹏华安惠混合型证券投资基金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中国工商银行股份有限公司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90</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鹏华招华一年持有期混合型证券投资基金</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招商银行股份有限公司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91</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鹏华养老目标日期</w:t>
            </w:r>
            <w:r w:rsidRPr="00620F01">
              <w:rPr>
                <w:rFonts w:hint="eastAsia"/>
              </w:rPr>
              <w:t>2045</w:t>
            </w:r>
            <w:r w:rsidRPr="00620F01">
              <w:rPr>
                <w:rFonts w:hint="eastAsia"/>
              </w:rPr>
              <w:t>三年持有期混合型发起式基金中基金</w:t>
            </w:r>
            <w:r w:rsidRPr="00620F01">
              <w:rPr>
                <w:rFonts w:hint="eastAsia"/>
              </w:rPr>
              <w:t>(FOF)</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中国银行股份有限公司</w:t>
            </w:r>
          </w:p>
        </w:tc>
      </w:tr>
      <w:tr w:rsidR="00206308" w:rsidTr="009E2E7C">
        <w:trPr>
          <w:trHeight w:val="300"/>
        </w:trPr>
        <w:tc>
          <w:tcPr>
            <w:tcW w:w="746" w:type="dxa"/>
            <w:shd w:val="clear" w:color="auto" w:fill="auto"/>
            <w:noWrap/>
          </w:tcPr>
          <w:p w:rsidR="00206308" w:rsidRDefault="00206308" w:rsidP="00206308">
            <w:pPr>
              <w:widowControl/>
              <w:jc w:val="center"/>
              <w:rPr>
                <w:rFonts w:ascii="Arial" w:eastAsia="宋体" w:hAnsi="Arial" w:cs="Arial"/>
                <w:color w:val="000000"/>
                <w:kern w:val="0"/>
                <w:szCs w:val="21"/>
              </w:rPr>
            </w:pPr>
            <w:r w:rsidRPr="004D123D">
              <w:rPr>
                <w:rFonts w:hint="eastAsia"/>
              </w:rPr>
              <w:t>92</w:t>
            </w:r>
          </w:p>
        </w:tc>
        <w:tc>
          <w:tcPr>
            <w:tcW w:w="4534"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鹏华养老目标日期</w:t>
            </w:r>
            <w:r w:rsidRPr="00620F01">
              <w:rPr>
                <w:rFonts w:hint="eastAsia"/>
              </w:rPr>
              <w:t>2035</w:t>
            </w:r>
            <w:r w:rsidRPr="00620F01">
              <w:rPr>
                <w:rFonts w:hint="eastAsia"/>
              </w:rPr>
              <w:t>三年持有期混合型基金中基金</w:t>
            </w:r>
            <w:r w:rsidRPr="00620F01">
              <w:rPr>
                <w:rFonts w:hint="eastAsia"/>
              </w:rPr>
              <w:t>(FOF)</w:t>
            </w:r>
          </w:p>
        </w:tc>
        <w:tc>
          <w:tcPr>
            <w:tcW w:w="3099" w:type="dxa"/>
            <w:shd w:val="clear" w:color="auto" w:fill="auto"/>
            <w:noWrap/>
          </w:tcPr>
          <w:p w:rsidR="00206308" w:rsidRDefault="00206308" w:rsidP="00206308">
            <w:pPr>
              <w:widowControl/>
              <w:jc w:val="left"/>
              <w:rPr>
                <w:rFonts w:ascii="宋体" w:eastAsia="宋体" w:hAnsi="宋体" w:cs="宋体"/>
                <w:color w:val="000000"/>
                <w:kern w:val="0"/>
                <w:szCs w:val="21"/>
              </w:rPr>
            </w:pPr>
            <w:r w:rsidRPr="00620F01">
              <w:rPr>
                <w:rFonts w:hint="eastAsia"/>
              </w:rPr>
              <w:t>中国建设银行股份有限公司</w:t>
            </w:r>
          </w:p>
        </w:tc>
      </w:tr>
      <w:tr w:rsidR="00206308" w:rsidTr="009E2E7C">
        <w:trPr>
          <w:trHeight w:val="300"/>
        </w:trPr>
        <w:tc>
          <w:tcPr>
            <w:tcW w:w="746" w:type="dxa"/>
            <w:shd w:val="clear" w:color="auto" w:fill="auto"/>
            <w:noWrap/>
          </w:tcPr>
          <w:p w:rsidR="00206308" w:rsidRPr="004D123D" w:rsidRDefault="00206308" w:rsidP="00206308">
            <w:pPr>
              <w:widowControl/>
              <w:jc w:val="center"/>
            </w:pPr>
            <w:r>
              <w:rPr>
                <w:rFonts w:hint="eastAsia"/>
              </w:rPr>
              <w:t>93</w:t>
            </w:r>
          </w:p>
        </w:tc>
        <w:tc>
          <w:tcPr>
            <w:tcW w:w="4534" w:type="dxa"/>
            <w:shd w:val="clear" w:color="auto" w:fill="auto"/>
            <w:noWrap/>
          </w:tcPr>
          <w:p w:rsidR="00206308" w:rsidRPr="002C02BD" w:rsidRDefault="00206308" w:rsidP="00206308">
            <w:pPr>
              <w:widowControl/>
              <w:jc w:val="left"/>
            </w:pPr>
            <w:r w:rsidRPr="00620F01">
              <w:rPr>
                <w:rFonts w:hint="eastAsia"/>
              </w:rPr>
              <w:t>鹏华长乐稳健养老目标一年持有期混合型发起式基金中基金</w:t>
            </w:r>
            <w:r w:rsidRPr="00620F01">
              <w:rPr>
                <w:rFonts w:hint="eastAsia"/>
              </w:rPr>
              <w:t>(FOF)</w:t>
            </w:r>
          </w:p>
        </w:tc>
        <w:tc>
          <w:tcPr>
            <w:tcW w:w="3099" w:type="dxa"/>
            <w:shd w:val="clear" w:color="auto" w:fill="auto"/>
            <w:noWrap/>
          </w:tcPr>
          <w:p w:rsidR="00206308" w:rsidRPr="002C02BD" w:rsidRDefault="00206308" w:rsidP="00206308">
            <w:pPr>
              <w:widowControl/>
              <w:jc w:val="left"/>
            </w:pPr>
            <w:r w:rsidRPr="00620F01">
              <w:rPr>
                <w:rFonts w:hint="eastAsia"/>
              </w:rPr>
              <w:t>中国工商银行股份有限公司</w:t>
            </w:r>
          </w:p>
        </w:tc>
      </w:tr>
      <w:tr w:rsidR="00206308" w:rsidTr="009E2E7C">
        <w:trPr>
          <w:trHeight w:val="300"/>
        </w:trPr>
        <w:tc>
          <w:tcPr>
            <w:tcW w:w="746" w:type="dxa"/>
            <w:shd w:val="clear" w:color="auto" w:fill="auto"/>
            <w:noWrap/>
          </w:tcPr>
          <w:p w:rsidR="00206308" w:rsidRPr="004D123D" w:rsidRDefault="00206308" w:rsidP="00206308">
            <w:pPr>
              <w:widowControl/>
              <w:jc w:val="center"/>
            </w:pPr>
            <w:r>
              <w:rPr>
                <w:rFonts w:hint="eastAsia"/>
              </w:rPr>
              <w:t>94</w:t>
            </w:r>
          </w:p>
        </w:tc>
        <w:tc>
          <w:tcPr>
            <w:tcW w:w="4534" w:type="dxa"/>
            <w:shd w:val="clear" w:color="auto" w:fill="auto"/>
            <w:noWrap/>
          </w:tcPr>
          <w:p w:rsidR="00206308" w:rsidRPr="002C02BD" w:rsidRDefault="00206308" w:rsidP="00206308">
            <w:pPr>
              <w:widowControl/>
              <w:jc w:val="left"/>
            </w:pPr>
            <w:r w:rsidRPr="00620F01">
              <w:rPr>
                <w:rFonts w:hint="eastAsia"/>
              </w:rPr>
              <w:t>鹏华聚合多资产</w:t>
            </w:r>
            <w:r w:rsidRPr="00620F01">
              <w:rPr>
                <w:rFonts w:hint="eastAsia"/>
              </w:rPr>
              <w:t>3</w:t>
            </w:r>
            <w:r w:rsidRPr="00620F01">
              <w:rPr>
                <w:rFonts w:hint="eastAsia"/>
              </w:rPr>
              <w:t>个月持有期混合型基金中基金</w:t>
            </w:r>
            <w:r w:rsidRPr="00620F01">
              <w:rPr>
                <w:rFonts w:hint="eastAsia"/>
              </w:rPr>
              <w:t>(FOF)</w:t>
            </w:r>
          </w:p>
        </w:tc>
        <w:tc>
          <w:tcPr>
            <w:tcW w:w="3099" w:type="dxa"/>
            <w:shd w:val="clear" w:color="auto" w:fill="auto"/>
            <w:noWrap/>
          </w:tcPr>
          <w:p w:rsidR="00206308" w:rsidRPr="002C02BD" w:rsidRDefault="00206308" w:rsidP="00206308">
            <w:pPr>
              <w:widowControl/>
              <w:jc w:val="left"/>
            </w:pPr>
            <w:r w:rsidRPr="00620F01">
              <w:rPr>
                <w:rFonts w:hint="eastAsia"/>
              </w:rPr>
              <w:t>华夏银行股份有限公司</w:t>
            </w:r>
          </w:p>
        </w:tc>
      </w:tr>
    </w:tbl>
    <w:p w:rsidR="00384BDC" w:rsidRDefault="00384BDC">
      <w:pPr>
        <w:adjustRightInd w:val="0"/>
        <w:spacing w:line="360" w:lineRule="auto"/>
        <w:ind w:firstLineChars="200" w:firstLine="480"/>
        <w:rPr>
          <w:rFonts w:ascii="Arial" w:eastAsia="宋体" w:hAnsi="Arial" w:cs="Arial"/>
          <w:sz w:val="24"/>
          <w:szCs w:val="20"/>
        </w:rPr>
      </w:pPr>
    </w:p>
    <w:p w:rsidR="00384BDC" w:rsidRDefault="001C2D77">
      <w:pPr>
        <w:adjustRightInd w:val="0"/>
        <w:spacing w:line="360" w:lineRule="auto"/>
        <w:ind w:firstLineChars="200" w:firstLine="480"/>
        <w:rPr>
          <w:rFonts w:ascii="Arial" w:eastAsia="宋体" w:hAnsi="Arial" w:cs="Arial"/>
          <w:sz w:val="24"/>
          <w:szCs w:val="20"/>
        </w:rPr>
      </w:pPr>
      <w:r>
        <w:rPr>
          <w:rFonts w:ascii="Arial" w:eastAsia="宋体" w:hAnsi="Arial" w:cs="Arial" w:hint="eastAsia"/>
          <w:sz w:val="24"/>
          <w:szCs w:val="20"/>
        </w:rPr>
        <w:t>经与各基金托管人协商一致，本公司对《基金合同》、《托管协议》中有关内容进行相应修订，上述产品的《基金合同》和《托管协议》修改内容主要为：</w:t>
      </w:r>
    </w:p>
    <w:p w:rsidR="00384BDC" w:rsidRDefault="001C2D77">
      <w:pPr>
        <w:adjustRightInd w:val="0"/>
        <w:spacing w:line="360" w:lineRule="auto"/>
        <w:rPr>
          <w:rFonts w:ascii="Arial" w:eastAsia="宋体" w:hAnsi="Arial" w:cs="Arial"/>
          <w:sz w:val="24"/>
          <w:szCs w:val="20"/>
        </w:rPr>
      </w:pPr>
      <w:r>
        <w:rPr>
          <w:rFonts w:ascii="Arial" w:eastAsia="宋体" w:hAnsi="Arial" w:cs="Arial"/>
          <w:sz w:val="24"/>
          <w:szCs w:val="20"/>
        </w:rPr>
        <w:t>1</w:t>
      </w:r>
      <w:r>
        <w:rPr>
          <w:rFonts w:ascii="Arial" w:eastAsia="宋体" w:hAnsi="Arial" w:cs="Arial" w:hint="eastAsia"/>
          <w:sz w:val="24"/>
          <w:szCs w:val="20"/>
        </w:rPr>
        <w:t>、在《基金合同》前言部分增加如下内容：</w:t>
      </w:r>
    </w:p>
    <w:p w:rsidR="00384BDC" w:rsidRDefault="007815C8">
      <w:pPr>
        <w:adjustRightInd w:val="0"/>
        <w:spacing w:line="360" w:lineRule="auto"/>
        <w:ind w:firstLineChars="200" w:firstLine="482"/>
        <w:rPr>
          <w:rFonts w:ascii="Arial" w:eastAsia="宋体" w:hAnsi="Arial" w:cs="Arial"/>
          <w:b/>
          <w:bCs/>
          <w:sz w:val="24"/>
          <w:szCs w:val="20"/>
          <w:u w:val="single"/>
        </w:rPr>
      </w:pPr>
      <w:r w:rsidRPr="007815C8">
        <w:rPr>
          <w:rFonts w:ascii="Arial" w:eastAsia="宋体" w:hAnsi="Arial" w:cs="Arial" w:hint="eastAsia"/>
          <w:b/>
          <w:bCs/>
          <w:sz w:val="24"/>
          <w:szCs w:val="20"/>
          <w:u w:val="single"/>
        </w:rPr>
        <w:t>本基金的投资范围包括存托凭证，除与其他仅投资于沪深市场股票的基金所面临的共同风险外，本基金还将面临中国存托凭证价格大幅波动甚至出现较大亏损的风险，以及与中国存托凭证发行机制相关的风险。</w:t>
      </w:r>
    </w:p>
    <w:p w:rsidR="00384BDC" w:rsidRDefault="001C2D77">
      <w:pPr>
        <w:adjustRightInd w:val="0"/>
        <w:spacing w:line="360" w:lineRule="auto"/>
        <w:rPr>
          <w:rFonts w:ascii="Arial" w:eastAsia="宋体" w:hAnsi="Arial" w:cs="Arial"/>
          <w:sz w:val="24"/>
          <w:szCs w:val="20"/>
        </w:rPr>
      </w:pPr>
      <w:r>
        <w:rPr>
          <w:rFonts w:ascii="Arial" w:eastAsia="宋体" w:hAnsi="Arial" w:cs="Arial"/>
          <w:sz w:val="24"/>
          <w:szCs w:val="20"/>
        </w:rPr>
        <w:t>2</w:t>
      </w:r>
      <w:r>
        <w:rPr>
          <w:rFonts w:ascii="Arial" w:eastAsia="宋体" w:hAnsi="Arial" w:cs="Arial" w:hint="eastAsia"/>
          <w:sz w:val="24"/>
          <w:szCs w:val="20"/>
        </w:rPr>
        <w:t>、在《基金合同》和《托管协议》投资范围中增加存托凭证。如为指数基金，则将</w:t>
      </w:r>
      <w:r>
        <w:rPr>
          <w:rFonts w:ascii="Arial" w:eastAsia="宋体" w:hAnsi="Arial" w:cs="Arial"/>
          <w:sz w:val="24"/>
          <w:szCs w:val="20"/>
        </w:rPr>
        <w:t>“</w:t>
      </w:r>
      <w:r>
        <w:rPr>
          <w:rFonts w:ascii="Arial" w:eastAsia="宋体" w:hAnsi="Arial" w:cs="Arial" w:hint="eastAsia"/>
          <w:sz w:val="24"/>
          <w:szCs w:val="20"/>
        </w:rPr>
        <w:t>标的指数成份股和备选成份股</w:t>
      </w:r>
      <w:r>
        <w:rPr>
          <w:rFonts w:ascii="Arial" w:eastAsia="宋体" w:hAnsi="Arial" w:cs="Arial"/>
          <w:sz w:val="24"/>
          <w:szCs w:val="20"/>
        </w:rPr>
        <w:t>”</w:t>
      </w:r>
      <w:r>
        <w:rPr>
          <w:rFonts w:ascii="Arial" w:eastAsia="宋体" w:hAnsi="Arial" w:cs="Arial" w:hint="eastAsia"/>
          <w:sz w:val="24"/>
          <w:szCs w:val="20"/>
        </w:rPr>
        <w:t>修改为</w:t>
      </w:r>
      <w:r>
        <w:rPr>
          <w:rFonts w:ascii="Arial" w:eastAsia="宋体" w:hAnsi="Arial" w:cs="Arial"/>
          <w:sz w:val="24"/>
          <w:szCs w:val="20"/>
        </w:rPr>
        <w:t>“</w:t>
      </w:r>
      <w:r>
        <w:rPr>
          <w:rFonts w:ascii="Arial" w:eastAsia="宋体" w:hAnsi="Arial" w:cs="Arial" w:hint="eastAsia"/>
          <w:sz w:val="24"/>
          <w:szCs w:val="20"/>
        </w:rPr>
        <w:t>标的指数成份股和备选成份股</w:t>
      </w:r>
      <w:r>
        <w:rPr>
          <w:rFonts w:ascii="Arial" w:eastAsia="宋体" w:hAnsi="Arial" w:cs="Arial" w:hint="eastAsia"/>
          <w:b/>
          <w:bCs/>
          <w:sz w:val="24"/>
          <w:szCs w:val="20"/>
          <w:u w:val="single"/>
        </w:rPr>
        <w:t>（含存托凭证）</w:t>
      </w:r>
      <w:r w:rsidRPr="00721A47">
        <w:rPr>
          <w:rFonts w:ascii="Arial" w:eastAsia="宋体" w:hAnsi="Arial" w:cs="Arial"/>
          <w:sz w:val="24"/>
          <w:szCs w:val="20"/>
        </w:rPr>
        <w:t>”</w:t>
      </w:r>
      <w:r w:rsidR="00451E55">
        <w:rPr>
          <w:rFonts w:ascii="Arial" w:eastAsia="宋体" w:hAnsi="Arial" w:cs="Arial" w:hint="eastAsia"/>
          <w:sz w:val="24"/>
          <w:szCs w:val="20"/>
        </w:rPr>
        <w:t>。</w:t>
      </w:r>
    </w:p>
    <w:p w:rsidR="00384BDC" w:rsidRDefault="001C2D77">
      <w:pPr>
        <w:adjustRightInd w:val="0"/>
        <w:spacing w:line="360" w:lineRule="auto"/>
        <w:rPr>
          <w:rFonts w:ascii="Arial" w:eastAsia="宋体" w:hAnsi="Arial" w:cs="Arial"/>
          <w:sz w:val="24"/>
          <w:szCs w:val="20"/>
        </w:rPr>
      </w:pPr>
      <w:r>
        <w:rPr>
          <w:rFonts w:ascii="Arial" w:eastAsia="宋体" w:hAnsi="Arial" w:cs="Arial"/>
          <w:sz w:val="24"/>
          <w:szCs w:val="20"/>
        </w:rPr>
        <w:t>3</w:t>
      </w:r>
      <w:r>
        <w:rPr>
          <w:rFonts w:ascii="Arial" w:eastAsia="宋体" w:hAnsi="Arial" w:cs="Arial" w:hint="eastAsia"/>
          <w:sz w:val="24"/>
          <w:szCs w:val="20"/>
        </w:rPr>
        <w:t>、在《基金合同》投资章节补充存托凭证相关投资策略，内容如下：</w:t>
      </w:r>
    </w:p>
    <w:p w:rsidR="00384BDC" w:rsidRDefault="001C2D77">
      <w:pPr>
        <w:adjustRightInd w:val="0"/>
        <w:spacing w:line="360" w:lineRule="auto"/>
        <w:ind w:firstLineChars="200" w:firstLine="482"/>
        <w:rPr>
          <w:rFonts w:ascii="Arial" w:eastAsia="宋体" w:hAnsi="Arial" w:cs="Arial"/>
          <w:b/>
          <w:bCs/>
          <w:sz w:val="24"/>
          <w:szCs w:val="20"/>
          <w:u w:val="single"/>
        </w:rPr>
      </w:pPr>
      <w:r>
        <w:rPr>
          <w:rFonts w:ascii="Arial" w:eastAsia="宋体" w:hAnsi="Arial" w:cs="Arial" w:hint="eastAsia"/>
          <w:b/>
          <w:bCs/>
          <w:sz w:val="24"/>
          <w:szCs w:val="20"/>
          <w:u w:val="single"/>
        </w:rPr>
        <w:t>存托凭证投资策略</w:t>
      </w:r>
    </w:p>
    <w:p w:rsidR="00384BDC" w:rsidRDefault="007815C8">
      <w:pPr>
        <w:adjustRightInd w:val="0"/>
        <w:spacing w:line="360" w:lineRule="auto"/>
        <w:ind w:firstLineChars="200" w:firstLine="482"/>
        <w:rPr>
          <w:rFonts w:ascii="Arial" w:eastAsia="宋体" w:hAnsi="Arial" w:cs="Arial"/>
          <w:b/>
          <w:bCs/>
          <w:sz w:val="24"/>
          <w:szCs w:val="20"/>
          <w:u w:val="single"/>
        </w:rPr>
      </w:pPr>
      <w:r w:rsidRPr="007815C8">
        <w:rPr>
          <w:rFonts w:ascii="Arial" w:eastAsia="宋体" w:hAnsi="Arial" w:cs="Arial" w:hint="eastAsia"/>
          <w:b/>
          <w:bCs/>
          <w:sz w:val="24"/>
          <w:szCs w:val="20"/>
          <w:u w:val="single"/>
        </w:rPr>
        <w:t>本基金将根据本基金的投资目标和股票投资策略，基于对基础证券投资价值的深入研究判断，进行存托凭证的投资。</w:t>
      </w:r>
      <w:bookmarkStart w:id="0" w:name="_GoBack"/>
      <w:bookmarkEnd w:id="0"/>
    </w:p>
    <w:p w:rsidR="00384BDC" w:rsidRDefault="001C2D77">
      <w:pPr>
        <w:adjustRightInd w:val="0"/>
        <w:spacing w:line="360" w:lineRule="auto"/>
        <w:rPr>
          <w:rFonts w:ascii="Arial" w:eastAsia="宋体" w:hAnsi="Arial" w:cs="Arial"/>
          <w:sz w:val="24"/>
          <w:szCs w:val="20"/>
        </w:rPr>
      </w:pPr>
      <w:r>
        <w:rPr>
          <w:rFonts w:ascii="Arial" w:eastAsia="宋体" w:hAnsi="Arial" w:cs="Arial"/>
          <w:sz w:val="24"/>
          <w:szCs w:val="20"/>
        </w:rPr>
        <w:t>4</w:t>
      </w:r>
      <w:r>
        <w:rPr>
          <w:rFonts w:ascii="Arial" w:eastAsia="宋体" w:hAnsi="Arial" w:cs="Arial" w:hint="eastAsia"/>
          <w:sz w:val="24"/>
          <w:szCs w:val="20"/>
        </w:rPr>
        <w:t>、《基金合同》和《托管协议》中若有以下相关条款，则相应做修改，修改如下：</w:t>
      </w:r>
    </w:p>
    <w:p w:rsidR="00384BDC" w:rsidRDefault="007815C8">
      <w:pPr>
        <w:adjustRightInd w:val="0"/>
        <w:spacing w:line="360" w:lineRule="auto"/>
        <w:ind w:firstLineChars="200" w:firstLine="480"/>
        <w:rPr>
          <w:rFonts w:ascii="Arial" w:eastAsia="宋体" w:hAnsi="Arial" w:cs="Arial"/>
          <w:sz w:val="24"/>
          <w:szCs w:val="20"/>
        </w:rPr>
      </w:pPr>
      <w:r w:rsidRPr="007815C8">
        <w:rPr>
          <w:rFonts w:ascii="Arial" w:eastAsia="宋体" w:hAnsi="Arial" w:cs="Arial" w:hint="eastAsia"/>
          <w:sz w:val="24"/>
          <w:szCs w:val="20"/>
        </w:rPr>
        <w:t>本基金持有一家公司发行的证券</w:t>
      </w:r>
      <w:r w:rsidRPr="009E2E7C">
        <w:rPr>
          <w:rFonts w:ascii="Arial" w:eastAsia="宋体" w:hAnsi="Arial" w:cs="Arial" w:hint="eastAsia"/>
          <w:b/>
          <w:sz w:val="24"/>
          <w:szCs w:val="20"/>
          <w:u w:val="single"/>
        </w:rPr>
        <w:t>（含存托凭证）</w:t>
      </w:r>
      <w:r w:rsidRPr="007815C8">
        <w:rPr>
          <w:rFonts w:ascii="Arial" w:eastAsia="宋体" w:hAnsi="Arial" w:cs="Arial" w:hint="eastAsia"/>
          <w:sz w:val="24"/>
          <w:szCs w:val="20"/>
        </w:rPr>
        <w:t>，其市值不超过基金资产净值的</w:t>
      </w:r>
      <w:r w:rsidRPr="007815C8">
        <w:rPr>
          <w:rFonts w:ascii="Arial" w:eastAsia="宋体" w:hAnsi="Arial" w:cs="Arial" w:hint="eastAsia"/>
          <w:sz w:val="24"/>
          <w:szCs w:val="20"/>
        </w:rPr>
        <w:t>10%</w:t>
      </w:r>
      <w:r w:rsidRPr="007815C8">
        <w:rPr>
          <w:rFonts w:ascii="Arial" w:eastAsia="宋体" w:hAnsi="Arial" w:cs="Arial" w:hint="eastAsia"/>
          <w:sz w:val="24"/>
          <w:szCs w:val="20"/>
        </w:rPr>
        <w:t>；</w:t>
      </w:r>
    </w:p>
    <w:p w:rsidR="00384BDC" w:rsidRDefault="007815C8">
      <w:pPr>
        <w:adjustRightInd w:val="0"/>
        <w:spacing w:line="360" w:lineRule="auto"/>
        <w:ind w:firstLineChars="200" w:firstLine="480"/>
        <w:rPr>
          <w:rFonts w:ascii="Arial" w:eastAsia="宋体" w:hAnsi="Arial" w:cs="Arial"/>
          <w:sz w:val="24"/>
          <w:szCs w:val="20"/>
        </w:rPr>
      </w:pPr>
      <w:r w:rsidRPr="007815C8">
        <w:rPr>
          <w:rFonts w:ascii="Arial" w:eastAsia="宋体" w:hAnsi="Arial" w:cs="Arial" w:hint="eastAsia"/>
          <w:sz w:val="24"/>
          <w:szCs w:val="20"/>
        </w:rPr>
        <w:t>本基金管理人管理的全部基金持有一家公司发行的证券</w:t>
      </w:r>
      <w:r w:rsidRPr="009E2E7C">
        <w:rPr>
          <w:rFonts w:ascii="Arial" w:eastAsia="宋体" w:hAnsi="Arial" w:cs="Arial" w:hint="eastAsia"/>
          <w:b/>
          <w:sz w:val="24"/>
          <w:szCs w:val="20"/>
          <w:u w:val="single"/>
        </w:rPr>
        <w:t>（含存托凭证）</w:t>
      </w:r>
      <w:r w:rsidRPr="007815C8">
        <w:rPr>
          <w:rFonts w:ascii="Arial" w:eastAsia="宋体" w:hAnsi="Arial" w:cs="Arial" w:hint="eastAsia"/>
          <w:sz w:val="24"/>
          <w:szCs w:val="20"/>
        </w:rPr>
        <w:t>，不超过该证券的</w:t>
      </w:r>
      <w:r w:rsidRPr="007815C8">
        <w:rPr>
          <w:rFonts w:ascii="Arial" w:eastAsia="宋体" w:hAnsi="Arial" w:cs="Arial" w:hint="eastAsia"/>
          <w:sz w:val="24"/>
          <w:szCs w:val="20"/>
        </w:rPr>
        <w:t>10%</w:t>
      </w:r>
      <w:r w:rsidRPr="007815C8">
        <w:rPr>
          <w:rFonts w:ascii="Arial" w:eastAsia="宋体" w:hAnsi="Arial" w:cs="Arial" w:hint="eastAsia"/>
          <w:sz w:val="24"/>
          <w:szCs w:val="20"/>
        </w:rPr>
        <w:t>；</w:t>
      </w:r>
    </w:p>
    <w:p w:rsidR="00384BDC" w:rsidRDefault="007815C8">
      <w:pPr>
        <w:adjustRightInd w:val="0"/>
        <w:spacing w:line="360" w:lineRule="auto"/>
        <w:ind w:firstLineChars="200" w:firstLine="480"/>
        <w:rPr>
          <w:rFonts w:ascii="Arial" w:eastAsia="宋体" w:hAnsi="Arial" w:cs="Arial"/>
          <w:sz w:val="24"/>
          <w:szCs w:val="20"/>
        </w:rPr>
      </w:pPr>
      <w:r w:rsidRPr="007815C8">
        <w:rPr>
          <w:rFonts w:ascii="Arial" w:eastAsia="宋体" w:hAnsi="Arial" w:cs="Arial" w:hint="eastAsia"/>
          <w:sz w:val="24"/>
          <w:szCs w:val="20"/>
        </w:rPr>
        <w:t>本基金持有一家公司发行的证券</w:t>
      </w:r>
      <w:r w:rsidRPr="00240ADD">
        <w:rPr>
          <w:rFonts w:ascii="Arial" w:eastAsia="宋体" w:hAnsi="Arial" w:cs="Arial" w:hint="eastAsia"/>
          <w:sz w:val="24"/>
          <w:szCs w:val="20"/>
          <w:u w:val="single"/>
        </w:rPr>
        <w:t>（</w:t>
      </w:r>
      <w:r w:rsidRPr="009E2E7C">
        <w:rPr>
          <w:rFonts w:ascii="Arial" w:eastAsia="宋体" w:hAnsi="Arial" w:cs="Arial" w:hint="eastAsia"/>
          <w:b/>
          <w:sz w:val="24"/>
          <w:szCs w:val="20"/>
          <w:u w:val="single"/>
        </w:rPr>
        <w:t>含存托凭证</w:t>
      </w:r>
      <w:r w:rsidR="00593DF8">
        <w:rPr>
          <w:rFonts w:ascii="Arial" w:eastAsia="宋体" w:hAnsi="Arial" w:cs="Arial" w:hint="eastAsia"/>
          <w:b/>
          <w:sz w:val="24"/>
          <w:szCs w:val="20"/>
          <w:u w:val="single"/>
        </w:rPr>
        <w:t>，</w:t>
      </w:r>
      <w:r w:rsidRPr="007815C8">
        <w:rPr>
          <w:rFonts w:ascii="Arial" w:eastAsia="宋体" w:hAnsi="Arial" w:cs="Arial" w:hint="eastAsia"/>
          <w:sz w:val="24"/>
          <w:szCs w:val="20"/>
        </w:rPr>
        <w:t>同一家公司在境内和香港同时上市的</w:t>
      </w:r>
      <w:r w:rsidRPr="007815C8">
        <w:rPr>
          <w:rFonts w:ascii="Arial" w:eastAsia="宋体" w:hAnsi="Arial" w:cs="Arial" w:hint="eastAsia"/>
          <w:sz w:val="24"/>
          <w:szCs w:val="20"/>
        </w:rPr>
        <w:t>A+H</w:t>
      </w:r>
      <w:r w:rsidRPr="007815C8">
        <w:rPr>
          <w:rFonts w:ascii="Arial" w:eastAsia="宋体" w:hAnsi="Arial" w:cs="Arial" w:hint="eastAsia"/>
          <w:sz w:val="24"/>
          <w:szCs w:val="20"/>
        </w:rPr>
        <w:t>股合计计算），其市值不超过基金资产净值的</w:t>
      </w:r>
      <w:r w:rsidRPr="007815C8">
        <w:rPr>
          <w:rFonts w:ascii="Arial" w:eastAsia="宋体" w:hAnsi="Arial" w:cs="Arial" w:hint="eastAsia"/>
          <w:sz w:val="24"/>
          <w:szCs w:val="20"/>
        </w:rPr>
        <w:t>10%</w:t>
      </w:r>
      <w:r w:rsidRPr="007815C8">
        <w:rPr>
          <w:rFonts w:ascii="Arial" w:eastAsia="宋体" w:hAnsi="Arial" w:cs="Arial" w:hint="eastAsia"/>
          <w:sz w:val="24"/>
          <w:szCs w:val="20"/>
        </w:rPr>
        <w:t>；</w:t>
      </w:r>
    </w:p>
    <w:p w:rsidR="00384BDC" w:rsidRDefault="007815C8">
      <w:pPr>
        <w:adjustRightInd w:val="0"/>
        <w:spacing w:line="360" w:lineRule="auto"/>
        <w:ind w:firstLineChars="200" w:firstLine="480"/>
        <w:rPr>
          <w:rFonts w:ascii="Arial" w:eastAsia="宋体" w:hAnsi="Arial" w:cs="Arial"/>
          <w:sz w:val="24"/>
          <w:szCs w:val="20"/>
        </w:rPr>
      </w:pPr>
      <w:r w:rsidRPr="007815C8">
        <w:rPr>
          <w:rFonts w:ascii="Arial" w:eastAsia="宋体" w:hAnsi="Arial" w:cs="Arial" w:hint="eastAsia"/>
          <w:sz w:val="24"/>
          <w:szCs w:val="20"/>
        </w:rPr>
        <w:t>本基金管理人管理的全部基金持有一家公司发行的证券</w:t>
      </w:r>
      <w:r w:rsidRPr="00240ADD">
        <w:rPr>
          <w:rFonts w:ascii="Arial" w:eastAsia="宋体" w:hAnsi="Arial" w:cs="Arial" w:hint="eastAsia"/>
          <w:sz w:val="24"/>
          <w:szCs w:val="20"/>
          <w:u w:val="single"/>
        </w:rPr>
        <w:t>（</w:t>
      </w:r>
      <w:r w:rsidRPr="009E2E7C">
        <w:rPr>
          <w:rFonts w:ascii="Arial" w:eastAsia="宋体" w:hAnsi="Arial" w:cs="Arial" w:hint="eastAsia"/>
          <w:b/>
          <w:sz w:val="24"/>
          <w:szCs w:val="20"/>
          <w:u w:val="single"/>
        </w:rPr>
        <w:t>含存托凭证</w:t>
      </w:r>
      <w:r w:rsidR="00593DF8">
        <w:rPr>
          <w:rFonts w:ascii="Arial" w:eastAsia="宋体" w:hAnsi="Arial" w:cs="Arial" w:hint="eastAsia"/>
          <w:b/>
          <w:sz w:val="24"/>
          <w:szCs w:val="20"/>
          <w:u w:val="single"/>
        </w:rPr>
        <w:t>，</w:t>
      </w:r>
      <w:r w:rsidRPr="007815C8">
        <w:rPr>
          <w:rFonts w:ascii="Arial" w:eastAsia="宋体" w:hAnsi="Arial" w:cs="Arial" w:hint="eastAsia"/>
          <w:sz w:val="24"/>
          <w:szCs w:val="20"/>
        </w:rPr>
        <w:t>同一家公司在境内和香港同时上市的</w:t>
      </w:r>
      <w:r w:rsidRPr="007815C8">
        <w:rPr>
          <w:rFonts w:ascii="Arial" w:eastAsia="宋体" w:hAnsi="Arial" w:cs="Arial" w:hint="eastAsia"/>
          <w:sz w:val="24"/>
          <w:szCs w:val="20"/>
        </w:rPr>
        <w:t>A+H</w:t>
      </w:r>
      <w:r w:rsidRPr="007815C8">
        <w:rPr>
          <w:rFonts w:ascii="Arial" w:eastAsia="宋体" w:hAnsi="Arial" w:cs="Arial" w:hint="eastAsia"/>
          <w:sz w:val="24"/>
          <w:szCs w:val="20"/>
        </w:rPr>
        <w:t>股合计计算），不超过该证券的</w:t>
      </w:r>
      <w:r w:rsidRPr="007815C8">
        <w:rPr>
          <w:rFonts w:ascii="Arial" w:eastAsia="宋体" w:hAnsi="Arial" w:cs="Arial" w:hint="eastAsia"/>
          <w:sz w:val="24"/>
          <w:szCs w:val="20"/>
        </w:rPr>
        <w:t>10%</w:t>
      </w:r>
      <w:r w:rsidR="00451E55">
        <w:rPr>
          <w:rFonts w:ascii="Arial" w:eastAsia="宋体" w:hAnsi="Arial" w:cs="Arial" w:hint="eastAsia"/>
          <w:sz w:val="24"/>
          <w:szCs w:val="20"/>
        </w:rPr>
        <w:t>。</w:t>
      </w:r>
    </w:p>
    <w:p w:rsidR="00384BDC" w:rsidRDefault="001C2D77">
      <w:pPr>
        <w:adjustRightInd w:val="0"/>
        <w:spacing w:line="360" w:lineRule="auto"/>
        <w:ind w:firstLineChars="200" w:firstLine="480"/>
        <w:rPr>
          <w:rFonts w:ascii="Arial" w:eastAsia="宋体" w:hAnsi="Arial" w:cs="Arial"/>
          <w:sz w:val="24"/>
          <w:szCs w:val="20"/>
        </w:rPr>
      </w:pPr>
      <w:r>
        <w:rPr>
          <w:rFonts w:ascii="Arial" w:eastAsia="宋体" w:hAnsi="Arial" w:cs="Arial" w:hint="eastAsia"/>
          <w:sz w:val="24"/>
          <w:szCs w:val="20"/>
        </w:rPr>
        <w:t>详细修订内容请见修改后的《基金合同》和《托管协议》。</w:t>
      </w:r>
    </w:p>
    <w:p w:rsidR="007815C8" w:rsidRDefault="007815C8">
      <w:pPr>
        <w:adjustRightInd w:val="0"/>
        <w:spacing w:line="360" w:lineRule="auto"/>
        <w:ind w:firstLineChars="200" w:firstLine="480"/>
        <w:rPr>
          <w:rFonts w:ascii="Arial" w:eastAsia="宋体" w:hAnsi="Arial" w:cs="Arial"/>
          <w:sz w:val="24"/>
          <w:szCs w:val="20"/>
        </w:rPr>
      </w:pPr>
      <w:r w:rsidRPr="007815C8">
        <w:rPr>
          <w:rFonts w:ascii="Arial" w:eastAsia="宋体" w:hAnsi="Arial" w:cs="Arial" w:hint="eastAsia"/>
          <w:sz w:val="24"/>
          <w:szCs w:val="20"/>
        </w:rPr>
        <w:t>本基金管理人将按照规定相应更新《招募说明书》及</w:t>
      </w:r>
      <w:r>
        <w:rPr>
          <w:rFonts w:ascii="Arial" w:eastAsia="宋体" w:hAnsi="Arial" w:cs="Arial" w:hint="eastAsia"/>
          <w:sz w:val="24"/>
          <w:szCs w:val="20"/>
        </w:rPr>
        <w:t>《产品</w:t>
      </w:r>
      <w:r>
        <w:rPr>
          <w:rFonts w:ascii="Arial" w:eastAsia="宋体" w:hAnsi="Arial" w:cs="Arial"/>
          <w:sz w:val="24"/>
          <w:szCs w:val="20"/>
        </w:rPr>
        <w:t>资料概要</w:t>
      </w:r>
      <w:r>
        <w:rPr>
          <w:rFonts w:ascii="Arial" w:eastAsia="宋体" w:hAnsi="Arial" w:cs="Arial" w:hint="eastAsia"/>
          <w:sz w:val="24"/>
          <w:szCs w:val="20"/>
        </w:rPr>
        <w:t>》</w:t>
      </w:r>
      <w:r w:rsidRPr="007815C8">
        <w:rPr>
          <w:rFonts w:ascii="Arial" w:eastAsia="宋体" w:hAnsi="Arial" w:cs="Arial" w:hint="eastAsia"/>
          <w:sz w:val="24"/>
          <w:szCs w:val="20"/>
        </w:rPr>
        <w:t>。</w:t>
      </w:r>
    </w:p>
    <w:p w:rsidR="00384BDC" w:rsidRDefault="00384BDC"/>
    <w:p w:rsidR="00384BDC" w:rsidRDefault="001C2D77">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 xml:space="preserve">    上述修改，</w:t>
      </w:r>
      <w:r w:rsidR="00EC0E3D" w:rsidRPr="00EC0E3D">
        <w:rPr>
          <w:rFonts w:ascii="宋体" w:eastAsia="宋体" w:hAnsi="宋体" w:cs="Times New Roman" w:hint="eastAsia"/>
          <w:sz w:val="24"/>
          <w:szCs w:val="24"/>
        </w:rPr>
        <w:t>未对原有基金份额持有人的利益形成任何实质性不利影响，无需召开基金份额持有人大会</w:t>
      </w:r>
      <w:r>
        <w:rPr>
          <w:rFonts w:ascii="宋体" w:eastAsia="宋体" w:hAnsi="宋体" w:cs="Times New Roman" w:hint="eastAsia"/>
          <w:sz w:val="24"/>
          <w:szCs w:val="24"/>
        </w:rPr>
        <w:t>。上述基金《基金合同》和《托管协议》的修改自2020年10月14日起生效。</w:t>
      </w:r>
      <w:r>
        <w:rPr>
          <w:rFonts w:ascii="宋体" w:eastAsia="宋体" w:hAnsi="宋体" w:cs="Times New Roman"/>
          <w:sz w:val="24"/>
          <w:szCs w:val="24"/>
        </w:rPr>
        <w:t xml:space="preserve"> </w:t>
      </w:r>
    </w:p>
    <w:p w:rsidR="00E23C05" w:rsidRPr="002B003C" w:rsidRDefault="00E23C05" w:rsidP="00E23C05">
      <w:pPr>
        <w:spacing w:line="360" w:lineRule="auto"/>
        <w:ind w:firstLine="480"/>
        <w:rPr>
          <w:rFonts w:ascii="宋体" w:hAnsi="宋体"/>
          <w:sz w:val="24"/>
        </w:rPr>
      </w:pPr>
      <w:r w:rsidRPr="002B003C">
        <w:rPr>
          <w:rFonts w:ascii="宋体" w:hAnsi="宋体" w:hint="eastAsia"/>
          <w:sz w:val="24"/>
        </w:rPr>
        <w:t>投资者可登录本基金管理人网站（www.</w:t>
      </w:r>
      <w:r>
        <w:rPr>
          <w:rFonts w:ascii="宋体" w:hAnsi="宋体"/>
          <w:sz w:val="24"/>
        </w:rPr>
        <w:t>phfund</w:t>
      </w:r>
      <w:r w:rsidRPr="002B003C">
        <w:rPr>
          <w:rFonts w:ascii="宋体" w:hAnsi="宋体" w:hint="eastAsia"/>
          <w:sz w:val="24"/>
        </w:rPr>
        <w:t>.com）或拨打本</w:t>
      </w:r>
      <w:r>
        <w:rPr>
          <w:rFonts w:ascii="宋体" w:hAnsi="宋体" w:hint="eastAsia"/>
          <w:sz w:val="24"/>
        </w:rPr>
        <w:t>公司</w:t>
      </w:r>
      <w:r w:rsidRPr="002B003C">
        <w:rPr>
          <w:rFonts w:ascii="宋体" w:hAnsi="宋体" w:hint="eastAsia"/>
          <w:sz w:val="24"/>
        </w:rPr>
        <w:t xml:space="preserve">的客户服务电话（400－6788－999/400－6788－533）获取相关信息。 </w:t>
      </w:r>
    </w:p>
    <w:p w:rsidR="00E23C05" w:rsidRDefault="00E23C05" w:rsidP="00E23C05">
      <w:pPr>
        <w:spacing w:line="360" w:lineRule="auto"/>
        <w:ind w:firstLine="480"/>
        <w:rPr>
          <w:rFonts w:ascii="宋体" w:hAnsi="宋体"/>
          <w:sz w:val="24"/>
        </w:rPr>
      </w:pPr>
      <w:r w:rsidRPr="002B003C">
        <w:rPr>
          <w:rFonts w:ascii="宋体" w:hAnsi="宋体" w:hint="eastAsia"/>
          <w:sz w:val="24"/>
        </w:rPr>
        <w:t>本公告的解释权归本公司所有。</w:t>
      </w:r>
    </w:p>
    <w:p w:rsidR="00E23C05" w:rsidRDefault="00E23C05" w:rsidP="00E23C05">
      <w:pPr>
        <w:spacing w:line="360" w:lineRule="auto"/>
        <w:ind w:firstLine="480"/>
        <w:rPr>
          <w:rFonts w:ascii="宋体" w:hAnsi="宋体"/>
          <w:sz w:val="24"/>
        </w:rPr>
      </w:pPr>
      <w:r w:rsidRPr="002B003C">
        <w:rPr>
          <w:rFonts w:ascii="宋体" w:hAnsi="宋体" w:hint="eastAsia"/>
          <w:sz w:val="24"/>
        </w:rPr>
        <w:t>风险提示：本基金管理人承诺以诚实信用、勤勉尽责的原则管理和运用基金财产，但不保证基金一定盈利，也不保证最低收益。基金的过往业绩并不代表其将来表现。</w:t>
      </w:r>
      <w:r w:rsidR="00EC0E3D" w:rsidRPr="00EC0E3D">
        <w:rPr>
          <w:rFonts w:ascii="宋体" w:hAnsi="宋体" w:hint="eastAsia"/>
          <w:sz w:val="24"/>
        </w:rPr>
        <w:t>销售机构根据法规要求对投资者类别、风险承受能力和基金的风险等级进行划分，并提出适当性匹配意见。基金管理人提醒投资人基金投资的“买者自负”原则，在投资人作出投资决策后，基金运营状况与基金净值变化引致的投资风险，由投资人自行承担。</w:t>
      </w:r>
      <w:r w:rsidRPr="002B003C">
        <w:rPr>
          <w:rFonts w:ascii="宋体" w:hAnsi="宋体" w:hint="eastAsia"/>
          <w:sz w:val="24"/>
        </w:rPr>
        <w:t>投资有风险，敬请投资者认真阅读基金的相关法律文件，</w:t>
      </w:r>
      <w:r w:rsidR="000E27C1" w:rsidRPr="000E27C1">
        <w:rPr>
          <w:rFonts w:ascii="宋体" w:hAnsi="宋体" w:hint="eastAsia"/>
          <w:sz w:val="24"/>
        </w:rPr>
        <w:t>全面认识基金的风险收益特征，在了解基金情况及听取销售机构适当性意见的基础上，根据自身的风险承受能力、投资期限和投资目标，对基金投资作出独立决策，选择合适的基金产品</w:t>
      </w:r>
      <w:r w:rsidRPr="002B003C">
        <w:rPr>
          <w:rFonts w:ascii="宋体" w:hAnsi="宋体" w:hint="eastAsia"/>
          <w:sz w:val="24"/>
        </w:rPr>
        <w:t>。</w:t>
      </w:r>
    </w:p>
    <w:p w:rsidR="00E23C05" w:rsidRDefault="00E23C05" w:rsidP="00E23C05">
      <w:pPr>
        <w:spacing w:line="360" w:lineRule="auto"/>
        <w:ind w:firstLine="480"/>
        <w:rPr>
          <w:rFonts w:ascii="宋体" w:hAnsi="宋体"/>
          <w:sz w:val="24"/>
        </w:rPr>
      </w:pPr>
      <w:r>
        <w:rPr>
          <w:rFonts w:ascii="宋体" w:hAnsi="宋体" w:hint="eastAsia"/>
          <w:sz w:val="24"/>
        </w:rPr>
        <w:t>特此公告</w:t>
      </w:r>
      <w:r>
        <w:rPr>
          <w:rFonts w:ascii="宋体" w:hAnsi="宋体"/>
          <w:sz w:val="24"/>
        </w:rPr>
        <w:t>。</w:t>
      </w:r>
    </w:p>
    <w:p w:rsidR="00E23C05" w:rsidRDefault="00E23C05" w:rsidP="00E23C05">
      <w:pPr>
        <w:spacing w:line="360" w:lineRule="auto"/>
        <w:ind w:firstLine="480"/>
        <w:rPr>
          <w:rFonts w:ascii="宋体" w:hAnsi="宋体"/>
          <w:sz w:val="24"/>
        </w:rPr>
      </w:pPr>
    </w:p>
    <w:p w:rsidR="00E23C05" w:rsidRPr="006646F8" w:rsidRDefault="00E23C05" w:rsidP="00E23C05">
      <w:pPr>
        <w:spacing w:line="360" w:lineRule="auto"/>
        <w:ind w:firstLine="480"/>
        <w:jc w:val="right"/>
        <w:rPr>
          <w:rFonts w:ascii="宋体" w:hAnsi="宋体"/>
          <w:sz w:val="24"/>
        </w:rPr>
      </w:pPr>
      <w:r w:rsidRPr="006646F8">
        <w:rPr>
          <w:rFonts w:ascii="宋体" w:hAnsi="宋体" w:hint="eastAsia"/>
          <w:sz w:val="24"/>
        </w:rPr>
        <w:t>鹏华基金管理有限公司</w:t>
      </w:r>
    </w:p>
    <w:p w:rsidR="00E23C05" w:rsidRPr="006646F8" w:rsidRDefault="00E23C05" w:rsidP="00E23C05">
      <w:pPr>
        <w:spacing w:line="360" w:lineRule="auto"/>
        <w:ind w:firstLineChars="200" w:firstLine="480"/>
        <w:jc w:val="right"/>
        <w:rPr>
          <w:rFonts w:ascii="宋体" w:hAnsi="宋体"/>
          <w:sz w:val="24"/>
        </w:rPr>
      </w:pPr>
      <w:r w:rsidRPr="00800BEB">
        <w:rPr>
          <w:rFonts w:ascii="宋体" w:hAnsi="宋体"/>
          <w:sz w:val="24"/>
        </w:rPr>
        <w:t>2020</w:t>
      </w:r>
      <w:r w:rsidRPr="00800BEB">
        <w:rPr>
          <w:rFonts w:ascii="宋体" w:hAnsi="宋体" w:hint="eastAsia"/>
          <w:sz w:val="24"/>
        </w:rPr>
        <w:t>年</w:t>
      </w:r>
      <w:r>
        <w:rPr>
          <w:rFonts w:ascii="宋体" w:hAnsi="宋体"/>
          <w:sz w:val="24"/>
        </w:rPr>
        <w:t>10</w:t>
      </w:r>
      <w:r w:rsidRPr="00800BEB">
        <w:rPr>
          <w:rFonts w:ascii="宋体" w:hAnsi="宋体" w:hint="eastAsia"/>
          <w:sz w:val="24"/>
        </w:rPr>
        <w:t>月</w:t>
      </w:r>
      <w:r>
        <w:rPr>
          <w:rFonts w:ascii="宋体" w:hAnsi="宋体"/>
          <w:sz w:val="24"/>
        </w:rPr>
        <w:t>14</w:t>
      </w:r>
      <w:r w:rsidRPr="00800BEB">
        <w:rPr>
          <w:rFonts w:ascii="宋体" w:hAnsi="宋体" w:hint="eastAsia"/>
          <w:sz w:val="24"/>
        </w:rPr>
        <w:t>日</w:t>
      </w:r>
    </w:p>
    <w:p w:rsidR="00384BDC" w:rsidRDefault="00384BDC"/>
    <w:sectPr w:rsidR="00384BDC" w:rsidSect="004B4E81">
      <w:footerReference w:type="default" r:id="rId7"/>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C46869" w16cid:durableId="232ED26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2AC" w:rsidRDefault="005522AC">
      <w:r>
        <w:separator/>
      </w:r>
    </w:p>
  </w:endnote>
  <w:endnote w:type="continuationSeparator" w:id="0">
    <w:p w:rsidR="005522AC" w:rsidRDefault="005522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424037"/>
      <w:docPartObj>
        <w:docPartGallery w:val="AutoText"/>
      </w:docPartObj>
    </w:sdtPr>
    <w:sdtContent>
      <w:p w:rsidR="00384BDC" w:rsidRDefault="004B4E81">
        <w:pPr>
          <w:pStyle w:val="a5"/>
          <w:jc w:val="center"/>
        </w:pPr>
        <w:r>
          <w:fldChar w:fldCharType="begin"/>
        </w:r>
        <w:r w:rsidR="001C2D77">
          <w:instrText>PAGE   \* MERGEFORMAT</w:instrText>
        </w:r>
        <w:r>
          <w:fldChar w:fldCharType="separate"/>
        </w:r>
        <w:r w:rsidR="0009354D" w:rsidRPr="0009354D">
          <w:rPr>
            <w:noProof/>
            <w:lang w:val="zh-CN"/>
          </w:rPr>
          <w:t>1</w:t>
        </w:r>
        <w:r>
          <w:fldChar w:fldCharType="end"/>
        </w:r>
      </w:p>
    </w:sdtContent>
  </w:sdt>
  <w:p w:rsidR="00384BDC" w:rsidRDefault="00384BD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2AC" w:rsidRDefault="005522AC">
      <w:r>
        <w:separator/>
      </w:r>
    </w:p>
  </w:footnote>
  <w:footnote w:type="continuationSeparator" w:id="0">
    <w:p w:rsidR="005522AC" w:rsidRDefault="005522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09CA"/>
    <w:rsid w:val="00006E94"/>
    <w:rsid w:val="00015041"/>
    <w:rsid w:val="00042A2D"/>
    <w:rsid w:val="000574B8"/>
    <w:rsid w:val="0009354D"/>
    <w:rsid w:val="000936A8"/>
    <w:rsid w:val="000B51AA"/>
    <w:rsid w:val="000C09CA"/>
    <w:rsid w:val="000C5CC2"/>
    <w:rsid w:val="000E27C1"/>
    <w:rsid w:val="001016D9"/>
    <w:rsid w:val="00106B19"/>
    <w:rsid w:val="00114BD6"/>
    <w:rsid w:val="001553B1"/>
    <w:rsid w:val="00193266"/>
    <w:rsid w:val="001A20A2"/>
    <w:rsid w:val="001C2B66"/>
    <w:rsid w:val="001C2D77"/>
    <w:rsid w:val="001F4F31"/>
    <w:rsid w:val="00200622"/>
    <w:rsid w:val="00206308"/>
    <w:rsid w:val="00211EBB"/>
    <w:rsid w:val="00240ADD"/>
    <w:rsid w:val="0029779D"/>
    <w:rsid w:val="002F6248"/>
    <w:rsid w:val="003012CA"/>
    <w:rsid w:val="00347900"/>
    <w:rsid w:val="00356817"/>
    <w:rsid w:val="00384BDC"/>
    <w:rsid w:val="00391360"/>
    <w:rsid w:val="003D72B7"/>
    <w:rsid w:val="00427C7B"/>
    <w:rsid w:val="00433113"/>
    <w:rsid w:val="00451E55"/>
    <w:rsid w:val="004657BE"/>
    <w:rsid w:val="00476C21"/>
    <w:rsid w:val="004829FE"/>
    <w:rsid w:val="0049317E"/>
    <w:rsid w:val="00495603"/>
    <w:rsid w:val="004977F4"/>
    <w:rsid w:val="004A70FC"/>
    <w:rsid w:val="004B015D"/>
    <w:rsid w:val="004B4E81"/>
    <w:rsid w:val="004D10E3"/>
    <w:rsid w:val="004D4BAD"/>
    <w:rsid w:val="005522AC"/>
    <w:rsid w:val="00573590"/>
    <w:rsid w:val="00593DF8"/>
    <w:rsid w:val="00594B47"/>
    <w:rsid w:val="00596F4E"/>
    <w:rsid w:val="005A786D"/>
    <w:rsid w:val="005C35F2"/>
    <w:rsid w:val="00603E9C"/>
    <w:rsid w:val="00614B1C"/>
    <w:rsid w:val="00627D0A"/>
    <w:rsid w:val="00710121"/>
    <w:rsid w:val="007137DD"/>
    <w:rsid w:val="00714FDC"/>
    <w:rsid w:val="00721A47"/>
    <w:rsid w:val="007240E0"/>
    <w:rsid w:val="00780767"/>
    <w:rsid w:val="007815C8"/>
    <w:rsid w:val="00783D16"/>
    <w:rsid w:val="007A6B2A"/>
    <w:rsid w:val="007C4D3B"/>
    <w:rsid w:val="008335EA"/>
    <w:rsid w:val="00856DCC"/>
    <w:rsid w:val="0089045E"/>
    <w:rsid w:val="008B1D6D"/>
    <w:rsid w:val="008F6508"/>
    <w:rsid w:val="0091652D"/>
    <w:rsid w:val="00920CDB"/>
    <w:rsid w:val="00941977"/>
    <w:rsid w:val="00950AFA"/>
    <w:rsid w:val="00962D7C"/>
    <w:rsid w:val="0097230D"/>
    <w:rsid w:val="00972659"/>
    <w:rsid w:val="00985C4C"/>
    <w:rsid w:val="00987733"/>
    <w:rsid w:val="00990CB6"/>
    <w:rsid w:val="009B4FC8"/>
    <w:rsid w:val="009D6F22"/>
    <w:rsid w:val="009E2E7C"/>
    <w:rsid w:val="009F13E1"/>
    <w:rsid w:val="009F59A0"/>
    <w:rsid w:val="009F7689"/>
    <w:rsid w:val="00A073F0"/>
    <w:rsid w:val="00A27DF7"/>
    <w:rsid w:val="00A508F2"/>
    <w:rsid w:val="00A960C8"/>
    <w:rsid w:val="00AA2D1E"/>
    <w:rsid w:val="00AC11E5"/>
    <w:rsid w:val="00AC2676"/>
    <w:rsid w:val="00AD5860"/>
    <w:rsid w:val="00AD600B"/>
    <w:rsid w:val="00B50C8E"/>
    <w:rsid w:val="00B647E5"/>
    <w:rsid w:val="00B71AAA"/>
    <w:rsid w:val="00B85540"/>
    <w:rsid w:val="00BB1E12"/>
    <w:rsid w:val="00BC4D7F"/>
    <w:rsid w:val="00BD1826"/>
    <w:rsid w:val="00BE2C77"/>
    <w:rsid w:val="00C111B4"/>
    <w:rsid w:val="00C11661"/>
    <w:rsid w:val="00C14358"/>
    <w:rsid w:val="00C15B99"/>
    <w:rsid w:val="00C53172"/>
    <w:rsid w:val="00C54BB7"/>
    <w:rsid w:val="00C626BE"/>
    <w:rsid w:val="00C76A6F"/>
    <w:rsid w:val="00C85BD4"/>
    <w:rsid w:val="00C91EFD"/>
    <w:rsid w:val="00CE7732"/>
    <w:rsid w:val="00D019D0"/>
    <w:rsid w:val="00D0710D"/>
    <w:rsid w:val="00D729F2"/>
    <w:rsid w:val="00D734C0"/>
    <w:rsid w:val="00D8377B"/>
    <w:rsid w:val="00DA3244"/>
    <w:rsid w:val="00DB7D29"/>
    <w:rsid w:val="00E00719"/>
    <w:rsid w:val="00E23C05"/>
    <w:rsid w:val="00E348E2"/>
    <w:rsid w:val="00E412DB"/>
    <w:rsid w:val="00EC0E3D"/>
    <w:rsid w:val="00ED2B2E"/>
    <w:rsid w:val="00EF4183"/>
    <w:rsid w:val="00F02B62"/>
    <w:rsid w:val="00F047EB"/>
    <w:rsid w:val="00F42507"/>
    <w:rsid w:val="00F8241E"/>
    <w:rsid w:val="00F83603"/>
    <w:rsid w:val="00FA1EA6"/>
    <w:rsid w:val="00FF5431"/>
    <w:rsid w:val="0FFD3F3D"/>
    <w:rsid w:val="1A8C24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E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4B4E81"/>
    <w:pPr>
      <w:jc w:val="left"/>
    </w:pPr>
  </w:style>
  <w:style w:type="paragraph" w:styleId="a4">
    <w:name w:val="Balloon Text"/>
    <w:basedOn w:val="a"/>
    <w:link w:val="Char0"/>
    <w:uiPriority w:val="99"/>
    <w:semiHidden/>
    <w:unhideWhenUsed/>
    <w:rsid w:val="004B4E81"/>
    <w:rPr>
      <w:sz w:val="18"/>
      <w:szCs w:val="18"/>
    </w:rPr>
  </w:style>
  <w:style w:type="paragraph" w:styleId="a5">
    <w:name w:val="footer"/>
    <w:basedOn w:val="a"/>
    <w:link w:val="Char1"/>
    <w:uiPriority w:val="99"/>
    <w:unhideWhenUsed/>
    <w:rsid w:val="004B4E81"/>
    <w:pPr>
      <w:tabs>
        <w:tab w:val="center" w:pos="4153"/>
        <w:tab w:val="right" w:pos="8306"/>
      </w:tabs>
      <w:snapToGrid w:val="0"/>
      <w:jc w:val="left"/>
    </w:pPr>
    <w:rPr>
      <w:sz w:val="18"/>
      <w:szCs w:val="18"/>
    </w:rPr>
  </w:style>
  <w:style w:type="paragraph" w:styleId="a6">
    <w:name w:val="header"/>
    <w:basedOn w:val="a"/>
    <w:link w:val="Char2"/>
    <w:uiPriority w:val="99"/>
    <w:unhideWhenUsed/>
    <w:rsid w:val="004B4E81"/>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4B4E81"/>
    <w:rPr>
      <w:b/>
      <w:bCs/>
    </w:rPr>
  </w:style>
  <w:style w:type="character" w:styleId="a8">
    <w:name w:val="annotation reference"/>
    <w:basedOn w:val="a0"/>
    <w:uiPriority w:val="99"/>
    <w:semiHidden/>
    <w:unhideWhenUsed/>
    <w:qFormat/>
    <w:rsid w:val="004B4E81"/>
    <w:rPr>
      <w:sz w:val="21"/>
      <w:szCs w:val="21"/>
    </w:rPr>
  </w:style>
  <w:style w:type="character" w:customStyle="1" w:styleId="Char2">
    <w:name w:val="页眉 Char"/>
    <w:basedOn w:val="a0"/>
    <w:link w:val="a6"/>
    <w:uiPriority w:val="99"/>
    <w:rsid w:val="004B4E81"/>
    <w:rPr>
      <w:sz w:val="18"/>
      <w:szCs w:val="18"/>
    </w:rPr>
  </w:style>
  <w:style w:type="character" w:customStyle="1" w:styleId="Char1">
    <w:name w:val="页脚 Char"/>
    <w:basedOn w:val="a0"/>
    <w:link w:val="a5"/>
    <w:uiPriority w:val="99"/>
    <w:rsid w:val="004B4E81"/>
    <w:rPr>
      <w:sz w:val="18"/>
      <w:szCs w:val="18"/>
    </w:rPr>
  </w:style>
  <w:style w:type="character" w:customStyle="1" w:styleId="Char0">
    <w:name w:val="批注框文本 Char"/>
    <w:basedOn w:val="a0"/>
    <w:link w:val="a4"/>
    <w:uiPriority w:val="99"/>
    <w:semiHidden/>
    <w:qFormat/>
    <w:rsid w:val="004B4E81"/>
    <w:rPr>
      <w:sz w:val="18"/>
      <w:szCs w:val="18"/>
    </w:rPr>
  </w:style>
  <w:style w:type="character" w:customStyle="1" w:styleId="Char">
    <w:name w:val="批注文字 Char"/>
    <w:basedOn w:val="a0"/>
    <w:link w:val="a3"/>
    <w:uiPriority w:val="99"/>
    <w:semiHidden/>
    <w:rsid w:val="004B4E81"/>
  </w:style>
  <w:style w:type="character" w:customStyle="1" w:styleId="Char3">
    <w:name w:val="批注主题 Char"/>
    <w:basedOn w:val="Char"/>
    <w:link w:val="a7"/>
    <w:uiPriority w:val="99"/>
    <w:semiHidden/>
    <w:rsid w:val="004B4E81"/>
    <w:rPr>
      <w:b/>
      <w:bCs/>
    </w:rPr>
  </w:style>
  <w:style w:type="paragraph" w:styleId="a9">
    <w:name w:val="Revision"/>
    <w:hidden/>
    <w:uiPriority w:val="99"/>
    <w:semiHidden/>
    <w:rsid w:val="00BE2C77"/>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4043</Characters>
  <Application>Microsoft Office Word</Application>
  <DocSecurity>4</DocSecurity>
  <Lines>33</Lines>
  <Paragraphs>9</Paragraphs>
  <ScaleCrop>false</ScaleCrop>
  <Company>Microsoft</Company>
  <LinksUpToDate>false</LinksUpToDate>
  <CharactersWithSpaces>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汤玲</dc:creator>
  <cp:lastModifiedBy>ZHONGM</cp:lastModifiedBy>
  <cp:revision>2</cp:revision>
  <dcterms:created xsi:type="dcterms:W3CDTF">2020-10-13T16:03:00Z</dcterms:created>
  <dcterms:modified xsi:type="dcterms:W3CDTF">2020-10-13T16:03:00Z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