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BDC" w:rsidRDefault="001C2D77">
      <w:pPr>
        <w:spacing w:line="225" w:lineRule="atLeast"/>
        <w:jc w:val="center"/>
        <w:rPr>
          <w:rFonts w:ascii="宋体" w:eastAsia="宋体" w:hAnsi="宋体" w:cs="Times New Roman"/>
          <w:b/>
          <w:bCs/>
          <w:sz w:val="28"/>
          <w:szCs w:val="28"/>
        </w:rPr>
      </w:pPr>
      <w:r>
        <w:rPr>
          <w:rFonts w:ascii="宋体" w:eastAsia="宋体" w:hAnsi="宋体" w:cs="Times New Roman" w:hint="eastAsia"/>
          <w:b/>
          <w:bCs/>
          <w:sz w:val="28"/>
          <w:szCs w:val="28"/>
        </w:rPr>
        <w:t>博时基金管理有限公司关于调整旗下部分基金投资范围并相应修改法律文件的公告</w:t>
      </w:r>
    </w:p>
    <w:p w:rsidR="00384BDC" w:rsidRDefault="00384BDC">
      <w:pPr>
        <w:adjustRightInd w:val="0"/>
        <w:spacing w:line="360" w:lineRule="auto"/>
        <w:ind w:firstLineChars="200" w:firstLine="480"/>
        <w:rPr>
          <w:rFonts w:ascii="Arial" w:eastAsia="宋体" w:hAnsi="Arial" w:cs="Arial"/>
          <w:sz w:val="24"/>
          <w:szCs w:val="20"/>
        </w:rPr>
      </w:pPr>
      <w:bookmarkStart w:id="0" w:name="_GoBack"/>
      <w:bookmarkEnd w:id="0"/>
    </w:p>
    <w:p w:rsidR="008A5D38" w:rsidRDefault="008A5D38" w:rsidP="00247090">
      <w:pPr>
        <w:adjustRightInd w:val="0"/>
        <w:spacing w:line="360" w:lineRule="auto"/>
        <w:ind w:firstLineChars="200" w:firstLine="480"/>
        <w:rPr>
          <w:rFonts w:ascii="Arial" w:eastAsia="宋体" w:hAnsi="Arial" w:cs="Arial"/>
          <w:sz w:val="24"/>
          <w:szCs w:val="20"/>
        </w:rPr>
      </w:pPr>
      <w:r w:rsidRPr="008A5D38">
        <w:rPr>
          <w:rFonts w:ascii="Arial" w:eastAsia="宋体" w:hAnsi="Arial" w:cs="Arial" w:hint="eastAsia"/>
          <w:sz w:val="24"/>
          <w:szCs w:val="20"/>
        </w:rPr>
        <w:t>为进一步丰富基金投资品种，满足投资者需求，根据《中华人民共和国证券投资基金法》、《公开募集证券投资基金运作管理办法》、《存托凭证发行与交易管理办法（试行）》</w:t>
      </w:r>
      <w:r w:rsidR="00247090" w:rsidRPr="00247090">
        <w:rPr>
          <w:rFonts w:ascii="Arial" w:eastAsia="宋体" w:hAnsi="Arial" w:cs="Arial" w:hint="eastAsia"/>
          <w:sz w:val="24"/>
          <w:szCs w:val="20"/>
        </w:rPr>
        <w:t>等法律法规及各基金基金合同、招募说明书及其更新等规定，经与各基金托管人协商一致，并向中国证监会备案</w:t>
      </w:r>
      <w:r w:rsidRPr="008A5D38">
        <w:rPr>
          <w:rFonts w:ascii="Arial" w:eastAsia="宋体" w:hAnsi="Arial" w:cs="Arial" w:hint="eastAsia"/>
          <w:sz w:val="24"/>
          <w:szCs w:val="20"/>
        </w:rPr>
        <w:t>，</w:t>
      </w:r>
      <w:r w:rsidR="003E0B90" w:rsidRPr="003E0B90">
        <w:rPr>
          <w:rFonts w:ascii="Arial" w:eastAsia="宋体" w:hAnsi="Arial" w:cs="Arial" w:hint="eastAsia"/>
          <w:sz w:val="24"/>
          <w:szCs w:val="20"/>
        </w:rPr>
        <w:t>博时基金管理有限公司</w:t>
      </w:r>
      <w:r w:rsidR="003E0B90" w:rsidRPr="003E0B90">
        <w:rPr>
          <w:rFonts w:ascii="Arial" w:eastAsia="宋体" w:hAnsi="Arial" w:cs="Arial" w:hint="eastAsia"/>
          <w:sz w:val="24"/>
          <w:szCs w:val="20"/>
        </w:rPr>
        <w:t>(</w:t>
      </w:r>
      <w:r w:rsidR="003E0B90" w:rsidRPr="003E0B90">
        <w:rPr>
          <w:rFonts w:ascii="Arial" w:eastAsia="宋体" w:hAnsi="Arial" w:cs="Arial" w:hint="eastAsia"/>
          <w:sz w:val="24"/>
          <w:szCs w:val="20"/>
        </w:rPr>
        <w:t>以下简称“本公司”</w:t>
      </w:r>
      <w:r w:rsidR="003E0B90" w:rsidRPr="003E0B90">
        <w:rPr>
          <w:rFonts w:ascii="Arial" w:eastAsia="宋体" w:hAnsi="Arial" w:cs="Arial" w:hint="eastAsia"/>
          <w:sz w:val="24"/>
          <w:szCs w:val="20"/>
        </w:rPr>
        <w:t>)</w:t>
      </w:r>
      <w:r w:rsidR="00247090" w:rsidRPr="00247090">
        <w:rPr>
          <w:rFonts w:ascii="Arial" w:eastAsia="宋体" w:hAnsi="Arial" w:cs="Arial" w:hint="eastAsia"/>
          <w:sz w:val="24"/>
          <w:szCs w:val="20"/>
        </w:rPr>
        <w:t>对旗下</w:t>
      </w:r>
      <w:r w:rsidR="00563D20">
        <w:rPr>
          <w:rFonts w:ascii="Arial" w:eastAsia="宋体" w:hAnsi="Arial" w:cs="Arial" w:hint="eastAsia"/>
          <w:sz w:val="24"/>
          <w:szCs w:val="20"/>
        </w:rPr>
        <w:t>85</w:t>
      </w:r>
      <w:r w:rsidR="00247090" w:rsidRPr="00247090">
        <w:rPr>
          <w:rFonts w:ascii="Arial" w:eastAsia="宋体" w:hAnsi="Arial" w:cs="Arial" w:hint="eastAsia"/>
          <w:sz w:val="24"/>
          <w:szCs w:val="20"/>
        </w:rPr>
        <w:t>只公募基金参与存托凭证投资修订基金合同等法律文件，包括明确投资范围包含存托凭证、增加存托凭证的投资策略、投资比例限制等，并在</w:t>
      </w:r>
      <w:r w:rsidR="00563D20" w:rsidRPr="00563D20">
        <w:rPr>
          <w:rFonts w:ascii="Arial" w:eastAsia="宋体" w:hAnsi="Arial" w:cs="Arial" w:hint="eastAsia"/>
          <w:sz w:val="24"/>
          <w:szCs w:val="20"/>
        </w:rPr>
        <w:t>基金合同、</w:t>
      </w:r>
      <w:r w:rsidR="00247090" w:rsidRPr="00247090">
        <w:rPr>
          <w:rFonts w:ascii="Arial" w:eastAsia="宋体" w:hAnsi="Arial" w:cs="Arial" w:hint="eastAsia"/>
          <w:sz w:val="24"/>
          <w:szCs w:val="20"/>
        </w:rPr>
        <w:t>基金招募说明书（更新）中增加投资存托凭证的风险揭示。本次修订对基金份额持有人利益无实质性不利影响，修订将自</w:t>
      </w:r>
      <w:r w:rsidR="00247090" w:rsidRPr="00247090">
        <w:rPr>
          <w:rFonts w:ascii="Arial" w:eastAsia="宋体" w:hAnsi="Arial" w:cs="Arial" w:hint="eastAsia"/>
          <w:sz w:val="24"/>
          <w:szCs w:val="20"/>
        </w:rPr>
        <w:t>2020</w:t>
      </w:r>
      <w:r w:rsidR="00247090" w:rsidRPr="00247090">
        <w:rPr>
          <w:rFonts w:ascii="Arial" w:eastAsia="宋体" w:hAnsi="Arial" w:cs="Arial" w:hint="eastAsia"/>
          <w:sz w:val="24"/>
          <w:szCs w:val="20"/>
        </w:rPr>
        <w:t>年</w:t>
      </w:r>
      <w:r w:rsidR="00247090" w:rsidRPr="00247090">
        <w:rPr>
          <w:rFonts w:ascii="Arial" w:eastAsia="宋体" w:hAnsi="Arial" w:cs="Arial" w:hint="eastAsia"/>
          <w:sz w:val="24"/>
          <w:szCs w:val="20"/>
        </w:rPr>
        <w:t>10</w:t>
      </w:r>
      <w:r w:rsidR="00247090" w:rsidRPr="00247090">
        <w:rPr>
          <w:rFonts w:ascii="Arial" w:eastAsia="宋体" w:hAnsi="Arial" w:cs="Arial" w:hint="eastAsia"/>
          <w:sz w:val="24"/>
          <w:szCs w:val="20"/>
        </w:rPr>
        <w:t>月</w:t>
      </w:r>
      <w:r w:rsidR="00247090" w:rsidRPr="00247090">
        <w:rPr>
          <w:rFonts w:ascii="Arial" w:eastAsia="宋体" w:hAnsi="Arial" w:cs="Arial" w:hint="eastAsia"/>
          <w:sz w:val="24"/>
          <w:szCs w:val="20"/>
        </w:rPr>
        <w:t>14</w:t>
      </w:r>
      <w:r w:rsidR="00247090" w:rsidRPr="00247090">
        <w:rPr>
          <w:rFonts w:ascii="Arial" w:eastAsia="宋体" w:hAnsi="Arial" w:cs="Arial" w:hint="eastAsia"/>
          <w:sz w:val="24"/>
          <w:szCs w:val="20"/>
        </w:rPr>
        <w:t>日起正式生效。现将基金合同、</w:t>
      </w:r>
      <w:r w:rsidR="00563D20" w:rsidRPr="00563D20">
        <w:rPr>
          <w:rFonts w:ascii="Arial" w:eastAsia="宋体" w:hAnsi="Arial" w:cs="Arial" w:hint="eastAsia"/>
          <w:sz w:val="24"/>
          <w:szCs w:val="20"/>
        </w:rPr>
        <w:t>托管协议及</w:t>
      </w:r>
      <w:r w:rsidR="00247090" w:rsidRPr="00247090">
        <w:rPr>
          <w:rFonts w:ascii="Arial" w:eastAsia="宋体" w:hAnsi="Arial" w:cs="Arial" w:hint="eastAsia"/>
          <w:sz w:val="24"/>
          <w:szCs w:val="20"/>
        </w:rPr>
        <w:t>招募说明书（更新）修订情况公告如下：</w:t>
      </w:r>
      <w:r w:rsidR="00563D20" w:rsidRPr="008A5D38" w:rsidDel="00563D20">
        <w:rPr>
          <w:rFonts w:ascii="Arial" w:eastAsia="宋体" w:hAnsi="Arial" w:cs="Arial" w:hint="eastAsia"/>
          <w:sz w:val="24"/>
          <w:szCs w:val="20"/>
        </w:rPr>
        <w:t xml:space="preserve"> </w:t>
      </w:r>
    </w:p>
    <w:p w:rsidR="00C1664B" w:rsidRDefault="00C1664B" w:rsidP="00C1664B">
      <w:pPr>
        <w:adjustRightInd w:val="0"/>
        <w:spacing w:line="360" w:lineRule="auto"/>
        <w:ind w:firstLineChars="200" w:firstLine="480"/>
        <w:rPr>
          <w:rFonts w:ascii="Arial" w:eastAsia="宋体" w:hAnsi="Arial" w:cs="Arial"/>
          <w:sz w:val="24"/>
          <w:szCs w:val="20"/>
        </w:rPr>
      </w:pPr>
      <w:r w:rsidRPr="00C1664B">
        <w:rPr>
          <w:rFonts w:ascii="Arial" w:eastAsia="宋体" w:hAnsi="Arial" w:cs="Arial" w:hint="eastAsia"/>
          <w:sz w:val="24"/>
          <w:szCs w:val="20"/>
        </w:rPr>
        <w:t>一、</w:t>
      </w:r>
      <w:r w:rsidR="00F465FB">
        <w:rPr>
          <w:rFonts w:ascii="Arial" w:eastAsia="宋体" w:hAnsi="Arial" w:cs="Arial" w:hint="eastAsia"/>
          <w:sz w:val="24"/>
          <w:szCs w:val="20"/>
        </w:rPr>
        <w:t>本次修订基金列表</w:t>
      </w:r>
    </w:p>
    <w:tbl>
      <w:tblPr>
        <w:tblW w:w="8613" w:type="dxa"/>
        <w:tblLook w:val="04A0"/>
      </w:tblPr>
      <w:tblGrid>
        <w:gridCol w:w="781"/>
        <w:gridCol w:w="4714"/>
        <w:gridCol w:w="3118"/>
      </w:tblGrid>
      <w:tr w:rsidR="00F3006F" w:rsidRPr="00F3006F" w:rsidTr="00F3006F">
        <w:trPr>
          <w:trHeight w:val="270"/>
        </w:trPr>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序号</w:t>
            </w:r>
          </w:p>
        </w:tc>
        <w:tc>
          <w:tcPr>
            <w:tcW w:w="4714" w:type="dxa"/>
            <w:tcBorders>
              <w:top w:val="single" w:sz="4" w:space="0" w:color="auto"/>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基金全称</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托管人</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博时新兴成长混合型证券投资基金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交通银行股份有限公司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博时价值臻选两年持有期灵活配置混合型证券投资基金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上海浦东发展银行股份有限公司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博时鑫惠灵活配置混合型证券投资基金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上海浦东发展银行股份有限公司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博时鑫润灵活配置混合型证券投资基金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上海浦东发展银行股份有限公司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博时鑫荣稳健混合型证券投资基金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上海银行股份有限公司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博时研究臻选三年持有期灵活配置混合型证券投资基金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博时女性消费主题混合型证券投资基金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博时中证可持续发展100交易型开放式指数证券投资基金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博时中证央企创新驱动交易型开放式指数证券投资基金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博时中证500交易型开放式指数证券投资基金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博时优势企业3年封闭运作灵活配置混合型证券投资基金(LOF)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博时中证央企结构调整交易型开放式指数证券投资基金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博时量化多策略股票型证券投资基金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lastRenderedPageBreak/>
              <w:t>14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博时创新驱动灵活配置混合型证券投资基金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博时鑫泰灵活配置混合型证券投资基金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博时弘泰定期开放混合型证券投资基金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博时鑫泽灵活配置混合型证券投资基金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博时乐臻定期开放混合型证券投资基金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19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博时弘盈定期开放混合型证券投资基金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博时新收益灵活配置混合型证券投资基金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博时新策略灵活配置混合型证券投资基金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博时上证50交易型开放式指数证券投资基金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博时沪港深优质企业灵活配置混合型证券投资基金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招商银行股份有限公司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博时科创板三年定期开放混合型证券投资基金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博时研究精选一年持有期灵活配置混合型证券投资基金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博时科技创新混合型证券投资基金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博时成长优选两年封闭运作灵活配置混合型证券投资基金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博时科创主题3年封闭运作灵活配置混合型证券投资基金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29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博时荣享回报灵活配置定期开放混合型证券投资基金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博时厚泽回报灵活配置混合型证券投资基金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博时战略新兴产业混合型证券投资基金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博时量化平衡混合型证券投资基金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博时汇智回报灵活配置混合型证券投资基金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博时睿利事件驱动灵活配置混合型证券投资基金(LOF)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博时中证银联智惠大数据100指数型证券投资基金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博时外延增长主题灵活配置混合型证券投资基金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博时国企改革主题股票型证券投资基金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博时产业新动力灵活配置混合型发起式证券投资基金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39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博时卓越品牌混合型证券投资基金(LOF)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博时第三产业成长混合型证券投资基金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博时平衡配置混合型证券投资基金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博时精选混合型证券投资基金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中国工商银行股份有限公司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博时睿益事件驱动灵活配置混合型证券投资基金(LOF)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中国光大银行股份有限公司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博时中证银行指数证券投资基金(LOF)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博时荣丰回报三年封闭运作灵活配置混合型证券投资基金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lastRenderedPageBreak/>
              <w:t>46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博时沪深300交易型开放式指数证券投资基金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博时产业新趋势灵活配置混合型证券投资基金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博时军工主题股票型证券投资基金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49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博时文体娱乐主题混合型证券投资基金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博时鑫源灵活配置混合型证券投资基金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博时颐泰混合型证券投资基金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博时中证淘金大数据100指数型证券投资基金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博时裕益灵活配置混合型证券投资基金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上证自然资源交易型开放式指数证券投资基金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博时回报灵活配置混合型证券投资基金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博时行业轮动混合型证券投资基金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博时策略灵活配置混合型证券投资基金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博时特许价值混合型证券投资基金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59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博时价值增长贰号证券投资基金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博时主题行业混合型证券投资基金(LOF)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博时裕富沪深300指数证券投资基金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中国建设银行股份有限公司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博时创业板两年定期开放混合型证券投资基金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博时中证全指证券公司指数证券投资基金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博时健康成长主题双周定期可赎回混合型证券投资基金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博时研究优选3年封闭运作灵活配置混合型证券投资基金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博时汇悦回报混合型证券投资基金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博时中证500指数增强型证券投资基金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68</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博时新兴消费主题混合型证券投资基金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69</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博时逆向投资混合型证券投资基金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70</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博时新起点灵活配置混合型证券投资基金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71</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博时丝路主题股票型证券投资基金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72</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博时医疗保健行业混合型证券投资基金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73</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博时恒裕6个月持有期混合型证券投资基金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中信银行股份有限公司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74</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博时沪港深价值优选灵活配置混合型证券投资基金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中信银行股份有限公司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75</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博时鑫瑞灵活配置混合型证券投资基金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中国民生银行股份有限公司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76</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博时恒盛一年持有期混合型证券投资基金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中国邮政储蓄银行股份有限公司</w:t>
            </w:r>
          </w:p>
        </w:tc>
      </w:tr>
      <w:tr w:rsidR="00F3006F" w:rsidRPr="00F3006F" w:rsidTr="00F3006F">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F3006F" w:rsidRPr="00F3006F" w:rsidRDefault="00F3006F" w:rsidP="00F3006F">
            <w:pPr>
              <w:widowControl/>
              <w:jc w:val="center"/>
              <w:rPr>
                <w:rFonts w:ascii="宋体" w:eastAsia="宋体" w:hAnsi="宋体" w:cs="宋体"/>
                <w:color w:val="000000"/>
                <w:kern w:val="0"/>
                <w:sz w:val="22"/>
              </w:rPr>
            </w:pPr>
            <w:r w:rsidRPr="00F3006F">
              <w:rPr>
                <w:rFonts w:ascii="宋体" w:eastAsia="宋体" w:hAnsi="宋体" w:cs="宋体" w:hint="eastAsia"/>
                <w:color w:val="000000"/>
                <w:kern w:val="0"/>
                <w:sz w:val="22"/>
              </w:rPr>
              <w:t>77</w:t>
            </w:r>
          </w:p>
        </w:tc>
        <w:tc>
          <w:tcPr>
            <w:tcW w:w="4714"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博时荣升稳健添利18个月定期开放混合型证券投资基金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F3006F" w:rsidRPr="00F3006F" w:rsidRDefault="00F3006F" w:rsidP="00F3006F">
            <w:pPr>
              <w:widowControl/>
              <w:jc w:val="left"/>
              <w:rPr>
                <w:rFonts w:ascii="宋体" w:eastAsia="宋体" w:hAnsi="宋体" w:cs="宋体"/>
                <w:color w:val="000000"/>
                <w:kern w:val="0"/>
                <w:sz w:val="22"/>
              </w:rPr>
            </w:pPr>
            <w:r w:rsidRPr="00F3006F">
              <w:rPr>
                <w:rFonts w:ascii="宋体" w:eastAsia="宋体" w:hAnsi="宋体" w:cs="宋体" w:hint="eastAsia"/>
                <w:color w:val="000000"/>
                <w:kern w:val="0"/>
                <w:sz w:val="22"/>
              </w:rPr>
              <w:t>中国邮政储蓄银行股份有限公司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sidRPr="006906D4">
              <w:rPr>
                <w:rFonts w:ascii="宋体" w:eastAsia="宋体" w:hAnsi="宋体" w:cs="宋体" w:hint="eastAsia"/>
                <w:color w:val="000000"/>
                <w:kern w:val="0"/>
                <w:sz w:val="22"/>
              </w:rPr>
              <w:t>7</w:t>
            </w:r>
            <w:r>
              <w:rPr>
                <w:rFonts w:ascii="宋体" w:eastAsia="宋体" w:hAnsi="宋体" w:cs="宋体" w:hint="eastAsia"/>
                <w:color w:val="000000"/>
                <w:kern w:val="0"/>
                <w:sz w:val="22"/>
              </w:rPr>
              <w:t>8</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博时量化价值股票型证券投资基金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中国农业银行股份有限公司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sidRPr="006906D4">
              <w:rPr>
                <w:rFonts w:ascii="宋体" w:eastAsia="宋体" w:hAnsi="宋体" w:cs="宋体" w:hint="eastAsia"/>
                <w:color w:val="000000"/>
                <w:kern w:val="0"/>
                <w:sz w:val="22"/>
              </w:rPr>
              <w:t>7</w:t>
            </w:r>
            <w:r>
              <w:rPr>
                <w:rFonts w:ascii="宋体" w:eastAsia="宋体" w:hAnsi="宋体" w:cs="宋体" w:hint="eastAsia"/>
                <w:color w:val="000000"/>
                <w:kern w:val="0"/>
                <w:sz w:val="22"/>
              </w:rPr>
              <w:t>9</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博时工业4.0主题股票型证券投资基金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中国农业银行股份有限公司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博时裕隆灵活配置混合型证券投资基金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中国农业银行股份有限公司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81</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博时内需增长灵活配置混合型证券投资基金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中国农业银行股份有限公司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sidRPr="006906D4">
              <w:rPr>
                <w:rFonts w:ascii="宋体" w:eastAsia="宋体" w:hAnsi="宋体" w:cs="宋体" w:hint="eastAsia"/>
                <w:color w:val="000000"/>
                <w:kern w:val="0"/>
                <w:sz w:val="22"/>
              </w:rPr>
              <w:t>8</w:t>
            </w:r>
            <w:r>
              <w:rPr>
                <w:rFonts w:ascii="宋体" w:eastAsia="宋体" w:hAnsi="宋体" w:cs="宋体" w:hint="eastAsia"/>
                <w:color w:val="000000"/>
                <w:kern w:val="0"/>
                <w:sz w:val="22"/>
              </w:rPr>
              <w:t>2</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博时创业成长混合型证券投资基金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中国农业银行股份有限公司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sidRPr="006906D4">
              <w:rPr>
                <w:rFonts w:ascii="宋体" w:eastAsia="宋体" w:hAnsi="宋体" w:cs="宋体" w:hint="eastAsia"/>
                <w:color w:val="000000"/>
                <w:kern w:val="0"/>
                <w:sz w:val="22"/>
              </w:rPr>
              <w:t>83</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博时荣泰灵活配置混合型证券投资基金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浙商银行股份有限公司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sidRPr="006906D4">
              <w:rPr>
                <w:rFonts w:ascii="宋体" w:eastAsia="宋体" w:hAnsi="宋体" w:cs="宋体" w:hint="eastAsia"/>
                <w:color w:val="000000"/>
                <w:kern w:val="0"/>
                <w:sz w:val="22"/>
              </w:rPr>
              <w:t>84</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博时中证5G产业50交易型开放式指数证券投资基金</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中信建投证券股份有限公司</w:t>
            </w:r>
          </w:p>
        </w:tc>
      </w:tr>
      <w:tr w:rsidR="006906D4" w:rsidTr="006906D4">
        <w:trPr>
          <w:trHeight w:val="270"/>
        </w:trPr>
        <w:tc>
          <w:tcPr>
            <w:tcW w:w="781" w:type="dxa"/>
            <w:tcBorders>
              <w:top w:val="nil"/>
              <w:left w:val="single" w:sz="4" w:space="0" w:color="auto"/>
              <w:bottom w:val="single" w:sz="4" w:space="0" w:color="auto"/>
              <w:right w:val="single" w:sz="4" w:space="0" w:color="auto"/>
            </w:tcBorders>
            <w:shd w:val="clear" w:color="auto" w:fill="auto"/>
            <w:noWrap/>
            <w:vAlign w:val="center"/>
            <w:hideMark/>
          </w:tcPr>
          <w:p w:rsidR="006906D4" w:rsidRPr="006906D4" w:rsidRDefault="006906D4" w:rsidP="006906D4">
            <w:pPr>
              <w:widowControl/>
              <w:jc w:val="center"/>
              <w:rPr>
                <w:rFonts w:ascii="宋体" w:eastAsia="宋体" w:hAnsi="宋体" w:cs="宋体"/>
                <w:color w:val="000000"/>
                <w:kern w:val="0"/>
                <w:sz w:val="22"/>
              </w:rPr>
            </w:pPr>
            <w:r w:rsidRPr="006906D4">
              <w:rPr>
                <w:rFonts w:ascii="宋体" w:eastAsia="宋体" w:hAnsi="宋体" w:cs="宋体" w:hint="eastAsia"/>
                <w:color w:val="000000"/>
                <w:kern w:val="0"/>
                <w:sz w:val="22"/>
              </w:rPr>
              <w:t>85</w:t>
            </w:r>
          </w:p>
        </w:tc>
        <w:tc>
          <w:tcPr>
            <w:tcW w:w="4714"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博时睿远事件驱动灵活配置混合型证券投资基金(LOF)</w:t>
            </w:r>
          </w:p>
        </w:tc>
        <w:tc>
          <w:tcPr>
            <w:tcW w:w="3118" w:type="dxa"/>
            <w:tcBorders>
              <w:top w:val="nil"/>
              <w:left w:val="nil"/>
              <w:bottom w:val="single" w:sz="4" w:space="0" w:color="auto"/>
              <w:right w:val="single" w:sz="4" w:space="0" w:color="auto"/>
            </w:tcBorders>
            <w:shd w:val="clear" w:color="auto" w:fill="auto"/>
            <w:noWrap/>
            <w:vAlign w:val="center"/>
            <w:hideMark/>
          </w:tcPr>
          <w:p w:rsidR="006906D4" w:rsidRPr="006906D4" w:rsidRDefault="006906D4" w:rsidP="006906D4">
            <w:pPr>
              <w:widowControl/>
              <w:jc w:val="left"/>
              <w:rPr>
                <w:rFonts w:ascii="宋体" w:eastAsia="宋体" w:hAnsi="宋体" w:cs="宋体"/>
                <w:color w:val="000000"/>
                <w:kern w:val="0"/>
                <w:sz w:val="22"/>
              </w:rPr>
            </w:pPr>
            <w:r w:rsidRPr="006906D4">
              <w:rPr>
                <w:rFonts w:ascii="宋体" w:eastAsia="宋体" w:hAnsi="宋体" w:cs="宋体" w:hint="eastAsia"/>
                <w:color w:val="000000"/>
                <w:kern w:val="0"/>
                <w:sz w:val="22"/>
              </w:rPr>
              <w:t>中信建投证券股份有限公司</w:t>
            </w:r>
          </w:p>
        </w:tc>
      </w:tr>
    </w:tbl>
    <w:p w:rsidR="00C1664B" w:rsidRDefault="00C1664B" w:rsidP="00C1664B">
      <w:pPr>
        <w:adjustRightInd w:val="0"/>
        <w:spacing w:line="360" w:lineRule="auto"/>
        <w:ind w:firstLineChars="200" w:firstLine="480"/>
        <w:rPr>
          <w:rFonts w:ascii="Arial" w:eastAsia="宋体" w:hAnsi="Arial" w:cs="Arial"/>
          <w:sz w:val="24"/>
          <w:szCs w:val="20"/>
        </w:rPr>
      </w:pPr>
      <w:r w:rsidRPr="00C1664B">
        <w:rPr>
          <w:rFonts w:ascii="Arial" w:eastAsia="宋体" w:hAnsi="Arial" w:cs="Arial" w:hint="eastAsia"/>
          <w:sz w:val="24"/>
          <w:szCs w:val="20"/>
        </w:rPr>
        <w:t>二、基金合同</w:t>
      </w:r>
      <w:r w:rsidR="009965CF">
        <w:rPr>
          <w:rFonts w:ascii="Arial" w:eastAsia="宋体" w:hAnsi="Arial" w:cs="Arial" w:hint="eastAsia"/>
          <w:sz w:val="24"/>
          <w:szCs w:val="20"/>
        </w:rPr>
        <w:t>、托管协议</w:t>
      </w:r>
      <w:r w:rsidRPr="00C1664B">
        <w:rPr>
          <w:rFonts w:ascii="Arial" w:eastAsia="宋体" w:hAnsi="Arial" w:cs="Arial" w:hint="eastAsia"/>
          <w:sz w:val="24"/>
          <w:szCs w:val="20"/>
        </w:rPr>
        <w:t>及招募说明书（更新）修订</w:t>
      </w:r>
    </w:p>
    <w:p w:rsidR="00384BDC" w:rsidRDefault="009965CF" w:rsidP="00C1664B">
      <w:pPr>
        <w:adjustRightInd w:val="0"/>
        <w:spacing w:line="360" w:lineRule="auto"/>
        <w:rPr>
          <w:rFonts w:ascii="Arial" w:eastAsia="宋体" w:hAnsi="Arial" w:cs="Arial"/>
          <w:sz w:val="24"/>
          <w:szCs w:val="20"/>
        </w:rPr>
      </w:pPr>
      <w:r>
        <w:rPr>
          <w:rFonts w:ascii="Arial" w:eastAsia="宋体" w:hAnsi="Arial" w:cs="Arial" w:hint="eastAsia"/>
          <w:sz w:val="24"/>
          <w:szCs w:val="20"/>
        </w:rPr>
        <w:t>（一）</w:t>
      </w:r>
      <w:r w:rsidR="001C2D77">
        <w:rPr>
          <w:rFonts w:ascii="Arial" w:eastAsia="宋体" w:hAnsi="Arial" w:cs="Arial" w:hint="eastAsia"/>
          <w:sz w:val="24"/>
          <w:szCs w:val="20"/>
        </w:rPr>
        <w:t>在《基金合同》前言部分增加如下内容：</w:t>
      </w:r>
    </w:p>
    <w:p w:rsidR="00384BDC" w:rsidRDefault="00F465FB">
      <w:pPr>
        <w:adjustRightInd w:val="0"/>
        <w:spacing w:line="360" w:lineRule="auto"/>
        <w:ind w:firstLineChars="200" w:firstLine="482"/>
        <w:rPr>
          <w:rFonts w:ascii="Arial" w:eastAsia="宋体" w:hAnsi="Arial" w:cs="Arial"/>
          <w:b/>
          <w:bCs/>
          <w:sz w:val="24"/>
          <w:szCs w:val="20"/>
          <w:u w:val="single"/>
        </w:rPr>
      </w:pPr>
      <w:r>
        <w:rPr>
          <w:rFonts w:ascii="Arial" w:eastAsia="宋体" w:hAnsi="Arial" w:cs="Arial" w:hint="eastAsia"/>
          <w:b/>
          <w:bCs/>
          <w:sz w:val="24"/>
          <w:szCs w:val="20"/>
          <w:u w:val="single"/>
        </w:rPr>
        <w:t>“</w:t>
      </w:r>
      <w:r w:rsidR="001C2D77">
        <w:rPr>
          <w:rFonts w:ascii="Arial" w:eastAsia="宋体" w:hAnsi="Arial" w:cs="Arial" w:hint="eastAsia"/>
          <w:b/>
          <w:bCs/>
          <w:sz w:val="24"/>
          <w:szCs w:val="20"/>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w:t>
      </w:r>
      <w:r>
        <w:rPr>
          <w:rFonts w:ascii="Arial" w:eastAsia="宋体" w:hAnsi="Arial" w:cs="Arial" w:hint="eastAsia"/>
          <w:b/>
          <w:bCs/>
          <w:sz w:val="24"/>
          <w:szCs w:val="20"/>
          <w:u w:val="single"/>
        </w:rPr>
        <w:t>”</w:t>
      </w:r>
    </w:p>
    <w:p w:rsidR="009860D7" w:rsidRDefault="009965CF">
      <w:pPr>
        <w:adjustRightInd w:val="0"/>
        <w:spacing w:line="360" w:lineRule="auto"/>
        <w:rPr>
          <w:rFonts w:ascii="Arial" w:eastAsia="宋体" w:hAnsi="Arial" w:cs="Arial"/>
          <w:sz w:val="24"/>
          <w:szCs w:val="20"/>
        </w:rPr>
      </w:pPr>
      <w:r>
        <w:rPr>
          <w:rFonts w:ascii="Arial" w:eastAsia="宋体" w:hAnsi="Arial" w:cs="Arial" w:hint="eastAsia"/>
          <w:sz w:val="24"/>
          <w:szCs w:val="20"/>
        </w:rPr>
        <w:t>（二）</w:t>
      </w:r>
      <w:r w:rsidR="001C2D77">
        <w:rPr>
          <w:rFonts w:ascii="Arial" w:eastAsia="宋体" w:hAnsi="Arial" w:cs="Arial" w:hint="eastAsia"/>
          <w:sz w:val="24"/>
          <w:szCs w:val="20"/>
        </w:rPr>
        <w:t>在《基金合同》</w:t>
      </w:r>
      <w:r w:rsidR="005B43E7">
        <w:rPr>
          <w:rFonts w:ascii="Arial" w:eastAsia="宋体" w:hAnsi="Arial" w:cs="Arial" w:hint="eastAsia"/>
          <w:sz w:val="24"/>
          <w:szCs w:val="20"/>
        </w:rPr>
        <w:t>、</w:t>
      </w:r>
      <w:r w:rsidR="001C2D77">
        <w:rPr>
          <w:rFonts w:ascii="Arial" w:eastAsia="宋体" w:hAnsi="Arial" w:cs="Arial" w:hint="eastAsia"/>
          <w:sz w:val="24"/>
          <w:szCs w:val="20"/>
        </w:rPr>
        <w:t>《托管协议》</w:t>
      </w:r>
      <w:r w:rsidR="005B43E7">
        <w:rPr>
          <w:rFonts w:ascii="Arial" w:eastAsia="宋体" w:hAnsi="Arial" w:cs="Arial" w:hint="eastAsia"/>
          <w:sz w:val="24"/>
          <w:szCs w:val="20"/>
        </w:rPr>
        <w:t>和《招募说明书》</w:t>
      </w:r>
      <w:r w:rsidR="001C2D77">
        <w:rPr>
          <w:rFonts w:ascii="Arial" w:eastAsia="宋体" w:hAnsi="Arial" w:cs="Arial" w:hint="eastAsia"/>
          <w:sz w:val="24"/>
          <w:szCs w:val="20"/>
        </w:rPr>
        <w:t>投资范围中增加</w:t>
      </w:r>
      <w:r w:rsidR="005B43E7">
        <w:rPr>
          <w:rFonts w:ascii="Arial" w:eastAsia="宋体" w:hAnsi="Arial" w:cs="Arial" w:hint="eastAsia"/>
          <w:sz w:val="24"/>
          <w:szCs w:val="20"/>
        </w:rPr>
        <w:t>“</w:t>
      </w:r>
      <w:r w:rsidR="005B43E7" w:rsidRPr="00563D20">
        <w:rPr>
          <w:rFonts w:ascii="Arial" w:eastAsia="宋体" w:hAnsi="Arial" w:cs="Arial" w:hint="eastAsia"/>
          <w:b/>
          <w:sz w:val="24"/>
          <w:szCs w:val="20"/>
        </w:rPr>
        <w:t>存托凭证</w:t>
      </w:r>
      <w:r w:rsidR="005B43E7">
        <w:rPr>
          <w:rFonts w:ascii="Arial" w:eastAsia="宋体" w:hAnsi="Arial" w:cs="Arial" w:hint="eastAsia"/>
          <w:sz w:val="24"/>
          <w:szCs w:val="20"/>
        </w:rPr>
        <w:t>”</w:t>
      </w:r>
      <w:r w:rsidR="009860D7">
        <w:rPr>
          <w:rFonts w:ascii="Arial" w:eastAsia="宋体" w:hAnsi="Arial" w:cs="Arial" w:hint="eastAsia"/>
          <w:sz w:val="24"/>
          <w:szCs w:val="20"/>
        </w:rPr>
        <w:t>。</w:t>
      </w:r>
    </w:p>
    <w:p w:rsidR="00563D20" w:rsidRPr="009860D7" w:rsidRDefault="009860D7" w:rsidP="009860D7">
      <w:pPr>
        <w:adjustRightInd w:val="0"/>
        <w:spacing w:line="360" w:lineRule="auto"/>
        <w:rPr>
          <w:rFonts w:ascii="Arial" w:eastAsia="宋体" w:hAnsi="Arial" w:cs="Arial"/>
          <w:szCs w:val="20"/>
        </w:rPr>
      </w:pPr>
      <w:r>
        <w:rPr>
          <w:rFonts w:ascii="Arial" w:eastAsia="宋体" w:hAnsi="Arial" w:cs="Arial" w:hint="eastAsia"/>
          <w:sz w:val="24"/>
          <w:szCs w:val="20"/>
        </w:rPr>
        <w:t>（三）</w:t>
      </w:r>
      <w:r w:rsidRPr="009860D7">
        <w:rPr>
          <w:rFonts w:ascii="Arial" w:eastAsia="宋体" w:hAnsi="Arial" w:cs="Arial" w:hint="eastAsia"/>
          <w:sz w:val="24"/>
          <w:szCs w:val="20"/>
        </w:rPr>
        <w:t>在《基金合同》、《托管协议》和《招募说明书》中，将组合投资组合比例中“股票资产占基金资产的比例……”修改为“股票</w:t>
      </w:r>
      <w:r w:rsidRPr="009860D7">
        <w:rPr>
          <w:rFonts w:ascii="Arial" w:eastAsia="宋体" w:hAnsi="Arial" w:cs="Arial" w:hint="eastAsia"/>
          <w:b/>
          <w:sz w:val="24"/>
          <w:szCs w:val="20"/>
          <w:u w:val="single"/>
        </w:rPr>
        <w:t>（含存托凭证</w:t>
      </w:r>
      <w:r w:rsidRPr="009860D7">
        <w:rPr>
          <w:rFonts w:ascii="Arial" w:eastAsia="宋体" w:hAnsi="Arial" w:cs="Arial" w:hint="eastAsia"/>
          <w:sz w:val="24"/>
          <w:szCs w:val="20"/>
        </w:rPr>
        <w:t>）资产占基金资产的比例……”或“本基金投资组合中股票投资比例为基金资产的……”修改为“本</w:t>
      </w:r>
      <w:r>
        <w:rPr>
          <w:rFonts w:ascii="Arial" w:eastAsia="宋体" w:hAnsi="Arial" w:cs="Arial" w:hint="eastAsia"/>
          <w:sz w:val="24"/>
          <w:szCs w:val="20"/>
        </w:rPr>
        <w:t>基金投资组合中股票</w:t>
      </w:r>
      <w:r w:rsidRPr="009860D7">
        <w:rPr>
          <w:rFonts w:ascii="Arial" w:eastAsia="宋体" w:hAnsi="Arial" w:cs="Arial" w:hint="eastAsia"/>
          <w:b/>
          <w:sz w:val="24"/>
          <w:szCs w:val="20"/>
          <w:u w:val="single"/>
        </w:rPr>
        <w:t>（含存托凭证</w:t>
      </w:r>
      <w:r>
        <w:rPr>
          <w:rFonts w:ascii="Arial" w:eastAsia="宋体" w:hAnsi="Arial" w:cs="Arial" w:hint="eastAsia"/>
          <w:sz w:val="24"/>
          <w:szCs w:val="20"/>
        </w:rPr>
        <w:t>）投资比例为基金资产的……”。</w:t>
      </w:r>
      <w:r w:rsidR="001C2D77">
        <w:rPr>
          <w:rFonts w:ascii="Arial" w:eastAsia="宋体" w:hAnsi="Arial" w:cs="Arial" w:hint="eastAsia"/>
          <w:sz w:val="24"/>
          <w:szCs w:val="20"/>
        </w:rPr>
        <w:t>如为指数基金，则将</w:t>
      </w:r>
      <w:r w:rsidR="009965CF">
        <w:rPr>
          <w:rFonts w:ascii="Arial" w:eastAsia="宋体" w:hAnsi="Arial" w:cs="Arial" w:hint="eastAsia"/>
          <w:sz w:val="24"/>
          <w:szCs w:val="20"/>
        </w:rPr>
        <w:t>“</w:t>
      </w:r>
      <w:r w:rsidRPr="009860D7">
        <w:rPr>
          <w:rFonts w:ascii="Arial" w:eastAsia="宋体" w:hAnsi="Arial" w:cs="Arial" w:hint="eastAsia"/>
          <w:sz w:val="24"/>
          <w:szCs w:val="20"/>
        </w:rPr>
        <w:t>投资</w:t>
      </w:r>
      <w:r w:rsidR="001C2D77">
        <w:rPr>
          <w:rFonts w:ascii="Arial" w:eastAsia="宋体" w:hAnsi="Arial" w:cs="Arial" w:hint="eastAsia"/>
          <w:sz w:val="24"/>
          <w:szCs w:val="20"/>
        </w:rPr>
        <w:t>标的指数成份股和备选成份股</w:t>
      </w:r>
      <w:r w:rsidRPr="009860D7">
        <w:rPr>
          <w:rFonts w:ascii="Arial" w:eastAsia="宋体" w:hAnsi="Arial" w:cs="Arial"/>
          <w:sz w:val="24"/>
          <w:szCs w:val="20"/>
        </w:rPr>
        <w:t>的比例不低于</w:t>
      </w:r>
      <w:r w:rsidRPr="009860D7">
        <w:rPr>
          <w:rFonts w:ascii="Arial" w:eastAsia="宋体" w:hAnsi="Arial" w:cs="Arial"/>
          <w:sz w:val="24"/>
          <w:szCs w:val="20"/>
        </w:rPr>
        <w:t>.....</w:t>
      </w:r>
      <w:r>
        <w:rPr>
          <w:rFonts w:ascii="Arial" w:eastAsia="宋体" w:hAnsi="Arial" w:cs="Arial" w:hint="eastAsia"/>
          <w:sz w:val="24"/>
          <w:szCs w:val="20"/>
        </w:rPr>
        <w:t>”</w:t>
      </w:r>
      <w:r w:rsidR="001C2D77">
        <w:rPr>
          <w:rFonts w:ascii="Arial" w:eastAsia="宋体" w:hAnsi="Arial" w:cs="Arial" w:hint="eastAsia"/>
          <w:sz w:val="24"/>
          <w:szCs w:val="20"/>
        </w:rPr>
        <w:t>修改为</w:t>
      </w:r>
      <w:r w:rsidR="001C2D77">
        <w:rPr>
          <w:rFonts w:ascii="Arial" w:eastAsia="宋体" w:hAnsi="Arial" w:cs="Arial"/>
          <w:sz w:val="24"/>
          <w:szCs w:val="20"/>
        </w:rPr>
        <w:t>“</w:t>
      </w:r>
      <w:r>
        <w:rPr>
          <w:rFonts w:ascii="Arial" w:eastAsia="宋体" w:hAnsi="Arial" w:cs="Arial" w:hint="eastAsia"/>
          <w:sz w:val="24"/>
          <w:szCs w:val="20"/>
        </w:rPr>
        <w:t>投资</w:t>
      </w:r>
      <w:r w:rsidR="001C2D77">
        <w:rPr>
          <w:rFonts w:ascii="Arial" w:eastAsia="宋体" w:hAnsi="Arial" w:cs="Arial" w:hint="eastAsia"/>
          <w:sz w:val="24"/>
          <w:szCs w:val="20"/>
        </w:rPr>
        <w:t>标的指数成份股和备选成份股</w:t>
      </w:r>
      <w:r w:rsidR="001C2D77">
        <w:rPr>
          <w:rFonts w:ascii="Arial" w:eastAsia="宋体" w:hAnsi="Arial" w:cs="Arial" w:hint="eastAsia"/>
          <w:b/>
          <w:bCs/>
          <w:sz w:val="24"/>
          <w:szCs w:val="20"/>
          <w:u w:val="single"/>
        </w:rPr>
        <w:t>（含存托凭证）</w:t>
      </w:r>
      <w:r w:rsidRPr="00495FFD">
        <w:rPr>
          <w:rFonts w:ascii="Arial" w:eastAsia="宋体" w:hAnsi="Arial" w:cs="Arial"/>
          <w:sz w:val="24"/>
          <w:szCs w:val="20"/>
        </w:rPr>
        <w:t>的比例不低于</w:t>
      </w:r>
      <w:r w:rsidRPr="00495FFD">
        <w:rPr>
          <w:rFonts w:ascii="Arial" w:eastAsia="宋体" w:hAnsi="Arial" w:cs="Arial"/>
          <w:sz w:val="24"/>
          <w:szCs w:val="20"/>
        </w:rPr>
        <w:t>.....</w:t>
      </w:r>
      <w:r w:rsidR="009965CF">
        <w:rPr>
          <w:rFonts w:ascii="Arial" w:eastAsia="宋体" w:hAnsi="Arial" w:cs="Arial" w:hint="eastAsia"/>
          <w:sz w:val="24"/>
          <w:szCs w:val="20"/>
        </w:rPr>
        <w:t>”</w:t>
      </w:r>
      <w:r w:rsidR="00563D20">
        <w:rPr>
          <w:rFonts w:ascii="Arial" w:eastAsia="宋体" w:hAnsi="Arial" w:cs="Arial" w:hint="eastAsia"/>
          <w:sz w:val="24"/>
          <w:szCs w:val="20"/>
        </w:rPr>
        <w:t>。</w:t>
      </w:r>
    </w:p>
    <w:p w:rsidR="00384BDC" w:rsidRDefault="009965CF">
      <w:pPr>
        <w:adjustRightInd w:val="0"/>
        <w:spacing w:line="360" w:lineRule="auto"/>
        <w:rPr>
          <w:rFonts w:ascii="Arial" w:eastAsia="宋体" w:hAnsi="Arial" w:cs="Arial"/>
          <w:sz w:val="24"/>
          <w:szCs w:val="20"/>
        </w:rPr>
      </w:pPr>
      <w:r>
        <w:rPr>
          <w:rFonts w:ascii="Arial" w:eastAsia="宋体" w:hAnsi="Arial" w:cs="Arial" w:hint="eastAsia"/>
          <w:sz w:val="24"/>
          <w:szCs w:val="20"/>
        </w:rPr>
        <w:t>（三）</w:t>
      </w:r>
      <w:r w:rsidR="001C2D77">
        <w:rPr>
          <w:rFonts w:ascii="Arial" w:eastAsia="宋体" w:hAnsi="Arial" w:cs="Arial" w:hint="eastAsia"/>
          <w:sz w:val="24"/>
          <w:szCs w:val="20"/>
        </w:rPr>
        <w:t>在《基金合同》</w:t>
      </w:r>
      <w:r w:rsidR="005B43E7">
        <w:rPr>
          <w:rFonts w:ascii="Arial" w:eastAsia="宋体" w:hAnsi="Arial" w:cs="Arial" w:hint="eastAsia"/>
          <w:sz w:val="24"/>
          <w:szCs w:val="20"/>
        </w:rPr>
        <w:t>和《招募说明书》</w:t>
      </w:r>
      <w:r w:rsidR="001C2D77">
        <w:rPr>
          <w:rFonts w:ascii="Arial" w:eastAsia="宋体" w:hAnsi="Arial" w:cs="Arial" w:hint="eastAsia"/>
          <w:sz w:val="24"/>
          <w:szCs w:val="20"/>
        </w:rPr>
        <w:t>投资章节补充存托凭证相关投资策略，内容如下：</w:t>
      </w:r>
    </w:p>
    <w:p w:rsidR="00384BDC" w:rsidRDefault="009965CF">
      <w:pPr>
        <w:adjustRightInd w:val="0"/>
        <w:spacing w:line="360" w:lineRule="auto"/>
        <w:ind w:firstLineChars="200" w:firstLine="482"/>
        <w:rPr>
          <w:rFonts w:ascii="Arial" w:eastAsia="宋体" w:hAnsi="Arial" w:cs="Arial"/>
          <w:b/>
          <w:bCs/>
          <w:sz w:val="24"/>
          <w:szCs w:val="20"/>
          <w:u w:val="single"/>
        </w:rPr>
      </w:pPr>
      <w:r>
        <w:rPr>
          <w:rFonts w:ascii="Arial" w:eastAsia="宋体" w:hAnsi="Arial" w:cs="Arial" w:hint="eastAsia"/>
          <w:b/>
          <w:bCs/>
          <w:sz w:val="24"/>
          <w:szCs w:val="20"/>
          <w:u w:val="single"/>
        </w:rPr>
        <w:t>“</w:t>
      </w:r>
      <w:r w:rsidR="001C2D77">
        <w:rPr>
          <w:rFonts w:ascii="Arial" w:eastAsia="宋体" w:hAnsi="Arial" w:cs="Arial" w:hint="eastAsia"/>
          <w:b/>
          <w:bCs/>
          <w:sz w:val="24"/>
          <w:szCs w:val="20"/>
          <w:u w:val="single"/>
        </w:rPr>
        <w:t>存托凭证投资策略</w:t>
      </w:r>
    </w:p>
    <w:p w:rsidR="00384BDC" w:rsidRDefault="001C2D77">
      <w:pPr>
        <w:adjustRightInd w:val="0"/>
        <w:spacing w:line="360" w:lineRule="auto"/>
        <w:ind w:firstLineChars="200" w:firstLine="482"/>
        <w:rPr>
          <w:rFonts w:ascii="Arial" w:eastAsia="宋体" w:hAnsi="Arial" w:cs="Arial"/>
          <w:b/>
          <w:bCs/>
          <w:sz w:val="24"/>
          <w:szCs w:val="20"/>
          <w:u w:val="single"/>
        </w:rPr>
      </w:pPr>
      <w:r>
        <w:rPr>
          <w:rFonts w:ascii="Arial" w:eastAsia="宋体" w:hAnsi="Arial" w:cs="Arial" w:hint="eastAsia"/>
          <w:b/>
          <w:bCs/>
          <w:sz w:val="24"/>
          <w:szCs w:val="20"/>
          <w:u w:val="single"/>
        </w:rPr>
        <w:t>本基金将根据本基金的投资目标和股票投资策略，基于对基础证券投资价值的深入研究判断，进行存托凭证的投资。</w:t>
      </w:r>
      <w:r w:rsidR="009965CF">
        <w:rPr>
          <w:rFonts w:ascii="Arial" w:eastAsia="宋体" w:hAnsi="Arial" w:cs="Arial" w:hint="eastAsia"/>
          <w:b/>
          <w:bCs/>
          <w:sz w:val="24"/>
          <w:szCs w:val="20"/>
          <w:u w:val="single"/>
        </w:rPr>
        <w:t>”</w:t>
      </w:r>
    </w:p>
    <w:p w:rsidR="00384BDC" w:rsidRDefault="009965CF">
      <w:pPr>
        <w:adjustRightInd w:val="0"/>
        <w:spacing w:line="360" w:lineRule="auto"/>
        <w:rPr>
          <w:rFonts w:ascii="Arial" w:eastAsia="宋体" w:hAnsi="Arial" w:cs="Arial"/>
          <w:sz w:val="24"/>
          <w:szCs w:val="20"/>
        </w:rPr>
      </w:pPr>
      <w:r>
        <w:rPr>
          <w:rFonts w:ascii="Arial" w:eastAsia="宋体" w:hAnsi="Arial" w:cs="Arial" w:hint="eastAsia"/>
          <w:sz w:val="24"/>
          <w:szCs w:val="20"/>
        </w:rPr>
        <w:t>（四）</w:t>
      </w:r>
      <w:r w:rsidR="001C2D77">
        <w:rPr>
          <w:rFonts w:ascii="Arial" w:eastAsia="宋体" w:hAnsi="Arial" w:cs="Arial" w:hint="eastAsia"/>
          <w:sz w:val="24"/>
          <w:szCs w:val="20"/>
        </w:rPr>
        <w:t>《基金合同》</w:t>
      </w:r>
      <w:r w:rsidR="005B43E7">
        <w:rPr>
          <w:rFonts w:ascii="Arial" w:eastAsia="宋体" w:hAnsi="Arial" w:cs="Arial" w:hint="eastAsia"/>
          <w:sz w:val="24"/>
          <w:szCs w:val="20"/>
        </w:rPr>
        <w:t>、</w:t>
      </w:r>
      <w:r w:rsidR="001C2D77">
        <w:rPr>
          <w:rFonts w:ascii="Arial" w:eastAsia="宋体" w:hAnsi="Arial" w:cs="Arial" w:hint="eastAsia"/>
          <w:sz w:val="24"/>
          <w:szCs w:val="20"/>
        </w:rPr>
        <w:t>《托管协议》</w:t>
      </w:r>
      <w:r w:rsidR="005B43E7">
        <w:rPr>
          <w:rFonts w:ascii="Arial" w:eastAsia="宋体" w:hAnsi="Arial" w:cs="Arial" w:hint="eastAsia"/>
          <w:sz w:val="24"/>
          <w:szCs w:val="20"/>
        </w:rPr>
        <w:t>和《招募说明书》</w:t>
      </w:r>
      <w:r w:rsidR="001C2D77">
        <w:rPr>
          <w:rFonts w:ascii="Arial" w:eastAsia="宋体" w:hAnsi="Arial" w:cs="Arial" w:hint="eastAsia"/>
          <w:sz w:val="24"/>
          <w:szCs w:val="20"/>
        </w:rPr>
        <w:t>中若有以下相关条款，则相应做修改，修改如下：</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本基金持有一家公司发行的证券</w:t>
      </w:r>
      <w:r>
        <w:rPr>
          <w:rFonts w:ascii="Arial" w:eastAsia="宋体" w:hAnsi="Arial" w:cs="Arial" w:hint="eastAsia"/>
          <w:b/>
          <w:bCs/>
          <w:sz w:val="24"/>
          <w:szCs w:val="20"/>
          <w:u w:val="single"/>
        </w:rPr>
        <w:t>（含存托凭证）</w:t>
      </w:r>
      <w:r>
        <w:rPr>
          <w:rFonts w:ascii="Arial" w:eastAsia="宋体" w:hAnsi="Arial" w:cs="Arial" w:hint="eastAsia"/>
          <w:sz w:val="24"/>
          <w:szCs w:val="20"/>
        </w:rPr>
        <w:t>，其市值不超过基金资产净值的</w:t>
      </w:r>
      <w:r>
        <w:rPr>
          <w:rFonts w:ascii="Arial" w:eastAsia="宋体" w:hAnsi="Arial" w:cs="Arial"/>
          <w:sz w:val="24"/>
          <w:szCs w:val="20"/>
        </w:rPr>
        <w:t>10</w:t>
      </w:r>
      <w:r>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本基金管理人管理的全部基金持有一家公司发行的证券</w:t>
      </w:r>
      <w:r>
        <w:rPr>
          <w:rFonts w:ascii="Arial" w:eastAsia="宋体" w:hAnsi="Arial" w:cs="Arial" w:hint="eastAsia"/>
          <w:b/>
          <w:bCs/>
          <w:sz w:val="24"/>
          <w:szCs w:val="20"/>
          <w:u w:val="single"/>
        </w:rPr>
        <w:t>（含存托凭证）</w:t>
      </w:r>
      <w:r>
        <w:rPr>
          <w:rFonts w:ascii="Arial" w:eastAsia="宋体" w:hAnsi="Arial" w:cs="Arial" w:hint="eastAsia"/>
          <w:sz w:val="24"/>
          <w:szCs w:val="20"/>
        </w:rPr>
        <w:t>，不超过该证券的</w:t>
      </w:r>
      <w:r>
        <w:rPr>
          <w:rFonts w:ascii="Arial" w:eastAsia="宋体" w:hAnsi="Arial" w:cs="Arial"/>
          <w:sz w:val="24"/>
          <w:szCs w:val="20"/>
        </w:rPr>
        <w:t>10</w:t>
      </w:r>
      <w:r>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本基金持有一家公司发行的证券</w:t>
      </w:r>
      <w:r>
        <w:rPr>
          <w:rFonts w:ascii="Arial" w:eastAsia="宋体" w:hAnsi="Arial" w:cs="Arial" w:hint="eastAsia"/>
          <w:b/>
          <w:bCs/>
          <w:sz w:val="24"/>
          <w:szCs w:val="20"/>
          <w:u w:val="single"/>
        </w:rPr>
        <w:t>（含存托凭证）</w:t>
      </w:r>
      <w:r>
        <w:rPr>
          <w:rFonts w:ascii="Arial" w:eastAsia="宋体" w:hAnsi="Arial" w:cs="Arial" w:hint="eastAsia"/>
          <w:sz w:val="24"/>
          <w:szCs w:val="20"/>
        </w:rPr>
        <w:t>，其市值（若同时持有一家公司发行的</w:t>
      </w:r>
      <w:r>
        <w:rPr>
          <w:rFonts w:ascii="Arial" w:eastAsia="宋体" w:hAnsi="Arial" w:cs="Arial"/>
          <w:sz w:val="24"/>
          <w:szCs w:val="20"/>
        </w:rPr>
        <w:t>A</w:t>
      </w:r>
      <w:r>
        <w:rPr>
          <w:rFonts w:ascii="Arial" w:eastAsia="宋体" w:hAnsi="Arial" w:cs="Arial" w:hint="eastAsia"/>
          <w:sz w:val="24"/>
          <w:szCs w:val="20"/>
        </w:rPr>
        <w:t>股和</w:t>
      </w:r>
      <w:r>
        <w:rPr>
          <w:rFonts w:ascii="Arial" w:eastAsia="宋体" w:hAnsi="Arial" w:cs="Arial"/>
          <w:sz w:val="24"/>
          <w:szCs w:val="20"/>
        </w:rPr>
        <w:t>H</w:t>
      </w:r>
      <w:r>
        <w:rPr>
          <w:rFonts w:ascii="Arial" w:eastAsia="宋体" w:hAnsi="Arial" w:cs="Arial" w:hint="eastAsia"/>
          <w:sz w:val="24"/>
          <w:szCs w:val="20"/>
        </w:rPr>
        <w:t>股，则为</w:t>
      </w:r>
      <w:r>
        <w:rPr>
          <w:rFonts w:ascii="Arial" w:eastAsia="宋体" w:hAnsi="Arial" w:cs="Arial"/>
          <w:sz w:val="24"/>
          <w:szCs w:val="20"/>
        </w:rPr>
        <w:t>A</w:t>
      </w:r>
      <w:r>
        <w:rPr>
          <w:rFonts w:ascii="Arial" w:eastAsia="宋体" w:hAnsi="Arial" w:cs="Arial" w:hint="eastAsia"/>
          <w:sz w:val="24"/>
          <w:szCs w:val="20"/>
        </w:rPr>
        <w:t>股与</w:t>
      </w:r>
      <w:r>
        <w:rPr>
          <w:rFonts w:ascii="Arial" w:eastAsia="宋体" w:hAnsi="Arial" w:cs="Arial"/>
          <w:sz w:val="24"/>
          <w:szCs w:val="20"/>
        </w:rPr>
        <w:t>H</w:t>
      </w:r>
      <w:r>
        <w:rPr>
          <w:rFonts w:ascii="Arial" w:eastAsia="宋体" w:hAnsi="Arial" w:cs="Arial" w:hint="eastAsia"/>
          <w:sz w:val="24"/>
          <w:szCs w:val="20"/>
        </w:rPr>
        <w:t>股合计市值）不超过基金资产净值的</w:t>
      </w:r>
      <w:r>
        <w:rPr>
          <w:rFonts w:ascii="Arial" w:eastAsia="宋体" w:hAnsi="Arial" w:cs="Arial"/>
          <w:sz w:val="24"/>
          <w:szCs w:val="20"/>
        </w:rPr>
        <w:t>10</w:t>
      </w:r>
      <w:r>
        <w:rPr>
          <w:rFonts w:ascii="Arial" w:eastAsia="宋体" w:hAnsi="Arial" w:cs="Arial" w:hint="eastAsia"/>
          <w:sz w:val="24"/>
          <w:szCs w:val="20"/>
        </w:rPr>
        <w:t>％；</w:t>
      </w:r>
    </w:p>
    <w:p w:rsidR="00384BDC" w:rsidRDefault="001C2D77">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本基金管理人管理的全部基金持有一家公司发行的证券</w:t>
      </w:r>
      <w:r>
        <w:rPr>
          <w:rFonts w:ascii="Arial" w:eastAsia="宋体" w:hAnsi="Arial" w:cs="Arial" w:hint="eastAsia"/>
          <w:b/>
          <w:bCs/>
          <w:sz w:val="24"/>
          <w:szCs w:val="20"/>
          <w:u w:val="single"/>
        </w:rPr>
        <w:t>（含存托凭证）</w:t>
      </w:r>
      <w:r w:rsidRPr="00721A47">
        <w:rPr>
          <w:rFonts w:ascii="Arial" w:eastAsia="宋体" w:hAnsi="Arial" w:cs="Arial" w:hint="eastAsia"/>
          <w:sz w:val="24"/>
          <w:szCs w:val="20"/>
        </w:rPr>
        <w:t>，</w:t>
      </w:r>
      <w:r>
        <w:rPr>
          <w:rFonts w:ascii="Arial" w:eastAsia="宋体" w:hAnsi="Arial" w:cs="Arial" w:hint="eastAsia"/>
          <w:sz w:val="24"/>
          <w:szCs w:val="20"/>
        </w:rPr>
        <w:t>不超过该证券（若同时持有一家公司发行的</w:t>
      </w:r>
      <w:r>
        <w:rPr>
          <w:rFonts w:ascii="Arial" w:eastAsia="宋体" w:hAnsi="Arial" w:cs="Arial"/>
          <w:sz w:val="24"/>
          <w:szCs w:val="20"/>
        </w:rPr>
        <w:t>A</w:t>
      </w:r>
      <w:r>
        <w:rPr>
          <w:rFonts w:ascii="Arial" w:eastAsia="宋体" w:hAnsi="Arial" w:cs="Arial" w:hint="eastAsia"/>
          <w:sz w:val="24"/>
          <w:szCs w:val="20"/>
        </w:rPr>
        <w:t>股和</w:t>
      </w:r>
      <w:r>
        <w:rPr>
          <w:rFonts w:ascii="Arial" w:eastAsia="宋体" w:hAnsi="Arial" w:cs="Arial"/>
          <w:sz w:val="24"/>
          <w:szCs w:val="20"/>
        </w:rPr>
        <w:t>H</w:t>
      </w:r>
      <w:r>
        <w:rPr>
          <w:rFonts w:ascii="Arial" w:eastAsia="宋体" w:hAnsi="Arial" w:cs="Arial" w:hint="eastAsia"/>
          <w:sz w:val="24"/>
          <w:szCs w:val="20"/>
        </w:rPr>
        <w:t>股，则为</w:t>
      </w:r>
      <w:r>
        <w:rPr>
          <w:rFonts w:ascii="Arial" w:eastAsia="宋体" w:hAnsi="Arial" w:cs="Arial"/>
          <w:sz w:val="24"/>
          <w:szCs w:val="20"/>
        </w:rPr>
        <w:t>A</w:t>
      </w:r>
      <w:r>
        <w:rPr>
          <w:rFonts w:ascii="Arial" w:eastAsia="宋体" w:hAnsi="Arial" w:cs="Arial" w:hint="eastAsia"/>
          <w:sz w:val="24"/>
          <w:szCs w:val="20"/>
        </w:rPr>
        <w:t>股与</w:t>
      </w:r>
      <w:r>
        <w:rPr>
          <w:rFonts w:ascii="Arial" w:eastAsia="宋体" w:hAnsi="Arial" w:cs="Arial"/>
          <w:sz w:val="24"/>
          <w:szCs w:val="20"/>
        </w:rPr>
        <w:t>H</w:t>
      </w:r>
      <w:r>
        <w:rPr>
          <w:rFonts w:ascii="Arial" w:eastAsia="宋体" w:hAnsi="Arial" w:cs="Arial" w:hint="eastAsia"/>
          <w:sz w:val="24"/>
          <w:szCs w:val="20"/>
        </w:rPr>
        <w:t>股合计）的</w:t>
      </w:r>
      <w:r>
        <w:rPr>
          <w:rFonts w:ascii="Arial" w:eastAsia="宋体" w:hAnsi="Arial" w:cs="Arial"/>
          <w:sz w:val="24"/>
          <w:szCs w:val="20"/>
        </w:rPr>
        <w:t>10</w:t>
      </w:r>
      <w:r>
        <w:rPr>
          <w:rFonts w:ascii="Arial" w:eastAsia="宋体" w:hAnsi="Arial" w:cs="Arial" w:hint="eastAsia"/>
          <w:sz w:val="24"/>
          <w:szCs w:val="20"/>
        </w:rPr>
        <w:t>％；</w:t>
      </w:r>
    </w:p>
    <w:p w:rsidR="009965CF" w:rsidRDefault="009965CF" w:rsidP="00563D20">
      <w:pPr>
        <w:adjustRightInd w:val="0"/>
        <w:spacing w:line="360" w:lineRule="auto"/>
        <w:rPr>
          <w:rFonts w:ascii="Arial" w:eastAsia="宋体" w:hAnsi="Arial" w:cs="Arial"/>
          <w:sz w:val="24"/>
          <w:szCs w:val="20"/>
        </w:rPr>
      </w:pPr>
      <w:r w:rsidRPr="009965CF">
        <w:rPr>
          <w:rFonts w:ascii="Arial" w:eastAsia="宋体" w:hAnsi="Arial" w:cs="Arial" w:hint="eastAsia"/>
          <w:sz w:val="24"/>
          <w:szCs w:val="20"/>
        </w:rPr>
        <w:t>（</w:t>
      </w:r>
      <w:r>
        <w:rPr>
          <w:rFonts w:ascii="Arial" w:eastAsia="宋体" w:hAnsi="Arial" w:cs="Arial" w:hint="eastAsia"/>
          <w:sz w:val="24"/>
          <w:szCs w:val="20"/>
        </w:rPr>
        <w:t>五</w:t>
      </w:r>
      <w:r w:rsidRPr="009965CF">
        <w:rPr>
          <w:rFonts w:ascii="Arial" w:eastAsia="宋体" w:hAnsi="Arial" w:cs="Arial" w:hint="eastAsia"/>
          <w:sz w:val="24"/>
          <w:szCs w:val="20"/>
        </w:rPr>
        <w:t>）在基金招募说明书（更新）的“重要提示”和“风险揭示”部分增加投资存托凭证的风险揭示如下：</w:t>
      </w:r>
    </w:p>
    <w:p w:rsidR="009965CF" w:rsidRDefault="009965CF" w:rsidP="009965CF">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w:t>
      </w:r>
      <w:r w:rsidRPr="001053D3">
        <w:rPr>
          <w:rFonts w:ascii="Arial" w:eastAsia="宋体" w:hAnsi="Arial" w:cs="Arial" w:hint="eastAsia"/>
          <w:b/>
          <w:sz w:val="24"/>
          <w:szCs w:val="20"/>
          <w:u w:val="single"/>
        </w:rPr>
        <w:t>本基金的投资范围包括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r>
        <w:rPr>
          <w:rFonts w:ascii="Arial" w:eastAsia="宋体" w:hAnsi="Arial" w:cs="Arial" w:hint="eastAsia"/>
          <w:sz w:val="24"/>
          <w:szCs w:val="20"/>
        </w:rPr>
        <w:t>”</w:t>
      </w:r>
    </w:p>
    <w:p w:rsidR="009965CF" w:rsidRDefault="009965CF">
      <w:pPr>
        <w:adjustRightInd w:val="0"/>
        <w:spacing w:line="360" w:lineRule="auto"/>
        <w:ind w:firstLineChars="200" w:firstLine="480"/>
        <w:rPr>
          <w:rFonts w:ascii="Arial" w:eastAsia="宋体" w:hAnsi="Arial" w:cs="Arial"/>
          <w:sz w:val="24"/>
          <w:szCs w:val="20"/>
        </w:rPr>
      </w:pPr>
    </w:p>
    <w:p w:rsidR="00384BDC" w:rsidRDefault="001530F9" w:rsidP="00563D20">
      <w:pPr>
        <w:adjustRightInd w:val="0"/>
        <w:spacing w:line="360" w:lineRule="auto"/>
        <w:ind w:firstLineChars="200" w:firstLine="480"/>
        <w:rPr>
          <w:rFonts w:ascii="宋体" w:eastAsia="宋体" w:hAnsi="宋体" w:cs="Times New Roman"/>
          <w:sz w:val="24"/>
          <w:szCs w:val="24"/>
        </w:rPr>
      </w:pPr>
      <w:r w:rsidRPr="001530F9">
        <w:rPr>
          <w:rFonts w:ascii="Arial" w:eastAsia="宋体" w:hAnsi="Arial" w:cs="Arial" w:hint="eastAsia"/>
          <w:sz w:val="24"/>
          <w:szCs w:val="20"/>
        </w:rPr>
        <w:t>因上述修订导致的序号变化顺序调整。</w:t>
      </w:r>
      <w:r>
        <w:rPr>
          <w:rFonts w:ascii="宋体" w:eastAsia="宋体" w:hAnsi="宋体" w:cs="Times New Roman" w:hint="eastAsia"/>
          <w:sz w:val="24"/>
          <w:szCs w:val="24"/>
        </w:rPr>
        <w:t>本次修订</w:t>
      </w:r>
      <w:r w:rsidR="001C2D77">
        <w:rPr>
          <w:rFonts w:ascii="宋体" w:eastAsia="宋体" w:hAnsi="宋体" w:cs="Times New Roman" w:hint="eastAsia"/>
          <w:sz w:val="24"/>
          <w:szCs w:val="24"/>
        </w:rPr>
        <w:t>对基金份额持有人利益无实质性不利影响，</w:t>
      </w:r>
      <w:r w:rsidRPr="001530F9">
        <w:rPr>
          <w:rFonts w:ascii="宋体" w:eastAsia="宋体" w:hAnsi="宋体" w:cs="Times New Roman" w:hint="eastAsia"/>
          <w:sz w:val="24"/>
          <w:szCs w:val="24"/>
        </w:rPr>
        <w:t>并已履行了规定的程序，符合相关法律法规的规定，修订自</w:t>
      </w:r>
      <w:r>
        <w:rPr>
          <w:rFonts w:ascii="宋体" w:eastAsia="宋体" w:hAnsi="宋体" w:cs="Times New Roman" w:hint="eastAsia"/>
          <w:sz w:val="24"/>
          <w:szCs w:val="24"/>
        </w:rPr>
        <w:t>2020</w:t>
      </w:r>
      <w:r w:rsidRPr="001530F9">
        <w:rPr>
          <w:rFonts w:ascii="宋体" w:eastAsia="宋体" w:hAnsi="宋体" w:cs="Times New Roman" w:hint="eastAsia"/>
          <w:sz w:val="24"/>
          <w:szCs w:val="24"/>
        </w:rPr>
        <w:t>年10月14日起生效</w:t>
      </w:r>
      <w:r>
        <w:rPr>
          <w:rFonts w:ascii="宋体" w:eastAsia="宋体" w:hAnsi="宋体" w:cs="Times New Roman" w:hint="eastAsia"/>
          <w:sz w:val="24"/>
          <w:szCs w:val="24"/>
        </w:rPr>
        <w:t>。</w:t>
      </w:r>
    </w:p>
    <w:p w:rsidR="00384BDC" w:rsidRDefault="001C2D77">
      <w:pPr>
        <w:spacing w:line="360" w:lineRule="auto"/>
        <w:ind w:right="480" w:firstLineChars="200" w:firstLine="480"/>
        <w:rPr>
          <w:rFonts w:ascii="宋体" w:eastAsia="宋体" w:hAnsi="宋体" w:cs="Times New Roman"/>
          <w:sz w:val="24"/>
          <w:szCs w:val="24"/>
        </w:rPr>
      </w:pPr>
      <w:r>
        <w:rPr>
          <w:rFonts w:ascii="宋体" w:eastAsia="宋体" w:hAnsi="宋体" w:cs="Times New Roman" w:hint="eastAsia"/>
          <w:sz w:val="24"/>
          <w:szCs w:val="24"/>
        </w:rPr>
        <w:t>投资者可拨打博时一线通：95105568（免长途费）或可登录本公司网站www.bosera.com了解相关情况。</w:t>
      </w:r>
    </w:p>
    <w:p w:rsidR="00384BDC" w:rsidRDefault="001C2D77">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384BDC" w:rsidRDefault="001C2D77">
      <w:pPr>
        <w:spacing w:line="360" w:lineRule="auto"/>
        <w:jc w:val="left"/>
        <w:rPr>
          <w:rFonts w:ascii="宋体" w:eastAsia="宋体" w:hAnsi="宋体" w:cs="Times New Roman"/>
          <w:sz w:val="24"/>
          <w:szCs w:val="24"/>
        </w:rPr>
      </w:pPr>
      <w:r>
        <w:rPr>
          <w:rFonts w:ascii="宋体" w:eastAsia="宋体" w:hAnsi="宋体" w:cs="Times New Roman" w:hint="eastAsia"/>
          <w:sz w:val="24"/>
          <w:szCs w:val="24"/>
        </w:rPr>
        <w:t>特此公告。</w:t>
      </w:r>
    </w:p>
    <w:p w:rsidR="00384BDC" w:rsidRDefault="001C2D77">
      <w:pPr>
        <w:spacing w:line="360" w:lineRule="auto"/>
        <w:jc w:val="right"/>
        <w:rPr>
          <w:rFonts w:ascii="宋体" w:eastAsia="宋体" w:hAnsi="宋体" w:cs="Times New Roman"/>
          <w:sz w:val="24"/>
          <w:szCs w:val="24"/>
        </w:rPr>
      </w:pPr>
      <w:r>
        <w:rPr>
          <w:rFonts w:ascii="宋体" w:eastAsia="宋体" w:hAnsi="宋体" w:cs="Times New Roman"/>
          <w:sz w:val="24"/>
          <w:szCs w:val="24"/>
        </w:rPr>
        <w:t xml:space="preserve"> </w:t>
      </w:r>
    </w:p>
    <w:p w:rsidR="00384BDC" w:rsidRDefault="001C2D77">
      <w:pPr>
        <w:spacing w:line="360" w:lineRule="auto"/>
        <w:jc w:val="right"/>
        <w:rPr>
          <w:rFonts w:ascii="宋体" w:eastAsia="宋体" w:hAnsi="宋体" w:cs="Times New Roman"/>
          <w:sz w:val="24"/>
          <w:szCs w:val="24"/>
        </w:rPr>
      </w:pPr>
      <w:r>
        <w:rPr>
          <w:rFonts w:ascii="宋体" w:eastAsia="宋体" w:hAnsi="宋体" w:cs="Times New Roman" w:hint="eastAsia"/>
          <w:sz w:val="24"/>
          <w:szCs w:val="24"/>
        </w:rPr>
        <w:t>博时基金管理有限公司</w:t>
      </w:r>
    </w:p>
    <w:p w:rsidR="00384BDC" w:rsidRDefault="001C2D77">
      <w:pPr>
        <w:wordWrap w:val="0"/>
        <w:spacing w:line="360" w:lineRule="auto"/>
        <w:jc w:val="right"/>
      </w:pPr>
      <w:r>
        <w:rPr>
          <w:rFonts w:ascii="宋体" w:eastAsia="宋体" w:hAnsi="宋体" w:cs="Times New Roman" w:hint="eastAsia"/>
          <w:sz w:val="24"/>
          <w:szCs w:val="24"/>
        </w:rPr>
        <w:t>2020年10月14日</w:t>
      </w:r>
    </w:p>
    <w:p w:rsidR="00384BDC" w:rsidRDefault="00384BDC"/>
    <w:sectPr w:rsidR="00384BDC" w:rsidSect="00F3006F">
      <w:footerReference w:type="default" r:id="rId7"/>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46869" w16cid:durableId="232ED2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9EF" w:rsidRDefault="001D69EF">
      <w:r>
        <w:separator/>
      </w:r>
    </w:p>
  </w:endnote>
  <w:endnote w:type="continuationSeparator" w:id="0">
    <w:p w:rsidR="001D69EF" w:rsidRDefault="001D6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docPartObj>
        <w:docPartGallery w:val="AutoText"/>
      </w:docPartObj>
    </w:sdtPr>
    <w:sdtContent>
      <w:p w:rsidR="00384BDC" w:rsidRDefault="00CF085F">
        <w:pPr>
          <w:pStyle w:val="a5"/>
          <w:jc w:val="center"/>
        </w:pPr>
        <w:r>
          <w:fldChar w:fldCharType="begin"/>
        </w:r>
        <w:r w:rsidR="001C2D77">
          <w:instrText>PAGE   \* MERGEFORMAT</w:instrText>
        </w:r>
        <w:r>
          <w:fldChar w:fldCharType="separate"/>
        </w:r>
        <w:r w:rsidR="001F0761" w:rsidRPr="001F0761">
          <w:rPr>
            <w:noProof/>
            <w:lang w:val="zh-CN"/>
          </w:rPr>
          <w:t>1</w:t>
        </w:r>
        <w:r>
          <w:fldChar w:fldCharType="end"/>
        </w:r>
      </w:p>
    </w:sdtContent>
  </w:sdt>
  <w:p w:rsidR="00384BDC" w:rsidRDefault="00384B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9EF" w:rsidRDefault="001D69EF">
      <w:r>
        <w:separator/>
      </w:r>
    </w:p>
  </w:footnote>
  <w:footnote w:type="continuationSeparator" w:id="0">
    <w:p w:rsidR="001D69EF" w:rsidRDefault="001D69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汤玲">
    <w15:presenceInfo w15:providerId="AD" w15:userId="S-1-5-21-2085510532-1123638718-1563503735-3480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6E94"/>
    <w:rsid w:val="00015041"/>
    <w:rsid w:val="00022FF0"/>
    <w:rsid w:val="00042A2D"/>
    <w:rsid w:val="000574B8"/>
    <w:rsid w:val="0009268B"/>
    <w:rsid w:val="000936A8"/>
    <w:rsid w:val="000B51AA"/>
    <w:rsid w:val="000C09CA"/>
    <w:rsid w:val="000C5CC2"/>
    <w:rsid w:val="001016D9"/>
    <w:rsid w:val="001053D3"/>
    <w:rsid w:val="00106435"/>
    <w:rsid w:val="00106B19"/>
    <w:rsid w:val="001530F9"/>
    <w:rsid w:val="001553B1"/>
    <w:rsid w:val="00193266"/>
    <w:rsid w:val="001A20A2"/>
    <w:rsid w:val="001C2D77"/>
    <w:rsid w:val="001D69EF"/>
    <w:rsid w:val="001F0761"/>
    <w:rsid w:val="00211533"/>
    <w:rsid w:val="00211EBB"/>
    <w:rsid w:val="00247090"/>
    <w:rsid w:val="00295E8A"/>
    <w:rsid w:val="002A77B1"/>
    <w:rsid w:val="002C5A67"/>
    <w:rsid w:val="002F6248"/>
    <w:rsid w:val="00347900"/>
    <w:rsid w:val="00384BDC"/>
    <w:rsid w:val="00391360"/>
    <w:rsid w:val="003B121C"/>
    <w:rsid w:val="003D72B7"/>
    <w:rsid w:val="003E0B90"/>
    <w:rsid w:val="00423819"/>
    <w:rsid w:val="00427C7B"/>
    <w:rsid w:val="00433113"/>
    <w:rsid w:val="004657BE"/>
    <w:rsid w:val="00476C21"/>
    <w:rsid w:val="004829FE"/>
    <w:rsid w:val="0049317E"/>
    <w:rsid w:val="00495603"/>
    <w:rsid w:val="004977F4"/>
    <w:rsid w:val="004A70FC"/>
    <w:rsid w:val="004B015D"/>
    <w:rsid w:val="004D10E3"/>
    <w:rsid w:val="00503161"/>
    <w:rsid w:val="00563D20"/>
    <w:rsid w:val="00573590"/>
    <w:rsid w:val="00594B47"/>
    <w:rsid w:val="00596F4E"/>
    <w:rsid w:val="005A786D"/>
    <w:rsid w:val="005B43E7"/>
    <w:rsid w:val="00603E9C"/>
    <w:rsid w:val="00614B1C"/>
    <w:rsid w:val="00627D0A"/>
    <w:rsid w:val="006906D4"/>
    <w:rsid w:val="006950E8"/>
    <w:rsid w:val="006C2057"/>
    <w:rsid w:val="00710121"/>
    <w:rsid w:val="007137DD"/>
    <w:rsid w:val="00714FDC"/>
    <w:rsid w:val="00721A47"/>
    <w:rsid w:val="007679C3"/>
    <w:rsid w:val="00780767"/>
    <w:rsid w:val="00783D16"/>
    <w:rsid w:val="007A6B2A"/>
    <w:rsid w:val="007C4D3B"/>
    <w:rsid w:val="008335EA"/>
    <w:rsid w:val="00856DCC"/>
    <w:rsid w:val="0089045E"/>
    <w:rsid w:val="008A5D38"/>
    <w:rsid w:val="008B1D6D"/>
    <w:rsid w:val="008F6508"/>
    <w:rsid w:val="0091652D"/>
    <w:rsid w:val="00920CDB"/>
    <w:rsid w:val="00941977"/>
    <w:rsid w:val="00950AFA"/>
    <w:rsid w:val="00962D7C"/>
    <w:rsid w:val="0097230D"/>
    <w:rsid w:val="00985C4C"/>
    <w:rsid w:val="009860D7"/>
    <w:rsid w:val="00987733"/>
    <w:rsid w:val="00990CB6"/>
    <w:rsid w:val="009965CF"/>
    <w:rsid w:val="009B4FC8"/>
    <w:rsid w:val="009B7389"/>
    <w:rsid w:val="009D6F22"/>
    <w:rsid w:val="009F59A0"/>
    <w:rsid w:val="009F7689"/>
    <w:rsid w:val="00A073F0"/>
    <w:rsid w:val="00A27DF7"/>
    <w:rsid w:val="00A508F2"/>
    <w:rsid w:val="00A53AC8"/>
    <w:rsid w:val="00A960C8"/>
    <w:rsid w:val="00AA0697"/>
    <w:rsid w:val="00AD5860"/>
    <w:rsid w:val="00AD600B"/>
    <w:rsid w:val="00B50C8E"/>
    <w:rsid w:val="00B647E5"/>
    <w:rsid w:val="00B71AAA"/>
    <w:rsid w:val="00B85540"/>
    <w:rsid w:val="00BC4D7F"/>
    <w:rsid w:val="00BD1826"/>
    <w:rsid w:val="00C111B4"/>
    <w:rsid w:val="00C11661"/>
    <w:rsid w:val="00C14358"/>
    <w:rsid w:val="00C15B99"/>
    <w:rsid w:val="00C1664B"/>
    <w:rsid w:val="00C53172"/>
    <w:rsid w:val="00C54BB7"/>
    <w:rsid w:val="00C626BE"/>
    <w:rsid w:val="00C7596A"/>
    <w:rsid w:val="00C76A6F"/>
    <w:rsid w:val="00C85BD4"/>
    <w:rsid w:val="00CE7732"/>
    <w:rsid w:val="00CF085F"/>
    <w:rsid w:val="00D019D0"/>
    <w:rsid w:val="00D0710D"/>
    <w:rsid w:val="00D729F2"/>
    <w:rsid w:val="00D8377B"/>
    <w:rsid w:val="00DA3244"/>
    <w:rsid w:val="00DB7D29"/>
    <w:rsid w:val="00E00719"/>
    <w:rsid w:val="00E348E2"/>
    <w:rsid w:val="00E412DB"/>
    <w:rsid w:val="00EC29D1"/>
    <w:rsid w:val="00ED2B2E"/>
    <w:rsid w:val="00EF4183"/>
    <w:rsid w:val="00F02B62"/>
    <w:rsid w:val="00F047EB"/>
    <w:rsid w:val="00F3006F"/>
    <w:rsid w:val="00F42507"/>
    <w:rsid w:val="00F465FB"/>
    <w:rsid w:val="00F532C0"/>
    <w:rsid w:val="00F8241E"/>
    <w:rsid w:val="00FA1EA6"/>
    <w:rsid w:val="00FD619C"/>
    <w:rsid w:val="00FD7B82"/>
    <w:rsid w:val="00FF5431"/>
    <w:rsid w:val="0FFD3F3D"/>
    <w:rsid w:val="1A8C2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F085F"/>
    <w:pPr>
      <w:jc w:val="left"/>
    </w:pPr>
  </w:style>
  <w:style w:type="paragraph" w:styleId="a4">
    <w:name w:val="Balloon Text"/>
    <w:basedOn w:val="a"/>
    <w:link w:val="Char0"/>
    <w:uiPriority w:val="99"/>
    <w:semiHidden/>
    <w:unhideWhenUsed/>
    <w:rsid w:val="00CF085F"/>
    <w:rPr>
      <w:sz w:val="18"/>
      <w:szCs w:val="18"/>
    </w:rPr>
  </w:style>
  <w:style w:type="paragraph" w:styleId="a5">
    <w:name w:val="footer"/>
    <w:basedOn w:val="a"/>
    <w:link w:val="Char1"/>
    <w:uiPriority w:val="99"/>
    <w:unhideWhenUsed/>
    <w:rsid w:val="00CF085F"/>
    <w:pPr>
      <w:tabs>
        <w:tab w:val="center" w:pos="4153"/>
        <w:tab w:val="right" w:pos="8306"/>
      </w:tabs>
      <w:snapToGrid w:val="0"/>
      <w:jc w:val="left"/>
    </w:pPr>
    <w:rPr>
      <w:sz w:val="18"/>
      <w:szCs w:val="18"/>
    </w:rPr>
  </w:style>
  <w:style w:type="paragraph" w:styleId="a6">
    <w:name w:val="header"/>
    <w:basedOn w:val="a"/>
    <w:link w:val="Char2"/>
    <w:uiPriority w:val="99"/>
    <w:unhideWhenUsed/>
    <w:rsid w:val="00CF085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CF085F"/>
    <w:rPr>
      <w:b/>
      <w:bCs/>
    </w:rPr>
  </w:style>
  <w:style w:type="character" w:styleId="a8">
    <w:name w:val="annotation reference"/>
    <w:basedOn w:val="a0"/>
    <w:uiPriority w:val="99"/>
    <w:semiHidden/>
    <w:unhideWhenUsed/>
    <w:qFormat/>
    <w:rsid w:val="00CF085F"/>
    <w:rPr>
      <w:sz w:val="21"/>
      <w:szCs w:val="21"/>
    </w:rPr>
  </w:style>
  <w:style w:type="character" w:customStyle="1" w:styleId="Char2">
    <w:name w:val="页眉 Char"/>
    <w:basedOn w:val="a0"/>
    <w:link w:val="a6"/>
    <w:uiPriority w:val="99"/>
    <w:rsid w:val="00CF085F"/>
    <w:rPr>
      <w:sz w:val="18"/>
      <w:szCs w:val="18"/>
    </w:rPr>
  </w:style>
  <w:style w:type="character" w:customStyle="1" w:styleId="Char1">
    <w:name w:val="页脚 Char"/>
    <w:basedOn w:val="a0"/>
    <w:link w:val="a5"/>
    <w:uiPriority w:val="99"/>
    <w:rsid w:val="00CF085F"/>
    <w:rPr>
      <w:sz w:val="18"/>
      <w:szCs w:val="18"/>
    </w:rPr>
  </w:style>
  <w:style w:type="character" w:customStyle="1" w:styleId="Char0">
    <w:name w:val="批注框文本 Char"/>
    <w:basedOn w:val="a0"/>
    <w:link w:val="a4"/>
    <w:uiPriority w:val="99"/>
    <w:semiHidden/>
    <w:qFormat/>
    <w:rsid w:val="00CF085F"/>
    <w:rPr>
      <w:sz w:val="18"/>
      <w:szCs w:val="18"/>
    </w:rPr>
  </w:style>
  <w:style w:type="character" w:customStyle="1" w:styleId="Char">
    <w:name w:val="批注文字 Char"/>
    <w:basedOn w:val="a0"/>
    <w:link w:val="a3"/>
    <w:uiPriority w:val="99"/>
    <w:semiHidden/>
    <w:rsid w:val="00CF085F"/>
  </w:style>
  <w:style w:type="character" w:customStyle="1" w:styleId="Char3">
    <w:name w:val="批注主题 Char"/>
    <w:basedOn w:val="Char"/>
    <w:link w:val="a7"/>
    <w:uiPriority w:val="99"/>
    <w:semiHidden/>
    <w:rsid w:val="00CF085F"/>
    <w:rPr>
      <w:b/>
      <w:bCs/>
    </w:rPr>
  </w:style>
  <w:style w:type="paragraph" w:styleId="a9">
    <w:name w:val="Revision"/>
    <w:hidden/>
    <w:uiPriority w:val="99"/>
    <w:semiHidden/>
    <w:rsid w:val="006C2057"/>
    <w:rPr>
      <w:kern w:val="2"/>
      <w:sz w:val="21"/>
      <w:szCs w:val="22"/>
    </w:rPr>
  </w:style>
  <w:style w:type="paragraph" w:styleId="aa">
    <w:name w:val="Normal (Web)"/>
    <w:basedOn w:val="a"/>
    <w:uiPriority w:val="99"/>
    <w:semiHidden/>
    <w:unhideWhenUsed/>
    <w:rsid w:val="009860D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paragraph" w:styleId="a9">
    <w:name w:val="Revision"/>
    <w:hidden/>
    <w:uiPriority w:val="99"/>
    <w:semiHidden/>
    <w:rsid w:val="006C2057"/>
    <w:rPr>
      <w:kern w:val="2"/>
      <w:sz w:val="21"/>
      <w:szCs w:val="22"/>
    </w:rPr>
  </w:style>
  <w:style w:type="paragraph" w:styleId="aa">
    <w:name w:val="Normal (Web)"/>
    <w:basedOn w:val="a"/>
    <w:uiPriority w:val="99"/>
    <w:semiHidden/>
    <w:unhideWhenUsed/>
    <w:rsid w:val="009860D7"/>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0991805">
      <w:bodyDiv w:val="1"/>
      <w:marLeft w:val="0"/>
      <w:marRight w:val="0"/>
      <w:marTop w:val="0"/>
      <w:marBottom w:val="0"/>
      <w:divBdr>
        <w:top w:val="none" w:sz="0" w:space="0" w:color="auto"/>
        <w:left w:val="none" w:sz="0" w:space="0" w:color="auto"/>
        <w:bottom w:val="none" w:sz="0" w:space="0" w:color="auto"/>
        <w:right w:val="none" w:sz="0" w:space="0" w:color="auto"/>
      </w:divBdr>
    </w:div>
    <w:div w:id="746999436">
      <w:bodyDiv w:val="1"/>
      <w:marLeft w:val="0"/>
      <w:marRight w:val="0"/>
      <w:marTop w:val="0"/>
      <w:marBottom w:val="0"/>
      <w:divBdr>
        <w:top w:val="none" w:sz="0" w:space="0" w:color="auto"/>
        <w:left w:val="none" w:sz="0" w:space="0" w:color="auto"/>
        <w:bottom w:val="none" w:sz="0" w:space="0" w:color="auto"/>
        <w:right w:val="none" w:sz="0" w:space="0" w:color="auto"/>
      </w:divBdr>
    </w:div>
    <w:div w:id="778449467">
      <w:bodyDiv w:val="1"/>
      <w:marLeft w:val="0"/>
      <w:marRight w:val="0"/>
      <w:marTop w:val="0"/>
      <w:marBottom w:val="0"/>
      <w:divBdr>
        <w:top w:val="none" w:sz="0" w:space="0" w:color="auto"/>
        <w:left w:val="none" w:sz="0" w:space="0" w:color="auto"/>
        <w:bottom w:val="none" w:sz="0" w:space="0" w:color="auto"/>
        <w:right w:val="none" w:sz="0" w:space="0" w:color="auto"/>
      </w:divBdr>
    </w:div>
    <w:div w:id="892884991">
      <w:bodyDiv w:val="1"/>
      <w:marLeft w:val="0"/>
      <w:marRight w:val="0"/>
      <w:marTop w:val="0"/>
      <w:marBottom w:val="0"/>
      <w:divBdr>
        <w:top w:val="none" w:sz="0" w:space="0" w:color="auto"/>
        <w:left w:val="none" w:sz="0" w:space="0" w:color="auto"/>
        <w:bottom w:val="none" w:sz="0" w:space="0" w:color="auto"/>
        <w:right w:val="none" w:sz="0" w:space="0" w:color="auto"/>
      </w:divBdr>
      <w:divsChild>
        <w:div w:id="332530082">
          <w:marLeft w:val="0"/>
          <w:marRight w:val="0"/>
          <w:marTop w:val="0"/>
          <w:marBottom w:val="0"/>
          <w:divBdr>
            <w:top w:val="none" w:sz="0" w:space="0" w:color="auto"/>
            <w:left w:val="none" w:sz="0" w:space="0" w:color="auto"/>
            <w:bottom w:val="none" w:sz="0" w:space="0" w:color="auto"/>
            <w:right w:val="none" w:sz="0" w:space="0" w:color="auto"/>
          </w:divBdr>
        </w:div>
      </w:divsChild>
    </w:div>
    <w:div w:id="1578444675">
      <w:bodyDiv w:val="1"/>
      <w:marLeft w:val="0"/>
      <w:marRight w:val="0"/>
      <w:marTop w:val="0"/>
      <w:marBottom w:val="0"/>
      <w:divBdr>
        <w:top w:val="none" w:sz="0" w:space="0" w:color="auto"/>
        <w:left w:val="none" w:sz="0" w:space="0" w:color="auto"/>
        <w:bottom w:val="none" w:sz="0" w:space="0" w:color="auto"/>
        <w:right w:val="none" w:sz="0" w:space="0" w:color="auto"/>
      </w:divBdr>
    </w:div>
    <w:div w:id="2035115017">
      <w:bodyDiv w:val="1"/>
      <w:marLeft w:val="0"/>
      <w:marRight w:val="0"/>
      <w:marTop w:val="0"/>
      <w:marBottom w:val="0"/>
      <w:divBdr>
        <w:top w:val="none" w:sz="0" w:space="0" w:color="auto"/>
        <w:left w:val="none" w:sz="0" w:space="0" w:color="auto"/>
        <w:bottom w:val="none" w:sz="0" w:space="0" w:color="auto"/>
        <w:right w:val="none" w:sz="0" w:space="0" w:color="auto"/>
      </w:divBdr>
      <w:divsChild>
        <w:div w:id="700784315">
          <w:marLeft w:val="0"/>
          <w:marRight w:val="0"/>
          <w:marTop w:val="0"/>
          <w:marBottom w:val="0"/>
          <w:divBdr>
            <w:top w:val="none" w:sz="0" w:space="0" w:color="auto"/>
            <w:left w:val="none" w:sz="0" w:space="0" w:color="auto"/>
            <w:bottom w:val="none" w:sz="0" w:space="0" w:color="auto"/>
            <w:right w:val="none" w:sz="0" w:space="0" w:color="auto"/>
          </w:divBdr>
        </w:div>
      </w:divsChild>
    </w:div>
    <w:div w:id="2055887233">
      <w:bodyDiv w:val="1"/>
      <w:marLeft w:val="0"/>
      <w:marRight w:val="0"/>
      <w:marTop w:val="0"/>
      <w:marBottom w:val="0"/>
      <w:divBdr>
        <w:top w:val="none" w:sz="0" w:space="0" w:color="auto"/>
        <w:left w:val="none" w:sz="0" w:space="0" w:color="auto"/>
        <w:bottom w:val="none" w:sz="0" w:space="0" w:color="auto"/>
        <w:right w:val="none" w:sz="0" w:space="0" w:color="auto"/>
      </w:divBdr>
      <w:divsChild>
        <w:div w:id="1670861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4069</Characters>
  <Application>Microsoft Office Word</Application>
  <DocSecurity>4</DocSecurity>
  <Lines>33</Lines>
  <Paragraphs>9</Paragraphs>
  <ScaleCrop>false</ScaleCrop>
  <Company>Microsoft</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2020-10-13T16:04:00Z</dcterms:created>
  <dcterms:modified xsi:type="dcterms:W3CDTF">2020-10-13T16:04:00Z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