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3F" w:rsidRPr="007C763C" w:rsidRDefault="006A6C3F" w:rsidP="006A6C3F">
      <w:pPr>
        <w:pStyle w:val="Default"/>
        <w:rPr>
          <w:rFonts w:hAnsi="等线"/>
        </w:rPr>
      </w:pPr>
    </w:p>
    <w:p w:rsidR="006A6C3F" w:rsidRPr="006A6C3F" w:rsidRDefault="005C5ADB" w:rsidP="006A6C3F">
      <w:pPr>
        <w:pStyle w:val="Default"/>
        <w:jc w:val="center"/>
        <w:rPr>
          <w:rFonts w:hAnsi="等线"/>
          <w:b/>
          <w:sz w:val="36"/>
        </w:rPr>
      </w:pPr>
      <w:r>
        <w:rPr>
          <w:rFonts w:hint="eastAsia"/>
          <w:b/>
          <w:sz w:val="32"/>
        </w:rPr>
        <w:t>工银瑞信基金管理有限公司</w:t>
      </w:r>
      <w:r w:rsidR="006A6C3F" w:rsidRPr="006A6C3F">
        <w:rPr>
          <w:b/>
          <w:sz w:val="32"/>
        </w:rPr>
        <w:t>关于修订旗下部分公募基金基金合同</w:t>
      </w:r>
      <w:r w:rsidR="006A6C3F" w:rsidRPr="006A6C3F">
        <w:rPr>
          <w:rFonts w:hint="eastAsia"/>
          <w:b/>
          <w:sz w:val="32"/>
        </w:rPr>
        <w:t>和托管协议</w:t>
      </w:r>
      <w:r w:rsidR="006A6C3F" w:rsidRPr="006A6C3F">
        <w:rPr>
          <w:b/>
          <w:sz w:val="32"/>
        </w:rPr>
        <w:t>的公告</w:t>
      </w:r>
    </w:p>
    <w:p w:rsidR="006A6C3F" w:rsidRDefault="006A6C3F" w:rsidP="006A6C3F"/>
    <w:p w:rsidR="006A6C3F" w:rsidRPr="006A6C3F" w:rsidRDefault="006A6C3F" w:rsidP="006A6C3F">
      <w:pPr>
        <w:spacing w:line="360" w:lineRule="auto"/>
        <w:ind w:firstLineChars="200" w:firstLine="480"/>
        <w:rPr>
          <w:rFonts w:ascii="Times New Roman" w:eastAsia="宋体" w:hAnsi="Times New Roman" w:cs="Times New Roman"/>
          <w:sz w:val="24"/>
          <w:szCs w:val="24"/>
        </w:rPr>
      </w:pPr>
      <w:r w:rsidRPr="006A6C3F">
        <w:rPr>
          <w:rFonts w:ascii="Times New Roman" w:eastAsia="宋体" w:hAnsi="Times New Roman" w:cs="Times New Roman"/>
          <w:sz w:val="24"/>
          <w:szCs w:val="24"/>
        </w:rPr>
        <w:t>根据《中华人民共和国证券法》《公开募集证券投资基金信息披露管理办法》《存托凭证发行与交易管理办法（试行）》等法律法规及各基金基金合同、招募说明书及其更新等规定，经与各基金托管人协商一致，</w:t>
      </w:r>
      <w:r w:rsidRPr="006A6C3F">
        <w:rPr>
          <w:rFonts w:ascii="Times New Roman" w:eastAsia="宋体" w:hAnsi="Times New Roman" w:cs="Times New Roman" w:hint="eastAsia"/>
          <w:sz w:val="24"/>
          <w:szCs w:val="24"/>
        </w:rPr>
        <w:t>工银瑞信</w:t>
      </w:r>
      <w:r w:rsidRPr="006A6C3F">
        <w:rPr>
          <w:rFonts w:ascii="Times New Roman" w:eastAsia="宋体" w:hAnsi="Times New Roman" w:cs="Times New Roman"/>
          <w:sz w:val="24"/>
          <w:szCs w:val="24"/>
        </w:rPr>
        <w:t>基金管理有限公司（以下简称</w:t>
      </w:r>
      <w:r w:rsidRPr="006A6C3F">
        <w:rPr>
          <w:rFonts w:ascii="Times New Roman" w:eastAsia="宋体" w:hAnsi="Times New Roman" w:cs="Times New Roman"/>
          <w:sz w:val="24"/>
          <w:szCs w:val="24"/>
        </w:rPr>
        <w:t>“</w:t>
      </w:r>
      <w:r w:rsidRPr="006A6C3F">
        <w:rPr>
          <w:rFonts w:ascii="Times New Roman" w:eastAsia="宋体" w:hAnsi="Times New Roman" w:cs="Times New Roman"/>
          <w:sz w:val="24"/>
          <w:szCs w:val="24"/>
        </w:rPr>
        <w:t>本基金管理人</w:t>
      </w:r>
      <w:r w:rsidRPr="006A6C3F">
        <w:rPr>
          <w:rFonts w:ascii="Times New Roman" w:eastAsia="宋体" w:hAnsi="Times New Roman" w:cs="Times New Roman"/>
          <w:sz w:val="24"/>
          <w:szCs w:val="24"/>
        </w:rPr>
        <w:t>”</w:t>
      </w:r>
      <w:r w:rsidRPr="006A6C3F">
        <w:rPr>
          <w:rFonts w:ascii="Times New Roman" w:eastAsia="宋体" w:hAnsi="Times New Roman" w:cs="Times New Roman"/>
          <w:sz w:val="24"/>
          <w:szCs w:val="24"/>
        </w:rPr>
        <w:t>）对旗下</w:t>
      </w:r>
      <w:r w:rsidRPr="006A6C3F">
        <w:rPr>
          <w:rFonts w:ascii="Times New Roman" w:eastAsia="宋体" w:hAnsi="Times New Roman" w:cs="Times New Roman"/>
          <w:sz w:val="24"/>
          <w:szCs w:val="24"/>
        </w:rPr>
        <w:t>39</w:t>
      </w:r>
      <w:r w:rsidRPr="006A6C3F">
        <w:rPr>
          <w:rFonts w:ascii="Times New Roman" w:eastAsia="宋体" w:hAnsi="Times New Roman" w:cs="Times New Roman"/>
          <w:sz w:val="24"/>
          <w:szCs w:val="24"/>
        </w:rPr>
        <w:t>只公募基金参与存托凭证投资修订基金合同</w:t>
      </w:r>
      <w:r w:rsidRPr="006A6C3F">
        <w:rPr>
          <w:rFonts w:ascii="Times New Roman" w:eastAsia="宋体" w:hAnsi="Times New Roman" w:cs="Times New Roman" w:hint="eastAsia"/>
          <w:sz w:val="24"/>
          <w:szCs w:val="24"/>
        </w:rPr>
        <w:t>和托管协议</w:t>
      </w:r>
      <w:r w:rsidRPr="006A6C3F">
        <w:rPr>
          <w:rFonts w:ascii="Times New Roman" w:eastAsia="宋体" w:hAnsi="Times New Roman" w:cs="Times New Roman"/>
          <w:sz w:val="24"/>
          <w:szCs w:val="24"/>
        </w:rPr>
        <w:t>等法律文件，包括增加投资存托凭证的风险揭示</w:t>
      </w:r>
      <w:r w:rsidRPr="006A6C3F">
        <w:rPr>
          <w:rFonts w:ascii="Times New Roman" w:eastAsia="宋体" w:hAnsi="Times New Roman" w:cs="Times New Roman" w:hint="eastAsia"/>
          <w:sz w:val="24"/>
          <w:szCs w:val="24"/>
        </w:rPr>
        <w:t>、</w:t>
      </w:r>
      <w:r w:rsidRPr="006A6C3F">
        <w:rPr>
          <w:rFonts w:ascii="Times New Roman" w:eastAsia="宋体" w:hAnsi="Times New Roman" w:cs="Times New Roman"/>
          <w:sz w:val="24"/>
          <w:szCs w:val="24"/>
        </w:rPr>
        <w:t>明确投资范围包含存托凭证、增加存托凭证的投资策略、投资比例限制、估值方法等。本次修订</w:t>
      </w:r>
      <w:r w:rsidR="00137DFD">
        <w:rPr>
          <w:rFonts w:ascii="Times New Roman" w:eastAsia="宋体" w:hAnsi="Times New Roman" w:cs="Times New Roman" w:hint="eastAsia"/>
          <w:sz w:val="24"/>
          <w:szCs w:val="24"/>
        </w:rPr>
        <w:t>系根据</w:t>
      </w:r>
      <w:r w:rsidR="00076CAD" w:rsidRPr="00076CAD">
        <w:rPr>
          <w:rFonts w:ascii="Times New Roman" w:eastAsia="宋体" w:hAnsi="Times New Roman" w:cs="Times New Roman" w:hint="eastAsia"/>
          <w:sz w:val="24"/>
          <w:szCs w:val="24"/>
        </w:rPr>
        <w:t>《</w:t>
      </w:r>
      <w:r w:rsidR="00076CAD" w:rsidRPr="006A6C3F">
        <w:rPr>
          <w:rFonts w:ascii="Times New Roman" w:eastAsia="宋体" w:hAnsi="Times New Roman" w:cs="Times New Roman"/>
          <w:sz w:val="24"/>
          <w:szCs w:val="24"/>
        </w:rPr>
        <w:t>存托凭证发行与交易管理办法（试行）</w:t>
      </w:r>
      <w:r w:rsidR="00076CAD" w:rsidRPr="00076CAD">
        <w:rPr>
          <w:rFonts w:ascii="Times New Roman" w:eastAsia="宋体" w:hAnsi="Times New Roman" w:cs="Times New Roman" w:hint="eastAsia"/>
          <w:sz w:val="24"/>
          <w:szCs w:val="24"/>
        </w:rPr>
        <w:t>》而作出</w:t>
      </w:r>
      <w:r w:rsidR="00B638E1">
        <w:rPr>
          <w:rFonts w:ascii="Times New Roman" w:eastAsia="宋体" w:hAnsi="Times New Roman" w:cs="Times New Roman" w:hint="eastAsia"/>
          <w:sz w:val="24"/>
          <w:szCs w:val="24"/>
        </w:rPr>
        <w:t>，根据法律法规</w:t>
      </w:r>
      <w:r w:rsidR="00B638E1" w:rsidRPr="00B638E1">
        <w:rPr>
          <w:rFonts w:ascii="Times New Roman" w:eastAsia="宋体" w:hAnsi="Times New Roman" w:cs="Times New Roman" w:hint="eastAsia"/>
          <w:sz w:val="24"/>
          <w:szCs w:val="24"/>
        </w:rPr>
        <w:t>的规定</w:t>
      </w:r>
      <w:r w:rsidR="00B638E1">
        <w:rPr>
          <w:rFonts w:ascii="Times New Roman" w:eastAsia="宋体" w:hAnsi="Times New Roman" w:cs="Times New Roman" w:hint="eastAsia"/>
          <w:sz w:val="24"/>
          <w:szCs w:val="24"/>
        </w:rPr>
        <w:t>及</w:t>
      </w:r>
      <w:r w:rsidR="00076CAD" w:rsidRPr="006A6C3F">
        <w:rPr>
          <w:rFonts w:ascii="Times New Roman" w:eastAsia="宋体" w:hAnsi="Times New Roman" w:cs="Times New Roman"/>
          <w:sz w:val="24"/>
          <w:szCs w:val="24"/>
        </w:rPr>
        <w:t>各基金</w:t>
      </w:r>
      <w:r w:rsidR="00B638E1">
        <w:rPr>
          <w:rFonts w:ascii="Times New Roman" w:eastAsia="宋体" w:hAnsi="Times New Roman" w:cs="Times New Roman" w:hint="eastAsia"/>
          <w:sz w:val="24"/>
          <w:szCs w:val="24"/>
        </w:rPr>
        <w:t>基金合同的约定，可由基金管理人与各</w:t>
      </w:r>
      <w:r w:rsidR="00C0498C" w:rsidRPr="00C0498C">
        <w:rPr>
          <w:rFonts w:ascii="Times New Roman" w:eastAsia="宋体" w:hAnsi="Times New Roman" w:cs="Times New Roman" w:hint="eastAsia"/>
          <w:sz w:val="24"/>
          <w:szCs w:val="24"/>
        </w:rPr>
        <w:t>基金托管人协商一致</w:t>
      </w:r>
      <w:r w:rsidR="00C0498C">
        <w:rPr>
          <w:rFonts w:ascii="Times New Roman" w:eastAsia="宋体" w:hAnsi="Times New Roman" w:cs="Times New Roman" w:hint="eastAsia"/>
          <w:sz w:val="24"/>
          <w:szCs w:val="24"/>
        </w:rPr>
        <w:t>作出，不需召开基金份额持有人大会。本次</w:t>
      </w:r>
      <w:r w:rsidRPr="006A6C3F">
        <w:rPr>
          <w:rFonts w:ascii="Times New Roman" w:eastAsia="宋体" w:hAnsi="Times New Roman" w:cs="Times New Roman"/>
          <w:sz w:val="24"/>
          <w:szCs w:val="24"/>
        </w:rPr>
        <w:t>修订将自</w:t>
      </w:r>
      <w:r w:rsidRPr="006A6C3F">
        <w:rPr>
          <w:rFonts w:ascii="Times New Roman" w:eastAsia="宋体" w:hAnsi="Times New Roman" w:cs="Times New Roman"/>
          <w:sz w:val="24"/>
          <w:szCs w:val="24"/>
        </w:rPr>
        <w:t>2020</w:t>
      </w:r>
      <w:r w:rsidRPr="006A6C3F">
        <w:rPr>
          <w:rFonts w:ascii="Times New Roman" w:eastAsia="宋体" w:hAnsi="Times New Roman" w:cs="Times New Roman"/>
          <w:sz w:val="24"/>
          <w:szCs w:val="24"/>
        </w:rPr>
        <w:t>年</w:t>
      </w:r>
      <w:r w:rsidRPr="006A6C3F">
        <w:rPr>
          <w:rFonts w:ascii="Times New Roman" w:eastAsia="宋体" w:hAnsi="Times New Roman" w:cs="Times New Roman"/>
          <w:sz w:val="24"/>
          <w:szCs w:val="24"/>
        </w:rPr>
        <w:t>10</w:t>
      </w:r>
      <w:r w:rsidRPr="006A6C3F">
        <w:rPr>
          <w:rFonts w:ascii="Times New Roman" w:eastAsia="宋体" w:hAnsi="Times New Roman" w:cs="Times New Roman"/>
          <w:sz w:val="24"/>
          <w:szCs w:val="24"/>
        </w:rPr>
        <w:t>月</w:t>
      </w:r>
      <w:r w:rsidRPr="006A6C3F">
        <w:rPr>
          <w:rFonts w:ascii="Times New Roman" w:eastAsia="宋体" w:hAnsi="Times New Roman" w:cs="Times New Roman"/>
          <w:sz w:val="24"/>
          <w:szCs w:val="24"/>
        </w:rPr>
        <w:t>14</w:t>
      </w:r>
      <w:r w:rsidRPr="006A6C3F">
        <w:rPr>
          <w:rFonts w:ascii="Times New Roman" w:eastAsia="宋体" w:hAnsi="Times New Roman" w:cs="Times New Roman"/>
          <w:sz w:val="24"/>
          <w:szCs w:val="24"/>
        </w:rPr>
        <w:t>日起正式生效。现将基金合同</w:t>
      </w:r>
      <w:r w:rsidRPr="006A6C3F">
        <w:rPr>
          <w:rFonts w:ascii="Times New Roman" w:eastAsia="宋体" w:hAnsi="Times New Roman" w:cs="Times New Roman" w:hint="eastAsia"/>
          <w:sz w:val="24"/>
          <w:szCs w:val="24"/>
        </w:rPr>
        <w:t>和托管协议</w:t>
      </w:r>
      <w:r w:rsidRPr="006A6C3F">
        <w:rPr>
          <w:rFonts w:ascii="Times New Roman" w:eastAsia="宋体" w:hAnsi="Times New Roman" w:cs="Times New Roman"/>
          <w:sz w:val="24"/>
          <w:szCs w:val="24"/>
        </w:rPr>
        <w:t>修订情况公告如下：</w:t>
      </w:r>
    </w:p>
    <w:p w:rsidR="006A6C3F" w:rsidRDefault="006A6C3F" w:rsidP="006A6C3F">
      <w:pPr>
        <w:pStyle w:val="Default"/>
      </w:pPr>
    </w:p>
    <w:p w:rsidR="006A6C3F" w:rsidRPr="00BB1B67" w:rsidRDefault="006A6C3F" w:rsidP="006A6C3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w:t>
      </w:r>
      <w:r w:rsidRPr="00BB1B67">
        <w:rPr>
          <w:rFonts w:ascii="Times New Roman" w:eastAsia="宋体" w:hAnsi="Times New Roman" w:cs="Times New Roman" w:hint="eastAsia"/>
          <w:sz w:val="24"/>
          <w:szCs w:val="24"/>
        </w:rPr>
        <w:t>适用基金范围</w:t>
      </w:r>
    </w:p>
    <w:p w:rsidR="006A6C3F" w:rsidRDefault="006A6C3F" w:rsidP="006A6C3F">
      <w:pPr>
        <w:pStyle w:val="Default"/>
      </w:pPr>
    </w:p>
    <w:tbl>
      <w:tblPr>
        <w:tblStyle w:val="a5"/>
        <w:tblW w:w="0" w:type="auto"/>
        <w:tblLook w:val="04A0"/>
      </w:tblPr>
      <w:tblGrid>
        <w:gridCol w:w="1555"/>
        <w:gridCol w:w="6741"/>
      </w:tblGrid>
      <w:tr w:rsidR="006A6C3F" w:rsidTr="006B2339">
        <w:tc>
          <w:tcPr>
            <w:tcW w:w="1555" w:type="dxa"/>
          </w:tcPr>
          <w:p w:rsidR="006A6C3F" w:rsidRDefault="006A6C3F" w:rsidP="006A6C3F">
            <w:pPr>
              <w:pStyle w:val="Default"/>
            </w:pPr>
            <w:r>
              <w:rPr>
                <w:rFonts w:hint="eastAsia"/>
              </w:rPr>
              <w:t>基金代码</w:t>
            </w:r>
          </w:p>
        </w:tc>
        <w:tc>
          <w:tcPr>
            <w:tcW w:w="6741" w:type="dxa"/>
          </w:tcPr>
          <w:p w:rsidR="006A6C3F" w:rsidRDefault="006A6C3F" w:rsidP="006A6C3F">
            <w:pPr>
              <w:pStyle w:val="Default"/>
            </w:pPr>
            <w:r>
              <w:rPr>
                <w:rFonts w:hint="eastAsia"/>
              </w:rPr>
              <w:t>基金名称</w:t>
            </w:r>
          </w:p>
        </w:tc>
      </w:tr>
      <w:tr w:rsidR="006A6C3F" w:rsidTr="006B2339">
        <w:tc>
          <w:tcPr>
            <w:tcW w:w="1555" w:type="dxa"/>
            <w:vAlign w:val="center"/>
          </w:tcPr>
          <w:p w:rsidR="006A6C3F" w:rsidRPr="006A6C3F" w:rsidRDefault="006A6C3F" w:rsidP="005226E2">
            <w:pPr>
              <w:pStyle w:val="Default"/>
            </w:pPr>
            <w:r w:rsidRPr="006A6C3F">
              <w:rPr>
                <w:rFonts w:hint="eastAsia"/>
              </w:rPr>
              <w:t>000667</w:t>
            </w:r>
          </w:p>
        </w:tc>
        <w:tc>
          <w:tcPr>
            <w:tcW w:w="6741" w:type="dxa"/>
            <w:vAlign w:val="center"/>
          </w:tcPr>
          <w:p w:rsidR="006A6C3F" w:rsidRPr="006A6C3F" w:rsidRDefault="006A6C3F" w:rsidP="006A6C3F">
            <w:pPr>
              <w:pStyle w:val="Default"/>
            </w:pPr>
            <w:r w:rsidRPr="006A6C3F">
              <w:rPr>
                <w:rFonts w:hint="eastAsia"/>
              </w:rPr>
              <w:t>工银瑞信绝对收益策略混合型发起式证券投资基金</w:t>
            </w:r>
          </w:p>
        </w:tc>
      </w:tr>
      <w:tr w:rsidR="006A6C3F" w:rsidTr="006B2339">
        <w:tc>
          <w:tcPr>
            <w:tcW w:w="1555" w:type="dxa"/>
            <w:vAlign w:val="center"/>
          </w:tcPr>
          <w:p w:rsidR="006A6C3F" w:rsidRPr="006A6C3F" w:rsidRDefault="006A6C3F" w:rsidP="005226E2">
            <w:pPr>
              <w:pStyle w:val="Default"/>
            </w:pPr>
            <w:r w:rsidRPr="006A6C3F">
              <w:rPr>
                <w:rFonts w:hint="eastAsia"/>
              </w:rPr>
              <w:t>001008</w:t>
            </w:r>
          </w:p>
        </w:tc>
        <w:tc>
          <w:tcPr>
            <w:tcW w:w="6741" w:type="dxa"/>
            <w:vAlign w:val="center"/>
          </w:tcPr>
          <w:p w:rsidR="006A6C3F" w:rsidRPr="006A6C3F" w:rsidRDefault="006A6C3F" w:rsidP="006A6C3F">
            <w:pPr>
              <w:pStyle w:val="Default"/>
            </w:pPr>
            <w:r w:rsidRPr="006A6C3F">
              <w:rPr>
                <w:rFonts w:hint="eastAsia"/>
              </w:rPr>
              <w:t>工银瑞信国企改革主题股票型证券投资基金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001171</w:t>
            </w:r>
          </w:p>
        </w:tc>
        <w:tc>
          <w:tcPr>
            <w:tcW w:w="6741" w:type="dxa"/>
            <w:vAlign w:val="center"/>
          </w:tcPr>
          <w:p w:rsidR="006A6C3F" w:rsidRPr="006A6C3F" w:rsidRDefault="006A6C3F" w:rsidP="006A6C3F">
            <w:pPr>
              <w:pStyle w:val="Default"/>
            </w:pPr>
            <w:r w:rsidRPr="006A6C3F">
              <w:rPr>
                <w:rFonts w:hint="eastAsia"/>
              </w:rPr>
              <w:t>工银瑞信养老产业股票型证券投资基金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001409</w:t>
            </w:r>
          </w:p>
        </w:tc>
        <w:tc>
          <w:tcPr>
            <w:tcW w:w="6741" w:type="dxa"/>
            <w:vAlign w:val="center"/>
          </w:tcPr>
          <w:p w:rsidR="006A6C3F" w:rsidRPr="006A6C3F" w:rsidRDefault="006A6C3F" w:rsidP="006A6C3F">
            <w:pPr>
              <w:pStyle w:val="Default"/>
            </w:pPr>
            <w:r w:rsidRPr="006A6C3F">
              <w:rPr>
                <w:rFonts w:hint="eastAsia"/>
              </w:rPr>
              <w:t>工银瑞信互联网加股票型证券投资基金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001718</w:t>
            </w:r>
          </w:p>
        </w:tc>
        <w:tc>
          <w:tcPr>
            <w:tcW w:w="6741" w:type="dxa"/>
            <w:vAlign w:val="center"/>
          </w:tcPr>
          <w:p w:rsidR="006A6C3F" w:rsidRPr="006A6C3F" w:rsidRDefault="006A6C3F" w:rsidP="006A6C3F">
            <w:pPr>
              <w:pStyle w:val="Default"/>
            </w:pPr>
            <w:r w:rsidRPr="006A6C3F">
              <w:rPr>
                <w:rFonts w:hint="eastAsia"/>
              </w:rPr>
              <w:t>工银瑞信物流产业股票型证券投资基金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005937</w:t>
            </w:r>
          </w:p>
        </w:tc>
        <w:tc>
          <w:tcPr>
            <w:tcW w:w="6741" w:type="dxa"/>
            <w:vAlign w:val="center"/>
          </w:tcPr>
          <w:p w:rsidR="006A6C3F" w:rsidRPr="006A6C3F" w:rsidRDefault="006A6C3F" w:rsidP="006A6C3F">
            <w:pPr>
              <w:pStyle w:val="Default"/>
            </w:pPr>
            <w:r w:rsidRPr="006A6C3F">
              <w:rPr>
                <w:rFonts w:hint="eastAsia"/>
              </w:rPr>
              <w:t>工银瑞信精选金融地产行业混合型证券投资基金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005939</w:t>
            </w:r>
          </w:p>
        </w:tc>
        <w:tc>
          <w:tcPr>
            <w:tcW w:w="6741" w:type="dxa"/>
            <w:vAlign w:val="center"/>
          </w:tcPr>
          <w:p w:rsidR="006A6C3F" w:rsidRPr="006A6C3F" w:rsidRDefault="006A6C3F" w:rsidP="006A6C3F">
            <w:pPr>
              <w:pStyle w:val="Default"/>
            </w:pPr>
            <w:r w:rsidRPr="006A6C3F">
              <w:rPr>
                <w:rFonts w:hint="eastAsia"/>
              </w:rPr>
              <w:t>工银瑞信新能源汽车主题混合型证券投资基金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005943</w:t>
            </w:r>
          </w:p>
        </w:tc>
        <w:tc>
          <w:tcPr>
            <w:tcW w:w="6741" w:type="dxa"/>
            <w:vAlign w:val="center"/>
          </w:tcPr>
          <w:p w:rsidR="006A6C3F" w:rsidRPr="006A6C3F" w:rsidRDefault="006A6C3F" w:rsidP="006A6C3F">
            <w:pPr>
              <w:pStyle w:val="Default"/>
            </w:pPr>
            <w:r w:rsidRPr="006A6C3F">
              <w:rPr>
                <w:rFonts w:hint="eastAsia"/>
              </w:rPr>
              <w:t>工银瑞信聚福混合型证券投资基金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481015</w:t>
            </w:r>
          </w:p>
        </w:tc>
        <w:tc>
          <w:tcPr>
            <w:tcW w:w="6741" w:type="dxa"/>
            <w:vAlign w:val="center"/>
          </w:tcPr>
          <w:p w:rsidR="006A6C3F" w:rsidRPr="006A6C3F" w:rsidRDefault="006A6C3F" w:rsidP="006A6C3F">
            <w:pPr>
              <w:pStyle w:val="Default"/>
            </w:pPr>
            <w:r w:rsidRPr="006A6C3F">
              <w:rPr>
                <w:rFonts w:hint="eastAsia"/>
              </w:rPr>
              <w:t>工银瑞信主题策略混合型证券投资基金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000195</w:t>
            </w:r>
          </w:p>
        </w:tc>
        <w:tc>
          <w:tcPr>
            <w:tcW w:w="6741" w:type="dxa"/>
            <w:vAlign w:val="center"/>
          </w:tcPr>
          <w:p w:rsidR="006A6C3F" w:rsidRPr="006A6C3F" w:rsidRDefault="006A6C3F" w:rsidP="006A6C3F">
            <w:pPr>
              <w:pStyle w:val="Default"/>
            </w:pPr>
            <w:r w:rsidRPr="006A6C3F">
              <w:rPr>
                <w:rFonts w:hint="eastAsia"/>
              </w:rPr>
              <w:t>工银瑞信成长收益混合型证券投资基金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000763</w:t>
            </w:r>
          </w:p>
        </w:tc>
        <w:tc>
          <w:tcPr>
            <w:tcW w:w="6741" w:type="dxa"/>
            <w:vAlign w:val="center"/>
          </w:tcPr>
          <w:p w:rsidR="006A6C3F" w:rsidRPr="006A6C3F" w:rsidRDefault="006A6C3F" w:rsidP="006A6C3F">
            <w:pPr>
              <w:pStyle w:val="Default"/>
            </w:pPr>
            <w:r w:rsidRPr="006A6C3F">
              <w:rPr>
                <w:rFonts w:hint="eastAsia"/>
              </w:rPr>
              <w:t>工银瑞信新财富灵活配置混合型证券投资基金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001054</w:t>
            </w:r>
          </w:p>
        </w:tc>
        <w:tc>
          <w:tcPr>
            <w:tcW w:w="6741" w:type="dxa"/>
            <w:vAlign w:val="center"/>
          </w:tcPr>
          <w:p w:rsidR="006A6C3F" w:rsidRPr="006A6C3F" w:rsidRDefault="006A6C3F" w:rsidP="006A6C3F">
            <w:pPr>
              <w:pStyle w:val="Default"/>
            </w:pPr>
            <w:r w:rsidRPr="006A6C3F">
              <w:rPr>
                <w:rFonts w:hint="eastAsia"/>
              </w:rPr>
              <w:t>工银瑞信新金融股票型证券投资基金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001320</w:t>
            </w:r>
          </w:p>
        </w:tc>
        <w:tc>
          <w:tcPr>
            <w:tcW w:w="6741" w:type="dxa"/>
            <w:vAlign w:val="center"/>
          </w:tcPr>
          <w:p w:rsidR="006A6C3F" w:rsidRPr="006A6C3F" w:rsidRDefault="006A6C3F" w:rsidP="006A6C3F">
            <w:pPr>
              <w:pStyle w:val="Default"/>
            </w:pPr>
            <w:r w:rsidRPr="006A6C3F">
              <w:rPr>
                <w:rFonts w:hint="eastAsia"/>
              </w:rPr>
              <w:t>工银瑞信丰盈回报灵活配置混合型证券投资基金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001496</w:t>
            </w:r>
          </w:p>
        </w:tc>
        <w:tc>
          <w:tcPr>
            <w:tcW w:w="6741" w:type="dxa"/>
            <w:vAlign w:val="center"/>
          </w:tcPr>
          <w:p w:rsidR="006A6C3F" w:rsidRPr="006A6C3F" w:rsidRDefault="006A6C3F" w:rsidP="006A6C3F">
            <w:pPr>
              <w:pStyle w:val="Default"/>
            </w:pPr>
            <w:r w:rsidRPr="006A6C3F">
              <w:rPr>
                <w:rFonts w:hint="eastAsia"/>
              </w:rPr>
              <w:t>工银瑞信聚焦30股票型证券投资基金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001715</w:t>
            </w:r>
          </w:p>
        </w:tc>
        <w:tc>
          <w:tcPr>
            <w:tcW w:w="6741" w:type="dxa"/>
            <w:vAlign w:val="center"/>
          </w:tcPr>
          <w:p w:rsidR="006A6C3F" w:rsidRPr="006A6C3F" w:rsidRDefault="006A6C3F" w:rsidP="006A6C3F">
            <w:pPr>
              <w:pStyle w:val="Default"/>
            </w:pPr>
            <w:r w:rsidRPr="006A6C3F">
              <w:rPr>
                <w:rFonts w:hint="eastAsia"/>
              </w:rPr>
              <w:t>工银瑞信新焦点灵活配置混合型证券投资基金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005833</w:t>
            </w:r>
          </w:p>
        </w:tc>
        <w:tc>
          <w:tcPr>
            <w:tcW w:w="6741" w:type="dxa"/>
            <w:vAlign w:val="center"/>
          </w:tcPr>
          <w:p w:rsidR="006A6C3F" w:rsidRPr="006A6C3F" w:rsidRDefault="006A6C3F" w:rsidP="006A6C3F">
            <w:pPr>
              <w:pStyle w:val="Default"/>
            </w:pPr>
            <w:r w:rsidRPr="006A6C3F">
              <w:rPr>
                <w:rFonts w:hint="eastAsia"/>
              </w:rPr>
              <w:t>工银瑞信红利优享灵活配置混合型证券投资基金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007353</w:t>
            </w:r>
          </w:p>
        </w:tc>
        <w:tc>
          <w:tcPr>
            <w:tcW w:w="6741" w:type="dxa"/>
            <w:vAlign w:val="center"/>
          </w:tcPr>
          <w:p w:rsidR="006A6C3F" w:rsidRPr="006A6C3F" w:rsidRDefault="006A6C3F" w:rsidP="006A6C3F">
            <w:pPr>
              <w:pStyle w:val="Default"/>
            </w:pPr>
            <w:r w:rsidRPr="006A6C3F">
              <w:rPr>
                <w:rFonts w:hint="eastAsia"/>
              </w:rPr>
              <w:t>工银瑞信科技创新3年封闭运作混合型证券投资基金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lastRenderedPageBreak/>
              <w:t>009076</w:t>
            </w:r>
          </w:p>
        </w:tc>
        <w:tc>
          <w:tcPr>
            <w:tcW w:w="6741" w:type="dxa"/>
            <w:vAlign w:val="center"/>
          </w:tcPr>
          <w:p w:rsidR="006A6C3F" w:rsidRPr="006A6C3F" w:rsidRDefault="006A6C3F" w:rsidP="006A6C3F">
            <w:pPr>
              <w:pStyle w:val="Default"/>
            </w:pPr>
            <w:r w:rsidRPr="006A6C3F">
              <w:rPr>
                <w:rFonts w:hint="eastAsia"/>
              </w:rPr>
              <w:t>工银瑞信圆兴混合型证券投资基金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000263</w:t>
            </w:r>
          </w:p>
        </w:tc>
        <w:tc>
          <w:tcPr>
            <w:tcW w:w="6741" w:type="dxa"/>
            <w:vAlign w:val="center"/>
          </w:tcPr>
          <w:p w:rsidR="006A6C3F" w:rsidRPr="006A6C3F" w:rsidRDefault="006A6C3F" w:rsidP="006A6C3F">
            <w:pPr>
              <w:pStyle w:val="Default"/>
            </w:pPr>
            <w:r w:rsidRPr="006A6C3F">
              <w:rPr>
                <w:rFonts w:hint="eastAsia"/>
              </w:rPr>
              <w:t>工银瑞信信息产业混合型证券投资基金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000793</w:t>
            </w:r>
          </w:p>
        </w:tc>
        <w:tc>
          <w:tcPr>
            <w:tcW w:w="6741" w:type="dxa"/>
            <w:vAlign w:val="center"/>
          </w:tcPr>
          <w:p w:rsidR="006A6C3F" w:rsidRPr="006A6C3F" w:rsidRDefault="006A6C3F" w:rsidP="006A6C3F">
            <w:pPr>
              <w:pStyle w:val="Default"/>
            </w:pPr>
            <w:r w:rsidRPr="006A6C3F">
              <w:rPr>
                <w:rFonts w:hint="eastAsia"/>
              </w:rPr>
              <w:t>工银瑞信高端制造行业股票型证券投资基金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000893</w:t>
            </w:r>
          </w:p>
        </w:tc>
        <w:tc>
          <w:tcPr>
            <w:tcW w:w="6741" w:type="dxa"/>
            <w:vAlign w:val="center"/>
          </w:tcPr>
          <w:p w:rsidR="006A6C3F" w:rsidRPr="006A6C3F" w:rsidRDefault="006A6C3F" w:rsidP="006A6C3F">
            <w:pPr>
              <w:pStyle w:val="Default"/>
            </w:pPr>
            <w:r w:rsidRPr="006A6C3F">
              <w:rPr>
                <w:rFonts w:hint="eastAsia"/>
              </w:rPr>
              <w:t>工银瑞信创新动力股票型证券投资基金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000991</w:t>
            </w:r>
          </w:p>
        </w:tc>
        <w:tc>
          <w:tcPr>
            <w:tcW w:w="6741" w:type="dxa"/>
            <w:vAlign w:val="center"/>
          </w:tcPr>
          <w:p w:rsidR="006A6C3F" w:rsidRPr="006A6C3F" w:rsidRDefault="006A6C3F" w:rsidP="006A6C3F">
            <w:pPr>
              <w:pStyle w:val="Default"/>
            </w:pPr>
            <w:r w:rsidRPr="006A6C3F">
              <w:rPr>
                <w:rFonts w:hint="eastAsia"/>
              </w:rPr>
              <w:t>工银瑞信战略转型主题股票型证券投资基金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001195</w:t>
            </w:r>
          </w:p>
        </w:tc>
        <w:tc>
          <w:tcPr>
            <w:tcW w:w="6741" w:type="dxa"/>
            <w:vAlign w:val="center"/>
          </w:tcPr>
          <w:p w:rsidR="006A6C3F" w:rsidRPr="006A6C3F" w:rsidRDefault="006A6C3F" w:rsidP="006A6C3F">
            <w:pPr>
              <w:pStyle w:val="Default"/>
            </w:pPr>
            <w:r w:rsidRPr="006A6C3F">
              <w:rPr>
                <w:rFonts w:hint="eastAsia"/>
              </w:rPr>
              <w:t>工银瑞信农业产业股票型证券投资基金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001719</w:t>
            </w:r>
          </w:p>
        </w:tc>
        <w:tc>
          <w:tcPr>
            <w:tcW w:w="6741" w:type="dxa"/>
            <w:vAlign w:val="center"/>
          </w:tcPr>
          <w:p w:rsidR="006A6C3F" w:rsidRPr="006A6C3F" w:rsidRDefault="006A6C3F" w:rsidP="006A6C3F">
            <w:pPr>
              <w:pStyle w:val="Default"/>
            </w:pPr>
            <w:r w:rsidRPr="006A6C3F">
              <w:rPr>
                <w:rFonts w:hint="eastAsia"/>
              </w:rPr>
              <w:t>工银瑞信国家战略主题股票型证券投资基金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001648</w:t>
            </w:r>
          </w:p>
        </w:tc>
        <w:tc>
          <w:tcPr>
            <w:tcW w:w="6741" w:type="dxa"/>
            <w:vAlign w:val="center"/>
          </w:tcPr>
          <w:p w:rsidR="006A6C3F" w:rsidRPr="006A6C3F" w:rsidRDefault="006A6C3F" w:rsidP="006A6C3F">
            <w:pPr>
              <w:pStyle w:val="Default"/>
            </w:pPr>
            <w:r w:rsidRPr="006A6C3F">
              <w:rPr>
                <w:rFonts w:hint="eastAsia"/>
              </w:rPr>
              <w:t>工银瑞信新价值灵活配置混合型证券投资基金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005526</w:t>
            </w:r>
          </w:p>
        </w:tc>
        <w:tc>
          <w:tcPr>
            <w:tcW w:w="6741" w:type="dxa"/>
            <w:vAlign w:val="center"/>
          </w:tcPr>
          <w:p w:rsidR="006A6C3F" w:rsidRPr="006A6C3F" w:rsidRDefault="006A6C3F" w:rsidP="006A6C3F">
            <w:pPr>
              <w:pStyle w:val="Default"/>
            </w:pPr>
            <w:r w:rsidRPr="006A6C3F">
              <w:rPr>
                <w:rFonts w:hint="eastAsia"/>
              </w:rPr>
              <w:t>工银瑞信新生代消费灵活配置混合型证券投资基金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008166</w:t>
            </w:r>
          </w:p>
        </w:tc>
        <w:tc>
          <w:tcPr>
            <w:tcW w:w="6741" w:type="dxa"/>
            <w:vAlign w:val="center"/>
          </w:tcPr>
          <w:p w:rsidR="006A6C3F" w:rsidRPr="006A6C3F" w:rsidRDefault="006A6C3F" w:rsidP="006A6C3F">
            <w:pPr>
              <w:pStyle w:val="Default"/>
            </w:pPr>
            <w:r w:rsidRPr="006A6C3F">
              <w:rPr>
                <w:rFonts w:hint="eastAsia"/>
              </w:rPr>
              <w:t>工银瑞信消费行业股票型证券投资基金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009029</w:t>
            </w:r>
          </w:p>
        </w:tc>
        <w:tc>
          <w:tcPr>
            <w:tcW w:w="6741" w:type="dxa"/>
            <w:vAlign w:val="center"/>
          </w:tcPr>
          <w:p w:rsidR="006A6C3F" w:rsidRPr="006A6C3F" w:rsidRDefault="006A6C3F" w:rsidP="006A6C3F">
            <w:pPr>
              <w:pStyle w:val="Default"/>
            </w:pPr>
            <w:r w:rsidRPr="006A6C3F">
              <w:rPr>
                <w:rFonts w:hint="eastAsia"/>
              </w:rPr>
              <w:t>工银瑞信高质量成长混合型证券投资基金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481010</w:t>
            </w:r>
          </w:p>
        </w:tc>
        <w:tc>
          <w:tcPr>
            <w:tcW w:w="6741" w:type="dxa"/>
            <w:vAlign w:val="center"/>
          </w:tcPr>
          <w:p w:rsidR="006A6C3F" w:rsidRPr="006A6C3F" w:rsidRDefault="006A6C3F" w:rsidP="006A6C3F">
            <w:pPr>
              <w:pStyle w:val="Default"/>
            </w:pPr>
            <w:r w:rsidRPr="006A6C3F">
              <w:rPr>
                <w:rFonts w:hint="eastAsia"/>
              </w:rPr>
              <w:t>工银瑞信中小盘成长混合型证券投资基金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481013</w:t>
            </w:r>
          </w:p>
        </w:tc>
        <w:tc>
          <w:tcPr>
            <w:tcW w:w="6741" w:type="dxa"/>
            <w:vAlign w:val="center"/>
          </w:tcPr>
          <w:p w:rsidR="006A6C3F" w:rsidRPr="006A6C3F" w:rsidRDefault="006A6C3F" w:rsidP="006A6C3F">
            <w:pPr>
              <w:pStyle w:val="Default"/>
            </w:pPr>
            <w:r w:rsidRPr="006A6C3F">
              <w:rPr>
                <w:rFonts w:hint="eastAsia"/>
              </w:rPr>
              <w:t>工银瑞信消费服务行业混合型证券投资基金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481017</w:t>
            </w:r>
          </w:p>
        </w:tc>
        <w:tc>
          <w:tcPr>
            <w:tcW w:w="6741" w:type="dxa"/>
            <w:vAlign w:val="center"/>
          </w:tcPr>
          <w:p w:rsidR="006A6C3F" w:rsidRPr="006A6C3F" w:rsidRDefault="006A6C3F" w:rsidP="006A6C3F">
            <w:pPr>
              <w:pStyle w:val="Default"/>
            </w:pPr>
            <w:r w:rsidRPr="006A6C3F">
              <w:rPr>
                <w:rFonts w:hint="eastAsia"/>
              </w:rPr>
              <w:t>工银瑞信基本面量化策略混合型证券投资基金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000831</w:t>
            </w:r>
          </w:p>
        </w:tc>
        <w:tc>
          <w:tcPr>
            <w:tcW w:w="6741" w:type="dxa"/>
            <w:vAlign w:val="center"/>
          </w:tcPr>
          <w:p w:rsidR="006A6C3F" w:rsidRPr="006A6C3F" w:rsidRDefault="006A6C3F" w:rsidP="006A6C3F">
            <w:pPr>
              <w:pStyle w:val="Default"/>
            </w:pPr>
            <w:r w:rsidRPr="006A6C3F">
              <w:rPr>
                <w:rFonts w:hint="eastAsia"/>
              </w:rPr>
              <w:t>工银瑞信医疗保健行业股票型证券投资基金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001651</w:t>
            </w:r>
          </w:p>
        </w:tc>
        <w:tc>
          <w:tcPr>
            <w:tcW w:w="6741" w:type="dxa"/>
            <w:vAlign w:val="center"/>
          </w:tcPr>
          <w:p w:rsidR="006A6C3F" w:rsidRPr="006A6C3F" w:rsidRDefault="006A6C3F" w:rsidP="006A6C3F">
            <w:pPr>
              <w:pStyle w:val="Default"/>
            </w:pPr>
            <w:r w:rsidRPr="006A6C3F">
              <w:rPr>
                <w:rFonts w:hint="eastAsia"/>
              </w:rPr>
              <w:t>工银瑞信新蓝筹股票型证券投资基金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002003</w:t>
            </w:r>
          </w:p>
        </w:tc>
        <w:tc>
          <w:tcPr>
            <w:tcW w:w="6741" w:type="dxa"/>
            <w:vAlign w:val="center"/>
          </w:tcPr>
          <w:p w:rsidR="006A6C3F" w:rsidRPr="006A6C3F" w:rsidRDefault="006A6C3F" w:rsidP="006A6C3F">
            <w:pPr>
              <w:pStyle w:val="Default"/>
            </w:pPr>
            <w:r w:rsidRPr="006A6C3F">
              <w:rPr>
                <w:rFonts w:hint="eastAsia"/>
              </w:rPr>
              <w:t>工银瑞信新机遇灵活配置混合型证券投资基金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006002</w:t>
            </w:r>
          </w:p>
        </w:tc>
        <w:tc>
          <w:tcPr>
            <w:tcW w:w="6741" w:type="dxa"/>
            <w:vAlign w:val="center"/>
          </w:tcPr>
          <w:p w:rsidR="006A6C3F" w:rsidRPr="006A6C3F" w:rsidRDefault="006A6C3F" w:rsidP="006A6C3F">
            <w:pPr>
              <w:pStyle w:val="Default"/>
            </w:pPr>
            <w:r w:rsidRPr="006A6C3F">
              <w:rPr>
                <w:rFonts w:hint="eastAsia"/>
              </w:rPr>
              <w:t>工银瑞信医药健康行业股票型证券投资基金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006615</w:t>
            </w:r>
          </w:p>
        </w:tc>
        <w:tc>
          <w:tcPr>
            <w:tcW w:w="6741" w:type="dxa"/>
            <w:vAlign w:val="center"/>
          </w:tcPr>
          <w:p w:rsidR="006A6C3F" w:rsidRPr="006A6C3F" w:rsidRDefault="006A6C3F" w:rsidP="006A6C3F">
            <w:pPr>
              <w:pStyle w:val="Default"/>
            </w:pPr>
            <w:r w:rsidRPr="006A6C3F">
              <w:rPr>
                <w:rFonts w:hint="eastAsia"/>
              </w:rPr>
              <w:t>工银瑞信战略新兴产业混合型证券投资基金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009364</w:t>
            </w:r>
          </w:p>
        </w:tc>
        <w:tc>
          <w:tcPr>
            <w:tcW w:w="6741" w:type="dxa"/>
            <w:vAlign w:val="center"/>
          </w:tcPr>
          <w:p w:rsidR="006A6C3F" w:rsidRPr="006A6C3F" w:rsidRDefault="006A6C3F" w:rsidP="006A6C3F">
            <w:pPr>
              <w:pStyle w:val="Default"/>
            </w:pPr>
            <w:r w:rsidRPr="006A6C3F">
              <w:rPr>
                <w:rFonts w:hint="eastAsia"/>
              </w:rPr>
              <w:t>工银瑞信科技创新6个月定期开放混合型证券投资基金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481001</w:t>
            </w:r>
          </w:p>
        </w:tc>
        <w:tc>
          <w:tcPr>
            <w:tcW w:w="6741" w:type="dxa"/>
            <w:vAlign w:val="center"/>
          </w:tcPr>
          <w:p w:rsidR="006A6C3F" w:rsidRPr="006A6C3F" w:rsidRDefault="006A6C3F" w:rsidP="006A6C3F">
            <w:pPr>
              <w:pStyle w:val="Default"/>
            </w:pPr>
            <w:r w:rsidRPr="006A6C3F">
              <w:rPr>
                <w:rFonts w:hint="eastAsia"/>
              </w:rPr>
              <w:t>工银瑞信核心价值混合型证券投资基金</w:t>
            </w:r>
          </w:p>
        </w:tc>
      </w:tr>
      <w:tr w:rsidR="006A6C3F" w:rsidTr="006B2339">
        <w:tc>
          <w:tcPr>
            <w:tcW w:w="1555" w:type="dxa"/>
            <w:vAlign w:val="center"/>
          </w:tcPr>
          <w:p w:rsidR="006A6C3F" w:rsidRPr="006A6C3F" w:rsidRDefault="006A6C3F" w:rsidP="006A6C3F">
            <w:pPr>
              <w:pStyle w:val="Default"/>
            </w:pPr>
            <w:r w:rsidRPr="006A6C3F">
              <w:rPr>
                <w:rFonts w:hint="eastAsia"/>
              </w:rPr>
              <w:t>481008</w:t>
            </w:r>
          </w:p>
        </w:tc>
        <w:tc>
          <w:tcPr>
            <w:tcW w:w="6741" w:type="dxa"/>
            <w:vAlign w:val="center"/>
          </w:tcPr>
          <w:p w:rsidR="006A6C3F" w:rsidRPr="006A6C3F" w:rsidRDefault="006A6C3F" w:rsidP="006A6C3F">
            <w:pPr>
              <w:pStyle w:val="Default"/>
            </w:pPr>
            <w:r w:rsidRPr="006A6C3F">
              <w:rPr>
                <w:rFonts w:hint="eastAsia"/>
              </w:rPr>
              <w:t>工银瑞信大盘蓝筹混合型证券投资基金</w:t>
            </w:r>
          </w:p>
        </w:tc>
      </w:tr>
    </w:tbl>
    <w:p w:rsidR="006A6C3F" w:rsidRDefault="006A6C3F" w:rsidP="006A6C3F">
      <w:pPr>
        <w:pStyle w:val="Default"/>
      </w:pPr>
    </w:p>
    <w:p w:rsidR="006A6C3F" w:rsidRPr="00BB1B67" w:rsidRDefault="006A6C3F" w:rsidP="006A6C3F">
      <w:pPr>
        <w:spacing w:line="360" w:lineRule="auto"/>
        <w:ind w:firstLineChars="200" w:firstLine="480"/>
        <w:rPr>
          <w:rFonts w:ascii="宋体" w:eastAsia="宋体" w:hAnsi="宋体"/>
          <w:sz w:val="24"/>
          <w:szCs w:val="24"/>
        </w:rPr>
      </w:pPr>
      <w:r>
        <w:rPr>
          <w:rFonts w:ascii="宋体" w:eastAsia="宋体" w:hAnsi="宋体" w:hint="eastAsia"/>
          <w:sz w:val="24"/>
          <w:szCs w:val="24"/>
        </w:rPr>
        <w:t>二、</w:t>
      </w:r>
      <w:r w:rsidR="00E32194">
        <w:rPr>
          <w:rFonts w:ascii="宋体" w:eastAsia="宋体" w:hAnsi="宋体" w:hint="eastAsia"/>
          <w:sz w:val="24"/>
          <w:szCs w:val="24"/>
        </w:rPr>
        <w:t>基金合同的</w:t>
      </w:r>
      <w:r>
        <w:rPr>
          <w:rFonts w:ascii="宋体" w:eastAsia="宋体" w:hAnsi="宋体" w:hint="eastAsia"/>
          <w:sz w:val="24"/>
          <w:szCs w:val="24"/>
        </w:rPr>
        <w:t>修订</w:t>
      </w:r>
      <w:r w:rsidRPr="00BB1B67">
        <w:rPr>
          <w:rFonts w:ascii="宋体" w:eastAsia="宋体" w:hAnsi="宋体" w:hint="eastAsia"/>
          <w:sz w:val="24"/>
          <w:szCs w:val="24"/>
        </w:rPr>
        <w:t>事项</w:t>
      </w:r>
      <w:r w:rsidRPr="00BB1B67">
        <w:rPr>
          <w:rFonts w:ascii="宋体" w:eastAsia="宋体" w:hAnsi="宋体"/>
          <w:sz w:val="24"/>
          <w:szCs w:val="24"/>
        </w:rPr>
        <w:t xml:space="preserve"> </w:t>
      </w:r>
    </w:p>
    <w:p w:rsidR="006A6C3F" w:rsidRDefault="006A6C3F" w:rsidP="006A6C3F">
      <w:pPr>
        <w:spacing w:line="360" w:lineRule="auto"/>
        <w:ind w:firstLineChars="200" w:firstLine="480"/>
        <w:rPr>
          <w:rFonts w:ascii="宋体" w:eastAsia="宋体" w:hAnsi="宋体"/>
          <w:sz w:val="24"/>
          <w:szCs w:val="24"/>
        </w:rPr>
      </w:pPr>
      <w:r>
        <w:rPr>
          <w:rFonts w:ascii="宋体" w:eastAsia="宋体" w:hAnsi="宋体"/>
          <w:sz w:val="24"/>
          <w:szCs w:val="24"/>
        </w:rPr>
        <w:t>（一）</w:t>
      </w:r>
      <w:r>
        <w:rPr>
          <w:rFonts w:ascii="宋体" w:eastAsia="宋体" w:hAnsi="宋体" w:hint="eastAsia"/>
          <w:sz w:val="24"/>
          <w:szCs w:val="24"/>
        </w:rPr>
        <w:t>在</w:t>
      </w:r>
      <w:r w:rsidRPr="006A6C3F">
        <w:rPr>
          <w:rFonts w:ascii="宋体" w:eastAsia="宋体" w:hAnsi="宋体"/>
          <w:sz w:val="24"/>
          <w:szCs w:val="24"/>
        </w:rPr>
        <w:t>“</w:t>
      </w:r>
      <w:r>
        <w:rPr>
          <w:rFonts w:ascii="宋体" w:eastAsia="宋体" w:hAnsi="宋体" w:hint="eastAsia"/>
          <w:sz w:val="24"/>
          <w:szCs w:val="24"/>
        </w:rPr>
        <w:t>前言</w:t>
      </w:r>
      <w:r w:rsidRPr="006A6C3F">
        <w:rPr>
          <w:rFonts w:ascii="宋体" w:eastAsia="宋体" w:hAnsi="宋体"/>
          <w:sz w:val="24"/>
          <w:szCs w:val="24"/>
        </w:rPr>
        <w:t>”</w:t>
      </w:r>
      <w:r>
        <w:rPr>
          <w:rFonts w:ascii="宋体" w:eastAsia="宋体" w:hAnsi="宋体"/>
          <w:sz w:val="24"/>
          <w:szCs w:val="24"/>
        </w:rPr>
        <w:t>部分</w:t>
      </w:r>
      <w:r>
        <w:rPr>
          <w:rFonts w:ascii="宋体" w:eastAsia="宋体" w:hAnsi="宋体" w:hint="eastAsia"/>
          <w:sz w:val="24"/>
          <w:szCs w:val="24"/>
        </w:rPr>
        <w:t>增加投资存托凭证的风险提示，具体如下：</w:t>
      </w:r>
    </w:p>
    <w:p w:rsidR="006A6C3F" w:rsidRDefault="006A6C3F" w:rsidP="006A6C3F">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Pr="006A6C3F">
        <w:rPr>
          <w:rFonts w:ascii="宋体" w:eastAsia="宋体" w:hAnsi="宋体" w:hint="eastAsia"/>
          <w:b/>
          <w:sz w:val="24"/>
          <w:szCs w:val="24"/>
        </w:rPr>
        <w:t>本基金的投资范围包括存托凭证，若投资可能面临中国存托凭证价格大幅波动甚至出现较大亏损的风险，以及与创新企业、境外发行人、中国存托凭证发行机制以及交易机制等相关的风险。</w:t>
      </w:r>
      <w:r>
        <w:rPr>
          <w:rFonts w:ascii="宋体" w:eastAsia="宋体" w:hAnsi="宋体" w:hint="eastAsia"/>
          <w:sz w:val="24"/>
          <w:szCs w:val="24"/>
        </w:rPr>
        <w:t>”</w:t>
      </w:r>
    </w:p>
    <w:p w:rsidR="006A6C3F" w:rsidRPr="006A6C3F" w:rsidRDefault="006A6C3F" w:rsidP="006A6C3F">
      <w:pPr>
        <w:spacing w:line="360" w:lineRule="auto"/>
        <w:ind w:firstLineChars="200" w:firstLine="480"/>
        <w:rPr>
          <w:rFonts w:ascii="宋体" w:eastAsia="宋体" w:hAnsi="宋体"/>
          <w:sz w:val="24"/>
          <w:szCs w:val="24"/>
        </w:rPr>
      </w:pPr>
      <w:r>
        <w:rPr>
          <w:rFonts w:ascii="宋体" w:eastAsia="宋体" w:hAnsi="宋体" w:hint="eastAsia"/>
          <w:sz w:val="24"/>
          <w:szCs w:val="24"/>
        </w:rPr>
        <w:t>（二）对“基金的投资”部分修订</w:t>
      </w:r>
    </w:p>
    <w:p w:rsidR="006A6C3F" w:rsidRPr="006A6C3F" w:rsidRDefault="006A6C3F"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1</w:t>
      </w:r>
      <w:r>
        <w:rPr>
          <w:rFonts w:ascii="宋体" w:eastAsia="宋体" w:hAnsi="宋体"/>
          <w:sz w:val="24"/>
          <w:szCs w:val="24"/>
        </w:rPr>
        <w:t>、</w:t>
      </w:r>
      <w:r>
        <w:rPr>
          <w:rFonts w:ascii="宋体" w:eastAsia="宋体" w:hAnsi="宋体" w:hint="eastAsia"/>
          <w:sz w:val="24"/>
          <w:szCs w:val="24"/>
        </w:rPr>
        <w:t>在</w:t>
      </w:r>
      <w:r w:rsidRPr="006A6C3F">
        <w:rPr>
          <w:rFonts w:ascii="宋体" w:eastAsia="宋体" w:hAnsi="宋体"/>
          <w:sz w:val="24"/>
          <w:szCs w:val="24"/>
        </w:rPr>
        <w:t>“投资范围”中</w:t>
      </w:r>
      <w:r>
        <w:rPr>
          <w:rFonts w:ascii="宋体" w:eastAsia="宋体" w:hAnsi="宋体" w:hint="eastAsia"/>
          <w:sz w:val="24"/>
          <w:szCs w:val="24"/>
        </w:rPr>
        <w:t>增加</w:t>
      </w:r>
      <w:r w:rsidRPr="006A6C3F">
        <w:rPr>
          <w:rFonts w:ascii="宋体" w:eastAsia="宋体" w:hAnsi="宋体"/>
          <w:sz w:val="24"/>
          <w:szCs w:val="24"/>
        </w:rPr>
        <w:t>存托凭证。以</w:t>
      </w:r>
      <w:r>
        <w:rPr>
          <w:rFonts w:ascii="宋体" w:eastAsia="宋体" w:hAnsi="宋体" w:hint="eastAsia"/>
          <w:sz w:val="24"/>
          <w:szCs w:val="24"/>
        </w:rPr>
        <w:t>工银瑞信高质量成长</w:t>
      </w:r>
      <w:r w:rsidRPr="006A6C3F">
        <w:rPr>
          <w:rFonts w:ascii="宋体" w:eastAsia="宋体" w:hAnsi="宋体"/>
          <w:sz w:val="24"/>
          <w:szCs w:val="24"/>
        </w:rPr>
        <w:t>混合型证券投资基金为例，将“投资范围”修订为：</w:t>
      </w:r>
    </w:p>
    <w:p w:rsidR="006A6C3F" w:rsidRPr="006A6C3F" w:rsidRDefault="006A6C3F"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w:t>
      </w:r>
      <w:r w:rsidRPr="006A6C3F">
        <w:rPr>
          <w:rFonts w:ascii="宋体" w:eastAsia="宋体" w:hAnsi="宋体" w:hint="eastAsia"/>
          <w:sz w:val="24"/>
          <w:szCs w:val="24"/>
        </w:rPr>
        <w:t>本基金的投资范围为具有良好流动性的金融工具，包括国内依法发行上市交易的股票（包括中小板、创业板及其他中国证监会允许基金投资的股票）、</w:t>
      </w:r>
      <w:r w:rsidRPr="006A6C3F">
        <w:rPr>
          <w:rFonts w:ascii="宋体" w:eastAsia="宋体" w:hAnsi="宋体" w:hint="eastAsia"/>
          <w:b/>
          <w:sz w:val="24"/>
          <w:szCs w:val="24"/>
        </w:rPr>
        <w:t>存托凭证、</w:t>
      </w:r>
      <w:r w:rsidRPr="006A6C3F">
        <w:rPr>
          <w:rFonts w:ascii="宋体" w:eastAsia="宋体" w:hAnsi="宋体" w:hint="eastAsia"/>
          <w:sz w:val="24"/>
          <w:szCs w:val="24"/>
        </w:rPr>
        <w:t>内地与香港股票市场交易互联互通机制允许买卖的规定范围内的香港联合交易所上市的股票（以下简称“港股通投资标的股票”）、股指期货、债券（包括国债、地方政府债、政府支持机构债券、金融债、企业债、公司债、次级债、可转换债券（含分离交易可转债）、可交换债券、央行票据、中期票据、短期融</w:t>
      </w:r>
      <w:r w:rsidRPr="006A6C3F">
        <w:rPr>
          <w:rFonts w:ascii="宋体" w:eastAsia="宋体" w:hAnsi="宋体" w:hint="eastAsia"/>
          <w:sz w:val="24"/>
          <w:szCs w:val="24"/>
        </w:rPr>
        <w:lastRenderedPageBreak/>
        <w:t>资券、超短期融资券等）、国债期货、资产支持证券、债券回购、银行存款、同业存单、现金，以及法律法规或中国证监会允许基金投资的其他金融工具（但须符合中国证监会的相关规定）。</w:t>
      </w:r>
    </w:p>
    <w:p w:rsidR="006A6C3F" w:rsidRDefault="006A6C3F"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w:t>
      </w:r>
    </w:p>
    <w:p w:rsidR="00B22ACC" w:rsidRDefault="006A6C3F" w:rsidP="006A6C3F">
      <w:pPr>
        <w:spacing w:line="360" w:lineRule="auto"/>
        <w:ind w:firstLineChars="200" w:firstLine="480"/>
        <w:rPr>
          <w:rFonts w:ascii="宋体" w:eastAsia="宋体" w:hAnsi="宋体"/>
          <w:sz w:val="24"/>
          <w:szCs w:val="24"/>
        </w:rPr>
      </w:pPr>
      <w:r w:rsidRPr="006A6C3F">
        <w:rPr>
          <w:rFonts w:ascii="宋体" w:eastAsia="宋体" w:hAnsi="宋体" w:hint="eastAsia"/>
          <w:sz w:val="24"/>
          <w:szCs w:val="24"/>
        </w:rPr>
        <w:t>本基金的投资组合比例为：股票</w:t>
      </w:r>
      <w:r w:rsidRPr="00B22ACC">
        <w:rPr>
          <w:rFonts w:ascii="宋体" w:eastAsia="宋体" w:hAnsi="宋体" w:hint="eastAsia"/>
          <w:b/>
          <w:sz w:val="24"/>
          <w:szCs w:val="24"/>
        </w:rPr>
        <w:t>及存托凭证</w:t>
      </w:r>
      <w:r w:rsidRPr="006A6C3F">
        <w:rPr>
          <w:rFonts w:ascii="宋体" w:eastAsia="宋体" w:hAnsi="宋体" w:hint="eastAsia"/>
          <w:sz w:val="24"/>
          <w:szCs w:val="24"/>
        </w:rPr>
        <w:t>资产占基金资产的比例为</w:t>
      </w:r>
      <w:r w:rsidRPr="006A6C3F">
        <w:rPr>
          <w:rFonts w:ascii="宋体" w:eastAsia="宋体" w:hAnsi="宋体"/>
          <w:sz w:val="24"/>
          <w:szCs w:val="24"/>
        </w:rPr>
        <w:t>60%–95%</w:t>
      </w:r>
      <w:r w:rsidRPr="006A6C3F">
        <w:rPr>
          <w:rFonts w:ascii="宋体" w:eastAsia="宋体" w:hAnsi="宋体" w:hint="eastAsia"/>
          <w:sz w:val="24"/>
          <w:szCs w:val="24"/>
        </w:rPr>
        <w:t>（投资于港股通投资标的股票的比例占基金股票资产的比例为0%-50%），其中投资于本基金界定的高质量成长主题范围内的股票</w:t>
      </w:r>
      <w:r w:rsidRPr="00B22ACC">
        <w:rPr>
          <w:rFonts w:ascii="宋体" w:eastAsia="宋体" w:hAnsi="宋体" w:hint="eastAsia"/>
          <w:b/>
          <w:sz w:val="24"/>
          <w:szCs w:val="24"/>
        </w:rPr>
        <w:t>及存托凭证</w:t>
      </w:r>
      <w:r w:rsidRPr="006A6C3F">
        <w:rPr>
          <w:rFonts w:ascii="宋体" w:eastAsia="宋体" w:hAnsi="宋体" w:hint="eastAsia"/>
          <w:sz w:val="24"/>
          <w:szCs w:val="24"/>
        </w:rPr>
        <w:t>不低于非现金基金资产的80%。每个交易日日终在扣除股指期货合约、国债期货合约需缴纳的交易保证金后，应当保持不低于基金资产净值的5%的现金或到期日在一年以内的政府债券，其中现金不包括结算备付金、存出保证金、应收申购款等。</w:t>
      </w:r>
    </w:p>
    <w:p w:rsidR="006A6C3F" w:rsidRPr="006A6C3F" w:rsidRDefault="00B22ACC"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w:t>
      </w:r>
      <w:r w:rsidR="006A6C3F" w:rsidRPr="006A6C3F">
        <w:rPr>
          <w:rFonts w:ascii="宋体" w:eastAsia="宋体" w:hAnsi="宋体"/>
          <w:sz w:val="24"/>
          <w:szCs w:val="24"/>
        </w:rPr>
        <w:t>”</w:t>
      </w:r>
    </w:p>
    <w:p w:rsidR="006A6C3F" w:rsidRPr="006A6C3F" w:rsidRDefault="006A6C3F"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2、在</w:t>
      </w:r>
      <w:r w:rsidR="00C0352A">
        <w:rPr>
          <w:rFonts w:ascii="宋体" w:eastAsia="宋体" w:hAnsi="宋体" w:hint="eastAsia"/>
          <w:sz w:val="24"/>
          <w:szCs w:val="24"/>
        </w:rPr>
        <w:t>“</w:t>
      </w:r>
      <w:r w:rsidRPr="006A6C3F">
        <w:rPr>
          <w:rFonts w:ascii="宋体" w:eastAsia="宋体" w:hAnsi="宋体"/>
          <w:sz w:val="24"/>
          <w:szCs w:val="24"/>
        </w:rPr>
        <w:t>投资策略</w:t>
      </w:r>
      <w:r w:rsidR="00C0352A">
        <w:rPr>
          <w:rFonts w:ascii="宋体" w:eastAsia="宋体" w:hAnsi="宋体" w:hint="eastAsia"/>
          <w:sz w:val="24"/>
          <w:szCs w:val="24"/>
        </w:rPr>
        <w:t>”</w:t>
      </w:r>
      <w:bookmarkStart w:id="0" w:name="_GoBack"/>
      <w:bookmarkEnd w:id="0"/>
      <w:r w:rsidRPr="006A6C3F">
        <w:rPr>
          <w:rFonts w:ascii="宋体" w:eastAsia="宋体" w:hAnsi="宋体"/>
          <w:sz w:val="24"/>
          <w:szCs w:val="24"/>
        </w:rPr>
        <w:t>部分增加存托凭证投资策略描述如下：</w:t>
      </w:r>
    </w:p>
    <w:p w:rsidR="006A6C3F" w:rsidRPr="006A6C3F" w:rsidRDefault="006A6C3F"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w:t>
      </w:r>
      <w:r w:rsidR="00B22ACC" w:rsidRPr="00B22ACC">
        <w:rPr>
          <w:rFonts w:ascii="宋体" w:eastAsia="宋体" w:hAnsi="宋体" w:hint="eastAsia"/>
          <w:b/>
          <w:sz w:val="24"/>
          <w:szCs w:val="24"/>
        </w:rPr>
        <w:t>本基金投资存托凭证的策略依照上述境内上市交易的股票投资策略执行。</w:t>
      </w:r>
      <w:r w:rsidRPr="006A6C3F">
        <w:rPr>
          <w:rFonts w:ascii="宋体" w:eastAsia="宋体" w:hAnsi="宋体"/>
          <w:sz w:val="24"/>
          <w:szCs w:val="24"/>
        </w:rPr>
        <w:t>”</w:t>
      </w:r>
    </w:p>
    <w:p w:rsidR="006A6C3F" w:rsidRPr="006A6C3F" w:rsidRDefault="006A6C3F"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3、在“投资限制”中增加存托凭证投资限制</w:t>
      </w:r>
      <w:r w:rsidR="00B22ACC">
        <w:rPr>
          <w:rFonts w:ascii="宋体" w:eastAsia="宋体" w:hAnsi="宋体" w:hint="eastAsia"/>
          <w:sz w:val="24"/>
          <w:szCs w:val="24"/>
        </w:rPr>
        <w:t>，</w:t>
      </w:r>
      <w:r w:rsidR="00B22ACC" w:rsidRPr="006A6C3F">
        <w:rPr>
          <w:rFonts w:ascii="宋体" w:eastAsia="宋体" w:hAnsi="宋体"/>
          <w:sz w:val="24"/>
          <w:szCs w:val="24"/>
        </w:rPr>
        <w:t>以</w:t>
      </w:r>
      <w:r w:rsidR="00B22ACC">
        <w:rPr>
          <w:rFonts w:ascii="宋体" w:eastAsia="宋体" w:hAnsi="宋体" w:hint="eastAsia"/>
          <w:sz w:val="24"/>
          <w:szCs w:val="24"/>
        </w:rPr>
        <w:t>工银瑞信高质量成长</w:t>
      </w:r>
      <w:r w:rsidR="00B22ACC" w:rsidRPr="006A6C3F">
        <w:rPr>
          <w:rFonts w:ascii="宋体" w:eastAsia="宋体" w:hAnsi="宋体"/>
          <w:sz w:val="24"/>
          <w:szCs w:val="24"/>
        </w:rPr>
        <w:t>混合型证券投资基金为例，</w:t>
      </w:r>
      <w:r w:rsidRPr="006A6C3F">
        <w:rPr>
          <w:rFonts w:ascii="宋体" w:eastAsia="宋体" w:hAnsi="宋体"/>
          <w:sz w:val="24"/>
          <w:szCs w:val="24"/>
        </w:rPr>
        <w:t>描述如下：</w:t>
      </w:r>
    </w:p>
    <w:p w:rsidR="00B22ACC" w:rsidRPr="00B22ACC" w:rsidRDefault="006A6C3F"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w:t>
      </w:r>
      <w:r w:rsidR="00B22ACC" w:rsidRPr="00B22ACC">
        <w:rPr>
          <w:rFonts w:ascii="宋体" w:eastAsia="宋体" w:hAnsi="宋体"/>
          <w:sz w:val="24"/>
          <w:szCs w:val="24"/>
        </w:rPr>
        <w:t>（1）</w:t>
      </w:r>
      <w:r w:rsidR="00B22ACC" w:rsidRPr="00B22ACC">
        <w:rPr>
          <w:rFonts w:ascii="宋体" w:eastAsia="宋体" w:hAnsi="宋体" w:hint="eastAsia"/>
          <w:sz w:val="24"/>
          <w:szCs w:val="24"/>
        </w:rPr>
        <w:t>股票</w:t>
      </w:r>
      <w:r w:rsidR="00B22ACC" w:rsidRPr="00B22ACC">
        <w:rPr>
          <w:rFonts w:ascii="宋体" w:eastAsia="宋体" w:hAnsi="宋体" w:hint="eastAsia"/>
          <w:b/>
          <w:sz w:val="24"/>
          <w:szCs w:val="24"/>
        </w:rPr>
        <w:t>及存托凭证</w:t>
      </w:r>
      <w:r w:rsidR="00B22ACC" w:rsidRPr="00B22ACC">
        <w:rPr>
          <w:rFonts w:ascii="宋体" w:eastAsia="宋体" w:hAnsi="宋体" w:hint="eastAsia"/>
          <w:sz w:val="24"/>
          <w:szCs w:val="24"/>
        </w:rPr>
        <w:t>资产占基金资产的比例为</w:t>
      </w:r>
      <w:r w:rsidR="00B22ACC" w:rsidRPr="00B22ACC">
        <w:rPr>
          <w:rFonts w:ascii="宋体" w:eastAsia="宋体" w:hAnsi="宋体"/>
          <w:sz w:val="24"/>
          <w:szCs w:val="24"/>
        </w:rPr>
        <w:t>6</w:t>
      </w:r>
      <w:r w:rsidR="00B22ACC" w:rsidRPr="00B22ACC">
        <w:rPr>
          <w:rFonts w:ascii="宋体" w:eastAsia="宋体" w:hAnsi="宋体" w:hint="eastAsia"/>
          <w:sz w:val="24"/>
          <w:szCs w:val="24"/>
        </w:rPr>
        <w:t>0%–95%（投资于港股通投资标的股票的比例占基金股票资产的比例为0%-50%），其中投资于本基金界定的高质量成长主题范围内的股票</w:t>
      </w:r>
      <w:r w:rsidR="00B22ACC" w:rsidRPr="00B22ACC">
        <w:rPr>
          <w:rFonts w:ascii="宋体" w:eastAsia="宋体" w:hAnsi="宋体" w:hint="eastAsia"/>
          <w:b/>
          <w:sz w:val="24"/>
          <w:szCs w:val="24"/>
        </w:rPr>
        <w:t>及存托凭证</w:t>
      </w:r>
      <w:r w:rsidR="00B22ACC" w:rsidRPr="00B22ACC">
        <w:rPr>
          <w:rFonts w:ascii="宋体" w:eastAsia="宋体" w:hAnsi="宋体" w:hint="eastAsia"/>
          <w:sz w:val="24"/>
          <w:szCs w:val="24"/>
        </w:rPr>
        <w:t>不低于非现金基金资产的80%</w:t>
      </w:r>
      <w:r w:rsidR="00B22ACC" w:rsidRPr="00B22ACC">
        <w:rPr>
          <w:rFonts w:ascii="宋体" w:eastAsia="宋体" w:hAnsi="宋体"/>
          <w:sz w:val="24"/>
          <w:szCs w:val="24"/>
        </w:rPr>
        <w:t>；</w:t>
      </w:r>
    </w:p>
    <w:p w:rsidR="00B22ACC" w:rsidRPr="00B22ACC" w:rsidRDefault="00B22ACC"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w:t>
      </w:r>
    </w:p>
    <w:p w:rsidR="00B22ACC" w:rsidRPr="00B22ACC" w:rsidRDefault="00B22ACC" w:rsidP="006A6C3F">
      <w:pPr>
        <w:spacing w:line="360" w:lineRule="auto"/>
        <w:ind w:firstLineChars="200" w:firstLine="482"/>
        <w:rPr>
          <w:rFonts w:ascii="宋体" w:eastAsia="宋体" w:hAnsi="宋体"/>
          <w:b/>
          <w:sz w:val="24"/>
          <w:szCs w:val="24"/>
        </w:rPr>
      </w:pPr>
      <w:r w:rsidRPr="00B22ACC">
        <w:rPr>
          <w:rFonts w:ascii="宋体" w:eastAsia="宋体" w:hAnsi="宋体" w:hint="eastAsia"/>
          <w:b/>
          <w:sz w:val="24"/>
          <w:szCs w:val="24"/>
        </w:rPr>
        <w:t>（1</w:t>
      </w:r>
      <w:r w:rsidRPr="00B22ACC">
        <w:rPr>
          <w:rFonts w:ascii="宋体" w:eastAsia="宋体" w:hAnsi="宋体"/>
          <w:b/>
          <w:sz w:val="24"/>
          <w:szCs w:val="24"/>
        </w:rPr>
        <w:t>9</w:t>
      </w:r>
      <w:r w:rsidRPr="00B22ACC">
        <w:rPr>
          <w:rFonts w:ascii="宋体" w:eastAsia="宋体" w:hAnsi="宋体" w:hint="eastAsia"/>
          <w:b/>
          <w:sz w:val="24"/>
          <w:szCs w:val="24"/>
        </w:rPr>
        <w:t>）本基金投资存托凭证的比例限制依照境内上市交易的股票执行，与境内上市交易的股票合并计算；</w:t>
      </w:r>
    </w:p>
    <w:p w:rsidR="006A6C3F" w:rsidRPr="006A6C3F" w:rsidRDefault="00B22ACC"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w:t>
      </w:r>
      <w:r w:rsidR="006A6C3F" w:rsidRPr="006A6C3F">
        <w:rPr>
          <w:rFonts w:ascii="宋体" w:eastAsia="宋体" w:hAnsi="宋体"/>
          <w:sz w:val="24"/>
          <w:szCs w:val="24"/>
        </w:rPr>
        <w:t>”</w:t>
      </w:r>
    </w:p>
    <w:p w:rsidR="006A6C3F" w:rsidRPr="006A6C3F" w:rsidRDefault="00B22ACC" w:rsidP="006A6C3F">
      <w:pPr>
        <w:spacing w:line="360" w:lineRule="auto"/>
        <w:ind w:firstLineChars="200" w:firstLine="480"/>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三</w:t>
      </w:r>
      <w:r w:rsidR="006A6C3F" w:rsidRPr="006A6C3F">
        <w:rPr>
          <w:rFonts w:ascii="宋体" w:eastAsia="宋体" w:hAnsi="宋体"/>
          <w:sz w:val="24"/>
          <w:szCs w:val="24"/>
        </w:rPr>
        <w:t>）在“基金资产估值”部分的“估值方法”中增加存托凭证估值方法描述如下：</w:t>
      </w:r>
    </w:p>
    <w:p w:rsidR="006A6C3F" w:rsidRDefault="006A6C3F"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w:t>
      </w:r>
      <w:r w:rsidR="00B22ACC" w:rsidRPr="00B22ACC">
        <w:rPr>
          <w:rFonts w:ascii="宋体" w:eastAsia="宋体" w:hAnsi="宋体" w:hint="eastAsia"/>
          <w:b/>
          <w:sz w:val="24"/>
          <w:szCs w:val="24"/>
        </w:rPr>
        <w:t>本基金投资存托凭证的估值核算，依照境内上市交易的股票进行</w:t>
      </w:r>
      <w:r w:rsidRPr="006A6C3F">
        <w:rPr>
          <w:rFonts w:ascii="宋体" w:eastAsia="宋体" w:hAnsi="宋体"/>
          <w:sz w:val="24"/>
          <w:szCs w:val="24"/>
        </w:rPr>
        <w:t>。”</w:t>
      </w:r>
    </w:p>
    <w:p w:rsidR="00C0352A" w:rsidRDefault="00C0352A" w:rsidP="00A51A4A">
      <w:pPr>
        <w:spacing w:line="360" w:lineRule="auto"/>
        <w:ind w:firstLineChars="200" w:firstLine="480"/>
        <w:rPr>
          <w:rFonts w:ascii="宋体" w:eastAsia="宋体" w:hAnsi="宋体"/>
          <w:sz w:val="24"/>
          <w:szCs w:val="24"/>
        </w:rPr>
      </w:pPr>
    </w:p>
    <w:p w:rsidR="00A51A4A" w:rsidRPr="00BB1B67" w:rsidRDefault="00A51A4A" w:rsidP="00A51A4A">
      <w:pPr>
        <w:spacing w:line="360" w:lineRule="auto"/>
        <w:ind w:firstLineChars="200" w:firstLine="480"/>
        <w:rPr>
          <w:rFonts w:ascii="宋体" w:eastAsia="宋体" w:hAnsi="宋体"/>
          <w:sz w:val="24"/>
          <w:szCs w:val="24"/>
        </w:rPr>
      </w:pPr>
      <w:r>
        <w:rPr>
          <w:rFonts w:ascii="宋体" w:eastAsia="宋体" w:hAnsi="宋体" w:hint="eastAsia"/>
          <w:sz w:val="24"/>
          <w:szCs w:val="24"/>
        </w:rPr>
        <w:t>三、托管协议的修订</w:t>
      </w:r>
      <w:r w:rsidRPr="00BB1B67">
        <w:rPr>
          <w:rFonts w:ascii="宋体" w:eastAsia="宋体" w:hAnsi="宋体" w:hint="eastAsia"/>
          <w:sz w:val="24"/>
          <w:szCs w:val="24"/>
        </w:rPr>
        <w:t>事项</w:t>
      </w:r>
      <w:r w:rsidRPr="00BB1B67">
        <w:rPr>
          <w:rFonts w:ascii="宋体" w:eastAsia="宋体" w:hAnsi="宋体"/>
          <w:sz w:val="24"/>
          <w:szCs w:val="24"/>
        </w:rPr>
        <w:t xml:space="preserve"> </w:t>
      </w:r>
    </w:p>
    <w:p w:rsidR="00B22ACC" w:rsidRDefault="00BC5F77" w:rsidP="00BC5F77">
      <w:pPr>
        <w:spacing w:line="360" w:lineRule="auto"/>
        <w:ind w:firstLineChars="200" w:firstLine="480"/>
        <w:rPr>
          <w:rFonts w:ascii="宋体" w:eastAsia="宋体" w:hAnsi="宋体"/>
          <w:sz w:val="24"/>
          <w:szCs w:val="24"/>
        </w:rPr>
      </w:pPr>
      <w:r w:rsidRPr="00BC5F77">
        <w:rPr>
          <w:rFonts w:ascii="宋体" w:eastAsia="宋体" w:hAnsi="宋体" w:hint="eastAsia"/>
          <w:sz w:val="24"/>
          <w:szCs w:val="24"/>
        </w:rPr>
        <w:t>托管协议中涉及上述相关内容的条款也</w:t>
      </w:r>
      <w:r>
        <w:rPr>
          <w:rFonts w:ascii="宋体" w:eastAsia="宋体" w:hAnsi="宋体" w:hint="eastAsia"/>
          <w:sz w:val="24"/>
          <w:szCs w:val="24"/>
        </w:rPr>
        <w:t>均</w:t>
      </w:r>
      <w:r w:rsidRPr="00BC5F77">
        <w:rPr>
          <w:rFonts w:ascii="宋体" w:eastAsia="宋体" w:hAnsi="宋体" w:hint="eastAsia"/>
          <w:sz w:val="24"/>
          <w:szCs w:val="24"/>
        </w:rPr>
        <w:t>已进行</w:t>
      </w:r>
      <w:r>
        <w:rPr>
          <w:rFonts w:ascii="宋体" w:eastAsia="宋体" w:hAnsi="宋体" w:hint="eastAsia"/>
          <w:sz w:val="24"/>
          <w:szCs w:val="24"/>
        </w:rPr>
        <w:t>了</w:t>
      </w:r>
      <w:r w:rsidRPr="00BC5F77">
        <w:rPr>
          <w:rFonts w:ascii="宋体" w:eastAsia="宋体" w:hAnsi="宋体" w:hint="eastAsia"/>
          <w:sz w:val="24"/>
          <w:szCs w:val="24"/>
        </w:rPr>
        <w:t>相应修订。</w:t>
      </w:r>
    </w:p>
    <w:p w:rsidR="00BC5F77" w:rsidRPr="00BC5F77" w:rsidRDefault="00BC5F77" w:rsidP="00BC5F77">
      <w:pPr>
        <w:spacing w:line="360" w:lineRule="auto"/>
        <w:ind w:firstLineChars="200" w:firstLine="480"/>
        <w:rPr>
          <w:rFonts w:ascii="宋体" w:eastAsia="宋体" w:hAnsi="宋体"/>
          <w:sz w:val="24"/>
          <w:szCs w:val="24"/>
        </w:rPr>
      </w:pPr>
    </w:p>
    <w:p w:rsidR="006A6C3F" w:rsidRDefault="006A6C3F"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本次修订</w:t>
      </w:r>
      <w:r w:rsidR="00BC5F77">
        <w:rPr>
          <w:rFonts w:ascii="Times New Roman" w:eastAsia="宋体" w:hAnsi="Times New Roman" w:cs="Times New Roman" w:hint="eastAsia"/>
          <w:sz w:val="24"/>
          <w:szCs w:val="24"/>
        </w:rPr>
        <w:t>系根据</w:t>
      </w:r>
      <w:r w:rsidR="009929D1" w:rsidRPr="009929D1">
        <w:rPr>
          <w:rFonts w:ascii="Times New Roman" w:eastAsia="宋体" w:hAnsi="Times New Roman" w:cs="Times New Roman" w:hint="eastAsia"/>
          <w:sz w:val="24"/>
          <w:szCs w:val="24"/>
        </w:rPr>
        <w:t>《存托凭证发行与交易管理办法（试行）》</w:t>
      </w:r>
      <w:r w:rsidR="00BC5F77">
        <w:rPr>
          <w:rFonts w:ascii="Times New Roman" w:eastAsia="宋体" w:hAnsi="Times New Roman" w:cs="Times New Roman" w:hint="eastAsia"/>
          <w:sz w:val="24"/>
          <w:szCs w:val="24"/>
        </w:rPr>
        <w:t>而作出</w:t>
      </w:r>
      <w:r w:rsidRPr="006A6C3F">
        <w:rPr>
          <w:rFonts w:ascii="宋体" w:eastAsia="宋体" w:hAnsi="宋体"/>
          <w:sz w:val="24"/>
          <w:szCs w:val="24"/>
        </w:rPr>
        <w:t>，并已履行了规定的程序，符合相关法律法规的规定</w:t>
      </w:r>
      <w:r w:rsidR="00BC5F77">
        <w:rPr>
          <w:rFonts w:ascii="宋体" w:eastAsia="宋体" w:hAnsi="宋体" w:hint="eastAsia"/>
          <w:sz w:val="24"/>
          <w:szCs w:val="24"/>
        </w:rPr>
        <w:t>及基金合同的约定</w:t>
      </w:r>
      <w:r w:rsidRPr="006A6C3F">
        <w:rPr>
          <w:rFonts w:ascii="宋体" w:eastAsia="宋体" w:hAnsi="宋体"/>
          <w:sz w:val="24"/>
          <w:szCs w:val="24"/>
        </w:rPr>
        <w:t>，修订自2020 年10月14日起生效。</w:t>
      </w:r>
      <w:r w:rsidR="009A21AF" w:rsidRPr="006A6C3F">
        <w:rPr>
          <w:rFonts w:ascii="宋体" w:eastAsia="宋体" w:hAnsi="宋体"/>
          <w:sz w:val="24"/>
          <w:szCs w:val="24"/>
        </w:rPr>
        <w:t>招募说明书、</w:t>
      </w:r>
      <w:r w:rsidR="00CF2F54">
        <w:rPr>
          <w:rFonts w:ascii="宋体" w:eastAsia="宋体" w:hAnsi="宋体" w:hint="eastAsia"/>
          <w:sz w:val="24"/>
          <w:szCs w:val="24"/>
        </w:rPr>
        <w:t>基金</w:t>
      </w:r>
      <w:r w:rsidR="009A21AF" w:rsidRPr="006A6C3F">
        <w:rPr>
          <w:rFonts w:ascii="宋体" w:eastAsia="宋体" w:hAnsi="宋体"/>
          <w:sz w:val="24"/>
          <w:szCs w:val="24"/>
        </w:rPr>
        <w:t>产品资料概要</w:t>
      </w:r>
      <w:r w:rsidR="009A21AF">
        <w:rPr>
          <w:rFonts w:ascii="宋体" w:eastAsia="宋体" w:hAnsi="宋体" w:hint="eastAsia"/>
          <w:sz w:val="24"/>
          <w:szCs w:val="24"/>
        </w:rPr>
        <w:t>等</w:t>
      </w:r>
      <w:r w:rsidR="00CF2F54">
        <w:rPr>
          <w:rFonts w:ascii="宋体" w:eastAsia="宋体" w:hAnsi="宋体" w:hint="eastAsia"/>
          <w:sz w:val="24"/>
          <w:szCs w:val="24"/>
        </w:rPr>
        <w:t>信息披露</w:t>
      </w:r>
      <w:r w:rsidR="009A21AF">
        <w:rPr>
          <w:rFonts w:ascii="宋体" w:eastAsia="宋体" w:hAnsi="宋体" w:hint="eastAsia"/>
          <w:sz w:val="24"/>
          <w:szCs w:val="24"/>
        </w:rPr>
        <w:t>文件将根据如上修订一并修改，届时</w:t>
      </w:r>
      <w:r w:rsidRPr="006A6C3F">
        <w:rPr>
          <w:rFonts w:ascii="宋体" w:eastAsia="宋体" w:hAnsi="宋体"/>
          <w:sz w:val="24"/>
          <w:szCs w:val="24"/>
        </w:rPr>
        <w:t>投资者可登录本基金管理人网站（</w:t>
      </w:r>
      <w:r w:rsidR="00B22ACC" w:rsidRPr="00B22ACC">
        <w:rPr>
          <w:rFonts w:ascii="宋体" w:eastAsia="宋体" w:hAnsi="宋体"/>
          <w:sz w:val="24"/>
          <w:szCs w:val="24"/>
        </w:rPr>
        <w:t>www.icbccs.com</w:t>
      </w:r>
      <w:r w:rsidR="00B22ACC">
        <w:rPr>
          <w:rFonts w:ascii="宋体" w:eastAsia="宋体" w:hAnsi="宋体"/>
          <w:sz w:val="24"/>
          <w:szCs w:val="24"/>
        </w:rPr>
        <w:t>.cn</w:t>
      </w:r>
      <w:r w:rsidRPr="006A6C3F">
        <w:rPr>
          <w:rFonts w:ascii="宋体" w:eastAsia="宋体" w:hAnsi="宋体"/>
          <w:sz w:val="24"/>
          <w:szCs w:val="24"/>
        </w:rPr>
        <w:t>）查阅修订后的基金合同、</w:t>
      </w:r>
      <w:r w:rsidR="009A21AF">
        <w:rPr>
          <w:rFonts w:ascii="宋体" w:eastAsia="宋体" w:hAnsi="宋体" w:hint="eastAsia"/>
          <w:sz w:val="24"/>
          <w:szCs w:val="24"/>
        </w:rPr>
        <w:t>托管协议、</w:t>
      </w:r>
      <w:r w:rsidRPr="006A6C3F">
        <w:rPr>
          <w:rFonts w:ascii="宋体" w:eastAsia="宋体" w:hAnsi="宋体"/>
          <w:sz w:val="24"/>
          <w:szCs w:val="24"/>
        </w:rPr>
        <w:t>招募说明书、</w:t>
      </w:r>
      <w:r w:rsidR="00CF2F54">
        <w:rPr>
          <w:rFonts w:ascii="宋体" w:eastAsia="宋体" w:hAnsi="宋体" w:hint="eastAsia"/>
          <w:sz w:val="24"/>
          <w:szCs w:val="24"/>
        </w:rPr>
        <w:t>基金</w:t>
      </w:r>
      <w:r w:rsidRPr="006A6C3F">
        <w:rPr>
          <w:rFonts w:ascii="宋体" w:eastAsia="宋体" w:hAnsi="宋体"/>
          <w:sz w:val="24"/>
          <w:szCs w:val="24"/>
        </w:rPr>
        <w:t>产品资料概要等</w:t>
      </w:r>
      <w:r w:rsidR="00CF2F54">
        <w:rPr>
          <w:rFonts w:ascii="宋体" w:eastAsia="宋体" w:hAnsi="宋体" w:hint="eastAsia"/>
          <w:sz w:val="24"/>
          <w:szCs w:val="24"/>
        </w:rPr>
        <w:t>信息披露</w:t>
      </w:r>
      <w:r w:rsidRPr="006A6C3F">
        <w:rPr>
          <w:rFonts w:ascii="宋体" w:eastAsia="宋体" w:hAnsi="宋体"/>
          <w:sz w:val="24"/>
          <w:szCs w:val="24"/>
        </w:rPr>
        <w:t>文件，也可拨打本基金管理人客户服务电话（</w:t>
      </w:r>
      <w:r w:rsidR="009A21AF" w:rsidRPr="009A21AF">
        <w:rPr>
          <w:rFonts w:ascii="宋体" w:eastAsia="宋体" w:hAnsi="宋体" w:hint="eastAsia"/>
          <w:sz w:val="24"/>
          <w:szCs w:val="24"/>
        </w:rPr>
        <w:t>400-811-9999</w:t>
      </w:r>
      <w:r w:rsidRPr="006A6C3F">
        <w:rPr>
          <w:rFonts w:ascii="宋体" w:eastAsia="宋体" w:hAnsi="宋体"/>
          <w:sz w:val="24"/>
          <w:szCs w:val="24"/>
        </w:rPr>
        <w:t>）了解相关信息。</w:t>
      </w:r>
    </w:p>
    <w:p w:rsidR="006A6C3F" w:rsidRDefault="006A6C3F" w:rsidP="006A6C3F">
      <w:pPr>
        <w:pStyle w:val="Default"/>
      </w:pPr>
    </w:p>
    <w:p w:rsidR="006A6C3F" w:rsidRPr="007C763C" w:rsidRDefault="006A6C3F" w:rsidP="006A6C3F">
      <w:pPr>
        <w:spacing w:line="360" w:lineRule="auto"/>
        <w:ind w:firstLineChars="200" w:firstLine="480"/>
        <w:rPr>
          <w:rFonts w:ascii="宋体" w:eastAsia="宋体" w:hAnsi="宋体"/>
          <w:sz w:val="24"/>
          <w:szCs w:val="24"/>
        </w:rPr>
      </w:pPr>
      <w:r w:rsidRPr="007C763C">
        <w:rPr>
          <w:rFonts w:ascii="宋体" w:eastAsia="宋体" w:hAnsi="宋体" w:hint="eastAsia"/>
          <w:sz w:val="24"/>
          <w:szCs w:val="24"/>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r w:rsidRPr="007C763C">
        <w:rPr>
          <w:rFonts w:ascii="宋体" w:eastAsia="宋体" w:hAnsi="宋体"/>
          <w:sz w:val="24"/>
          <w:szCs w:val="24"/>
        </w:rPr>
        <w:t xml:space="preserve"> </w:t>
      </w:r>
    </w:p>
    <w:p w:rsidR="006A6C3F" w:rsidRPr="008D35F0" w:rsidRDefault="006A6C3F" w:rsidP="006A6C3F">
      <w:pPr>
        <w:spacing w:line="360" w:lineRule="auto"/>
        <w:ind w:firstLineChars="200" w:firstLine="480"/>
        <w:rPr>
          <w:rFonts w:ascii="宋体" w:eastAsia="宋体" w:hAnsi="宋体"/>
          <w:sz w:val="24"/>
          <w:szCs w:val="24"/>
        </w:rPr>
      </w:pPr>
    </w:p>
    <w:p w:rsidR="006A6C3F" w:rsidRDefault="006A6C3F" w:rsidP="006A6C3F">
      <w:pPr>
        <w:spacing w:line="360" w:lineRule="auto"/>
        <w:ind w:firstLineChars="200" w:firstLine="480"/>
        <w:rPr>
          <w:rFonts w:ascii="宋体" w:eastAsia="宋体" w:hAnsi="宋体"/>
          <w:sz w:val="24"/>
          <w:szCs w:val="24"/>
        </w:rPr>
      </w:pPr>
      <w:r w:rsidRPr="008D35F0">
        <w:rPr>
          <w:rFonts w:ascii="宋体" w:eastAsia="宋体" w:hAnsi="宋体" w:hint="eastAsia"/>
          <w:sz w:val="24"/>
          <w:szCs w:val="24"/>
        </w:rPr>
        <w:t>特此公告。</w:t>
      </w:r>
    </w:p>
    <w:p w:rsidR="006A6C3F" w:rsidRPr="00CA05C6" w:rsidRDefault="006A6C3F" w:rsidP="006A6C3F">
      <w:pPr>
        <w:spacing w:line="360" w:lineRule="auto"/>
        <w:ind w:leftChars="2100" w:left="4650" w:hangingChars="100" w:hanging="240"/>
        <w:rPr>
          <w:rFonts w:ascii="Times New Roman" w:eastAsia="宋体" w:hAnsi="Times New Roman"/>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Times New Roman" w:eastAsia="宋体" w:hAnsi="Times New Roman" w:hint="eastAsia"/>
          <w:sz w:val="24"/>
          <w:szCs w:val="24"/>
        </w:rPr>
        <w:t>工银瑞信基金管理有限公司</w:t>
      </w:r>
      <w:r w:rsidRPr="00CA05C6">
        <w:rPr>
          <w:rFonts w:ascii="Times New Roman" w:eastAsia="宋体" w:hAnsi="Times New Roman"/>
          <w:sz w:val="24"/>
          <w:szCs w:val="24"/>
        </w:rPr>
        <w:t xml:space="preserve"> </w:t>
      </w:r>
    </w:p>
    <w:p w:rsidR="006A6C3F" w:rsidRPr="00CA05C6" w:rsidRDefault="006A6C3F" w:rsidP="006A6C3F">
      <w:pPr>
        <w:spacing w:line="360" w:lineRule="auto"/>
        <w:ind w:firstLineChars="2200" w:firstLine="5280"/>
        <w:rPr>
          <w:rFonts w:ascii="Times New Roman" w:eastAsia="宋体" w:hAnsi="Times New Roman"/>
          <w:sz w:val="24"/>
          <w:szCs w:val="24"/>
        </w:rPr>
      </w:pPr>
      <w:r>
        <w:rPr>
          <w:rFonts w:ascii="Times New Roman" w:eastAsia="宋体" w:hAnsi="Times New Roman"/>
          <w:sz w:val="24"/>
          <w:szCs w:val="24"/>
        </w:rPr>
        <w:t>2020</w:t>
      </w:r>
      <w:r w:rsidRPr="00CA05C6">
        <w:rPr>
          <w:rFonts w:ascii="Times New Roman" w:eastAsia="宋体" w:hAnsi="Times New Roman" w:hint="eastAsia"/>
          <w:sz w:val="24"/>
          <w:szCs w:val="24"/>
        </w:rPr>
        <w:t>年</w:t>
      </w:r>
      <w:r>
        <w:rPr>
          <w:rFonts w:ascii="Times New Roman" w:eastAsia="宋体" w:hAnsi="Times New Roman"/>
          <w:sz w:val="24"/>
          <w:szCs w:val="24"/>
        </w:rPr>
        <w:t>10</w:t>
      </w:r>
      <w:r w:rsidRPr="00CA05C6">
        <w:rPr>
          <w:rFonts w:ascii="Times New Roman" w:eastAsia="宋体" w:hAnsi="Times New Roman" w:hint="eastAsia"/>
          <w:sz w:val="24"/>
          <w:szCs w:val="24"/>
        </w:rPr>
        <w:t>月</w:t>
      </w:r>
      <w:r>
        <w:rPr>
          <w:rFonts w:ascii="Times New Roman" w:eastAsia="宋体" w:hAnsi="Times New Roman"/>
          <w:sz w:val="24"/>
          <w:szCs w:val="24"/>
        </w:rPr>
        <w:t>14</w:t>
      </w:r>
      <w:r w:rsidRPr="00CA05C6">
        <w:rPr>
          <w:rFonts w:ascii="Times New Roman" w:eastAsia="宋体" w:hAnsi="Times New Roman" w:hint="eastAsia"/>
          <w:sz w:val="24"/>
          <w:szCs w:val="24"/>
        </w:rPr>
        <w:t>日</w:t>
      </w:r>
    </w:p>
    <w:p w:rsidR="006A6C3F" w:rsidRPr="008D35F0" w:rsidRDefault="006A6C3F" w:rsidP="006A6C3F">
      <w:pPr>
        <w:spacing w:line="360" w:lineRule="auto"/>
        <w:ind w:firstLineChars="200" w:firstLine="480"/>
        <w:rPr>
          <w:rFonts w:ascii="宋体" w:eastAsia="宋体" w:hAnsi="宋体"/>
          <w:sz w:val="24"/>
          <w:szCs w:val="24"/>
        </w:rPr>
      </w:pPr>
    </w:p>
    <w:p w:rsidR="00AD3FFA" w:rsidRDefault="0035210E"/>
    <w:sectPr w:rsidR="00AD3FFA" w:rsidSect="004F28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8D4" w:rsidRDefault="00CF38D4" w:rsidP="006A6C3F">
      <w:r>
        <w:separator/>
      </w:r>
    </w:p>
  </w:endnote>
  <w:endnote w:type="continuationSeparator" w:id="0">
    <w:p w:rsidR="00CF38D4" w:rsidRDefault="00CF38D4" w:rsidP="006A6C3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8D4" w:rsidRDefault="00CF38D4" w:rsidP="006A6C3F">
      <w:r>
        <w:separator/>
      </w:r>
    </w:p>
  </w:footnote>
  <w:footnote w:type="continuationSeparator" w:id="0">
    <w:p w:rsidR="00CF38D4" w:rsidRDefault="00CF38D4" w:rsidP="006A6C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C7B"/>
    <w:rsid w:val="000441D4"/>
    <w:rsid w:val="00076CAD"/>
    <w:rsid w:val="00137DFD"/>
    <w:rsid w:val="00174619"/>
    <w:rsid w:val="00175BA4"/>
    <w:rsid w:val="00187C7B"/>
    <w:rsid w:val="001B7B8A"/>
    <w:rsid w:val="0035210E"/>
    <w:rsid w:val="0036687B"/>
    <w:rsid w:val="00486D93"/>
    <w:rsid w:val="004F2828"/>
    <w:rsid w:val="005226E2"/>
    <w:rsid w:val="005C5ADB"/>
    <w:rsid w:val="00640CA8"/>
    <w:rsid w:val="006A6C3F"/>
    <w:rsid w:val="006B2339"/>
    <w:rsid w:val="007A4A91"/>
    <w:rsid w:val="009416BF"/>
    <w:rsid w:val="009929D1"/>
    <w:rsid w:val="009A21AF"/>
    <w:rsid w:val="00A27318"/>
    <w:rsid w:val="00A51A4A"/>
    <w:rsid w:val="00B22ACC"/>
    <w:rsid w:val="00B638E1"/>
    <w:rsid w:val="00BA1F29"/>
    <w:rsid w:val="00BC5F77"/>
    <w:rsid w:val="00C0352A"/>
    <w:rsid w:val="00C0498C"/>
    <w:rsid w:val="00CF2F54"/>
    <w:rsid w:val="00CF38D4"/>
    <w:rsid w:val="00D065A2"/>
    <w:rsid w:val="00DC6739"/>
    <w:rsid w:val="00E32194"/>
    <w:rsid w:val="00E60B35"/>
    <w:rsid w:val="00EA6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C3F"/>
    <w:pPr>
      <w:widowControl w:val="0"/>
      <w:jc w:val="both"/>
    </w:pPr>
  </w:style>
  <w:style w:type="paragraph" w:styleId="1">
    <w:name w:val="heading 1"/>
    <w:basedOn w:val="a"/>
    <w:link w:val="1Char"/>
    <w:uiPriority w:val="1"/>
    <w:qFormat/>
    <w:rsid w:val="006A6C3F"/>
    <w:pPr>
      <w:autoSpaceDE w:val="0"/>
      <w:autoSpaceDN w:val="0"/>
      <w:ind w:left="1360" w:firstLine="479"/>
      <w:jc w:val="left"/>
      <w:outlineLvl w:val="0"/>
    </w:pPr>
    <w:rPr>
      <w:rFonts w:ascii="宋体" w:eastAsia="宋体" w:hAnsi="宋体" w:cs="宋体"/>
      <w:b/>
      <w:bCs/>
      <w:kern w:val="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6C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6C3F"/>
    <w:rPr>
      <w:sz w:val="18"/>
      <w:szCs w:val="18"/>
    </w:rPr>
  </w:style>
  <w:style w:type="paragraph" w:styleId="a4">
    <w:name w:val="footer"/>
    <w:basedOn w:val="a"/>
    <w:link w:val="Char0"/>
    <w:uiPriority w:val="99"/>
    <w:unhideWhenUsed/>
    <w:rsid w:val="006A6C3F"/>
    <w:pPr>
      <w:tabs>
        <w:tab w:val="center" w:pos="4153"/>
        <w:tab w:val="right" w:pos="8306"/>
      </w:tabs>
      <w:snapToGrid w:val="0"/>
      <w:jc w:val="left"/>
    </w:pPr>
    <w:rPr>
      <w:sz w:val="18"/>
      <w:szCs w:val="18"/>
    </w:rPr>
  </w:style>
  <w:style w:type="character" w:customStyle="1" w:styleId="Char0">
    <w:name w:val="页脚 Char"/>
    <w:basedOn w:val="a0"/>
    <w:link w:val="a4"/>
    <w:uiPriority w:val="99"/>
    <w:rsid w:val="006A6C3F"/>
    <w:rPr>
      <w:sz w:val="18"/>
      <w:szCs w:val="18"/>
    </w:rPr>
  </w:style>
  <w:style w:type="paragraph" w:customStyle="1" w:styleId="Default">
    <w:name w:val="Default"/>
    <w:rsid w:val="006A6C3F"/>
    <w:pPr>
      <w:widowControl w:val="0"/>
      <w:autoSpaceDE w:val="0"/>
      <w:autoSpaceDN w:val="0"/>
      <w:adjustRightInd w:val="0"/>
    </w:pPr>
    <w:rPr>
      <w:rFonts w:ascii="宋体" w:eastAsia="宋体" w:cs="宋体"/>
      <w:color w:val="000000"/>
      <w:kern w:val="0"/>
      <w:sz w:val="24"/>
      <w:szCs w:val="24"/>
    </w:rPr>
  </w:style>
  <w:style w:type="table" w:styleId="a5">
    <w:name w:val="Table Grid"/>
    <w:basedOn w:val="a1"/>
    <w:uiPriority w:val="39"/>
    <w:rsid w:val="006A6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1"/>
    <w:uiPriority w:val="1"/>
    <w:qFormat/>
    <w:rsid w:val="006A6C3F"/>
    <w:pPr>
      <w:autoSpaceDE w:val="0"/>
      <w:autoSpaceDN w:val="0"/>
      <w:ind w:left="1360"/>
      <w:jc w:val="left"/>
    </w:pPr>
    <w:rPr>
      <w:rFonts w:ascii="宋体" w:eastAsia="宋体" w:hAnsi="宋体" w:cs="宋体"/>
      <w:kern w:val="0"/>
      <w:sz w:val="24"/>
      <w:szCs w:val="24"/>
      <w:lang w:val="zh-CN" w:bidi="zh-CN"/>
    </w:rPr>
  </w:style>
  <w:style w:type="character" w:customStyle="1" w:styleId="Char1">
    <w:name w:val="正文文本 Char"/>
    <w:basedOn w:val="a0"/>
    <w:link w:val="a6"/>
    <w:uiPriority w:val="1"/>
    <w:rsid w:val="006A6C3F"/>
    <w:rPr>
      <w:rFonts w:ascii="宋体" w:eastAsia="宋体" w:hAnsi="宋体" w:cs="宋体"/>
      <w:kern w:val="0"/>
      <w:sz w:val="24"/>
      <w:szCs w:val="24"/>
      <w:lang w:val="zh-CN" w:bidi="zh-CN"/>
    </w:rPr>
  </w:style>
  <w:style w:type="character" w:styleId="a7">
    <w:name w:val="annotation reference"/>
    <w:basedOn w:val="a0"/>
    <w:uiPriority w:val="99"/>
    <w:semiHidden/>
    <w:unhideWhenUsed/>
    <w:rsid w:val="006A6C3F"/>
    <w:rPr>
      <w:sz w:val="21"/>
      <w:szCs w:val="21"/>
    </w:rPr>
  </w:style>
  <w:style w:type="paragraph" w:styleId="a8">
    <w:name w:val="annotation text"/>
    <w:basedOn w:val="a"/>
    <w:link w:val="Char2"/>
    <w:uiPriority w:val="99"/>
    <w:semiHidden/>
    <w:unhideWhenUsed/>
    <w:rsid w:val="006A6C3F"/>
    <w:pPr>
      <w:autoSpaceDE w:val="0"/>
      <w:autoSpaceDN w:val="0"/>
      <w:jc w:val="left"/>
    </w:pPr>
    <w:rPr>
      <w:rFonts w:ascii="宋体" w:eastAsia="宋体" w:hAnsi="宋体" w:cs="宋体"/>
      <w:kern w:val="0"/>
      <w:sz w:val="22"/>
      <w:lang w:val="zh-CN" w:bidi="zh-CN"/>
    </w:rPr>
  </w:style>
  <w:style w:type="character" w:customStyle="1" w:styleId="Char2">
    <w:name w:val="批注文字 Char"/>
    <w:basedOn w:val="a0"/>
    <w:link w:val="a8"/>
    <w:uiPriority w:val="99"/>
    <w:semiHidden/>
    <w:rsid w:val="006A6C3F"/>
    <w:rPr>
      <w:rFonts w:ascii="宋体" w:eastAsia="宋体" w:hAnsi="宋体" w:cs="宋体"/>
      <w:kern w:val="0"/>
      <w:sz w:val="22"/>
      <w:lang w:val="zh-CN" w:bidi="zh-CN"/>
    </w:rPr>
  </w:style>
  <w:style w:type="paragraph" w:styleId="a9">
    <w:name w:val="Balloon Text"/>
    <w:basedOn w:val="a"/>
    <w:link w:val="Char3"/>
    <w:uiPriority w:val="99"/>
    <w:semiHidden/>
    <w:unhideWhenUsed/>
    <w:rsid w:val="006A6C3F"/>
    <w:rPr>
      <w:sz w:val="18"/>
      <w:szCs w:val="18"/>
    </w:rPr>
  </w:style>
  <w:style w:type="character" w:customStyle="1" w:styleId="Char3">
    <w:name w:val="批注框文本 Char"/>
    <w:basedOn w:val="a0"/>
    <w:link w:val="a9"/>
    <w:uiPriority w:val="99"/>
    <w:semiHidden/>
    <w:rsid w:val="006A6C3F"/>
    <w:rPr>
      <w:sz w:val="18"/>
      <w:szCs w:val="18"/>
    </w:rPr>
  </w:style>
  <w:style w:type="character" w:customStyle="1" w:styleId="1Char">
    <w:name w:val="标题 1 Char"/>
    <w:basedOn w:val="a0"/>
    <w:link w:val="1"/>
    <w:uiPriority w:val="1"/>
    <w:rsid w:val="006A6C3F"/>
    <w:rPr>
      <w:rFonts w:ascii="宋体" w:eastAsia="宋体" w:hAnsi="宋体" w:cs="宋体"/>
      <w:b/>
      <w:bCs/>
      <w:kern w:val="0"/>
      <w:sz w:val="24"/>
      <w:szCs w:val="24"/>
      <w:lang w:val="zh-CN" w:bidi="zh-CN"/>
    </w:rPr>
  </w:style>
  <w:style w:type="character" w:styleId="aa">
    <w:name w:val="Hyperlink"/>
    <w:basedOn w:val="a0"/>
    <w:uiPriority w:val="99"/>
    <w:unhideWhenUsed/>
    <w:rsid w:val="00B22ACC"/>
    <w:rPr>
      <w:color w:val="0563C1" w:themeColor="hyperlink"/>
      <w:u w:val="single"/>
    </w:rPr>
  </w:style>
  <w:style w:type="paragraph" w:styleId="ab">
    <w:name w:val="annotation subject"/>
    <w:basedOn w:val="a8"/>
    <w:next w:val="a8"/>
    <w:link w:val="Char4"/>
    <w:uiPriority w:val="99"/>
    <w:semiHidden/>
    <w:unhideWhenUsed/>
    <w:rsid w:val="00486D93"/>
    <w:pPr>
      <w:autoSpaceDE/>
      <w:autoSpaceDN/>
    </w:pPr>
    <w:rPr>
      <w:rFonts w:asciiTheme="minorHAnsi" w:eastAsiaTheme="minorEastAsia" w:hAnsiTheme="minorHAnsi" w:cstheme="minorBidi"/>
      <w:b/>
      <w:bCs/>
      <w:kern w:val="2"/>
      <w:sz w:val="21"/>
      <w:lang w:val="en-US" w:bidi="ar-SA"/>
    </w:rPr>
  </w:style>
  <w:style w:type="character" w:customStyle="1" w:styleId="Char4">
    <w:name w:val="批注主题 Char"/>
    <w:basedOn w:val="Char2"/>
    <w:link w:val="ab"/>
    <w:uiPriority w:val="99"/>
    <w:semiHidden/>
    <w:rsid w:val="00486D93"/>
    <w:rPr>
      <w:rFonts w:ascii="宋体" w:eastAsia="宋体" w:hAnsi="宋体" w:cs="宋体"/>
      <w:b/>
      <w:bCs/>
      <w:kern w:val="0"/>
      <w:sz w:val="22"/>
      <w:lang w:val="zh-CN" w:bidi="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2550</Characters>
  <Application>Microsoft Office Word</Application>
  <DocSecurity>4</DocSecurity>
  <Lines>21</Lines>
  <Paragraphs>5</Paragraphs>
  <ScaleCrop>false</ScaleCrop>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许光辉</dc:creator>
  <cp:keywords/>
  <dc:description/>
  <cp:lastModifiedBy>ZHONGM</cp:lastModifiedBy>
  <cp:revision>2</cp:revision>
  <dcterms:created xsi:type="dcterms:W3CDTF">2020-10-13T16:04:00Z</dcterms:created>
  <dcterms:modified xsi:type="dcterms:W3CDTF">2020-10-13T16:04:00Z</dcterms:modified>
</cp:coreProperties>
</file>