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Default="00AE34FD" w:rsidP="00B544E5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Default="00AE34FD" w:rsidP="00B544E5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FC0AF2" w:rsidRDefault="00AE34FD" w:rsidP="00B544E5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>
        <w:rPr>
          <w:rFonts w:ascii="Times New Roman" w:eastAsia="楷体_GB2312" w:hAnsi="Times New Roman" w:cs="Times New Roman"/>
          <w:sz w:val="24"/>
          <w:szCs w:val="24"/>
        </w:rPr>
        <w:t>基金合同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（“本公司”）旗下部分基金</w:t>
      </w:r>
      <w:r>
        <w:rPr>
          <w:rFonts w:ascii="Times New Roman" w:eastAsia="楷体_GB2312" w:hAnsi="Times New Roman" w:cs="Times New Roman"/>
          <w:sz w:val="24"/>
          <w:szCs w:val="24"/>
        </w:rPr>
        <w:t>参与了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广东</w:t>
      </w:r>
      <w:r w:rsidR="00B75DC5">
        <w:rPr>
          <w:rFonts w:ascii="Times New Roman" w:eastAsia="楷体_GB2312" w:hAnsi="Times New Roman" w:cs="Times New Roman"/>
          <w:sz w:val="24"/>
          <w:szCs w:val="24"/>
        </w:rPr>
        <w:t>东鹏控股股份有限公司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（“东鹏控股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”）</w:t>
      </w:r>
      <w:r>
        <w:rPr>
          <w:rFonts w:ascii="Times New Roman" w:eastAsia="楷体_GB2312" w:hAnsi="Times New Roman" w:cs="Times New Roman"/>
          <w:sz w:val="24"/>
          <w:szCs w:val="24"/>
        </w:rPr>
        <w:t>首次公开发行股票</w:t>
      </w:r>
      <w:r w:rsidR="00A62ED5">
        <w:rPr>
          <w:rFonts w:ascii="Times New Roman" w:eastAsia="楷体_GB2312" w:hAnsi="Times New Roman" w:cs="Times New Roman"/>
          <w:sz w:val="24"/>
          <w:szCs w:val="24"/>
        </w:rPr>
        <w:t>并</w:t>
      </w:r>
      <w:r w:rsidR="00D51045">
        <w:rPr>
          <w:rFonts w:ascii="Times New Roman" w:eastAsia="楷体_GB2312" w:hAnsi="Times New Roman" w:cs="Times New Roman"/>
          <w:sz w:val="24"/>
          <w:szCs w:val="24"/>
        </w:rPr>
        <w:t>拟</w:t>
      </w:r>
      <w:bookmarkStart w:id="0" w:name="_GoBack"/>
      <w:bookmarkEnd w:id="0"/>
      <w:r w:rsidR="00A62ED5">
        <w:rPr>
          <w:rFonts w:ascii="Times New Roman" w:eastAsia="楷体_GB2312" w:hAnsi="Times New Roman" w:cs="Times New Roman"/>
          <w:sz w:val="24"/>
          <w:szCs w:val="24"/>
        </w:rPr>
        <w:t>在</w:t>
      </w:r>
      <w:r w:rsidR="00B75DC5">
        <w:rPr>
          <w:rFonts w:ascii="Times New Roman" w:eastAsia="楷体_GB2312" w:hAnsi="Times New Roman" w:cs="Times New Roman"/>
          <w:sz w:val="24"/>
          <w:szCs w:val="24"/>
        </w:rPr>
        <w:t>深交所中小板上市</w:t>
      </w:r>
      <w:r>
        <w:rPr>
          <w:rFonts w:ascii="Times New Roman" w:eastAsia="楷体_GB2312" w:hAnsi="Times New Roman" w:cs="Times New Roman"/>
          <w:sz w:val="24"/>
          <w:szCs w:val="24"/>
        </w:rPr>
        <w:t>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sz w:val="24"/>
          <w:szCs w:val="24"/>
        </w:rPr>
        <w:t>本次发行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sz w:val="24"/>
          <w:szCs w:val="24"/>
        </w:rPr>
        <w:t>）的网下申购，本公司股东中国国际金融股份有限公司为本次发行的主承销商。本次发行价格</w:t>
      </w:r>
      <w:r w:rsidRPr="00D97C1D">
        <w:rPr>
          <w:rFonts w:ascii="Times New Roman" w:eastAsia="楷体_GB2312" w:hAnsi="Times New Roman" w:cs="Times New Roman"/>
          <w:sz w:val="24"/>
          <w:szCs w:val="24"/>
        </w:rPr>
        <w:t>为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11.35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>
        <w:rPr>
          <w:rFonts w:ascii="Times New Roman" w:eastAsia="楷体_GB2312" w:hAnsi="Times New Roman" w:cs="Times New Roman"/>
          <w:sz w:val="24"/>
          <w:szCs w:val="24"/>
        </w:rPr>
        <w:t>，由发行人和主承销商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根据初步询价结果，综合考虑发行人基本面、可比公司估值水平、所处行业、市场情况、募集资金需求及承销风险等因素</w:t>
      </w:r>
      <w:r>
        <w:rPr>
          <w:rFonts w:ascii="Times New Roman" w:eastAsia="楷体_GB2312" w:hAnsi="Times New Roman" w:cs="Times New Roman"/>
          <w:sz w:val="24"/>
          <w:szCs w:val="24"/>
        </w:rPr>
        <w:t>后协商确定。</w:t>
      </w:r>
    </w:p>
    <w:p w:rsidR="00FC0AF2" w:rsidRDefault="00AE34FD" w:rsidP="00B544E5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根据法律法规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sz w:val="24"/>
          <w:szCs w:val="24"/>
        </w:rPr>
        <w:t>基金合同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及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东鹏控股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于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2020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10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日</w:t>
      </w:r>
      <w:r>
        <w:rPr>
          <w:rFonts w:ascii="Times New Roman" w:eastAsia="楷体_GB2312" w:hAnsi="Times New Roman" w:cs="Times New Roman"/>
          <w:sz w:val="24"/>
          <w:szCs w:val="24"/>
        </w:rPr>
        <w:t>发布的《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广东</w:t>
      </w:r>
      <w:r w:rsidR="00B75DC5">
        <w:rPr>
          <w:rFonts w:ascii="Times New Roman" w:eastAsia="楷体_GB2312" w:hAnsi="Times New Roman" w:cs="Times New Roman"/>
          <w:sz w:val="24"/>
          <w:szCs w:val="24"/>
        </w:rPr>
        <w:t>东鹏控股股份有限公司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首次公开发行股票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网下初步配售结果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公告</w:t>
      </w:r>
      <w:r>
        <w:rPr>
          <w:rFonts w:ascii="Times New Roman" w:eastAsia="楷体_GB2312" w:hAnsi="Times New Roman" w:cs="Times New Roman"/>
          <w:sz w:val="24"/>
          <w:szCs w:val="24"/>
        </w:rPr>
        <w:t>》，现将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本公司旗下基金</w:t>
      </w:r>
      <w:r>
        <w:rPr>
          <w:rFonts w:ascii="Times New Roman" w:eastAsia="楷体_GB2312" w:hAnsi="Times New Roman" w:cs="Times New Roman"/>
          <w:sz w:val="24"/>
          <w:szCs w:val="24"/>
        </w:rPr>
        <w:t>获配信息公告如下：</w:t>
      </w:r>
    </w:p>
    <w:tbl>
      <w:tblPr>
        <w:tblStyle w:val="a9"/>
        <w:tblW w:w="4812" w:type="pct"/>
        <w:jc w:val="center"/>
        <w:tblLook w:val="04A0"/>
      </w:tblPr>
      <w:tblGrid>
        <w:gridCol w:w="5334"/>
        <w:gridCol w:w="1426"/>
        <w:gridCol w:w="1442"/>
      </w:tblGrid>
      <w:tr w:rsidR="00FC0AF2" w:rsidTr="00D51045">
        <w:trPr>
          <w:jc w:val="center"/>
        </w:trPr>
        <w:tc>
          <w:tcPr>
            <w:tcW w:w="3252" w:type="pct"/>
            <w:shd w:val="clear" w:color="auto" w:fill="D9D9D9" w:themeFill="background1" w:themeFillShade="D9"/>
            <w:vAlign w:val="center"/>
          </w:tcPr>
          <w:p w:rsidR="00FC0AF2" w:rsidRDefault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基金名称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FC0AF2" w:rsidRDefault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获配数量（股）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FC0AF2" w:rsidRDefault="00AE34FD" w:rsidP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获配金额（元）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869" w:type="pct"/>
            <w:vAlign w:val="center"/>
          </w:tcPr>
          <w:p w:rsidR="00B75DC5" w:rsidRPr="00D97C1D" w:rsidRDefault="00B75DC5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  <w:vAlign w:val="center"/>
          </w:tcPr>
          <w:p w:rsidR="00B75DC5" w:rsidRPr="00D97C1D" w:rsidRDefault="00B75DC5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中金量化多策略灵活配置混合型证券投资基金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中金沪深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300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指数增强型发起式证券投资基金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500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指数增强型发起式证券投资基金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中金丰硕混合型证券投资基金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trHeight w:val="322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中金金序量化蓝筹混合型证券投资基金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 w:rsidP="00D5104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中金中证优选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300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指数证券投资基金</w:t>
            </w:r>
            <w:r w:rsidR="00D51045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（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LOF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中金新医药股票型证券投资基金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trHeight w:val="427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MSCI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中国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A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trHeight w:val="123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trHeight w:val="123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中金科创主题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3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trHeight w:val="123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中金瑞祥灵活配置混合型证券投资基金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B75DC5" w:rsidTr="00D51045">
        <w:trPr>
          <w:trHeight w:val="123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中金中证沪港深优选消费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50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指数证券投资基金</w:t>
            </w:r>
          </w:p>
        </w:tc>
        <w:tc>
          <w:tcPr>
            <w:tcW w:w="869" w:type="pct"/>
          </w:tcPr>
          <w:p w:rsidR="00B75DC5" w:rsidRDefault="00B75DC5" w:rsidP="00B75DC5">
            <w:pPr>
              <w:jc w:val="center"/>
            </w:pPr>
            <w:r w:rsidRPr="0023745F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2,278</w:t>
            </w:r>
          </w:p>
        </w:tc>
        <w:tc>
          <w:tcPr>
            <w:tcW w:w="879" w:type="pct"/>
          </w:tcPr>
          <w:p w:rsidR="00B75DC5" w:rsidRDefault="00B75DC5" w:rsidP="00B75DC5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5,855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D51045" w:rsidTr="00D51045">
        <w:trPr>
          <w:trHeight w:val="123"/>
          <w:jc w:val="center"/>
        </w:trPr>
        <w:tc>
          <w:tcPr>
            <w:tcW w:w="3252" w:type="pct"/>
            <w:vAlign w:val="center"/>
          </w:tcPr>
          <w:p w:rsidR="00D51045" w:rsidRPr="00D51045" w:rsidRDefault="00D51045" w:rsidP="009D521D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中金绝对收益策略定期开放混合型发起式证券投资基金</w:t>
            </w:r>
          </w:p>
        </w:tc>
        <w:tc>
          <w:tcPr>
            <w:tcW w:w="869" w:type="pct"/>
          </w:tcPr>
          <w:p w:rsidR="00D51045" w:rsidRDefault="00D51045" w:rsidP="009D521D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2,141</w:t>
            </w:r>
          </w:p>
        </w:tc>
        <w:tc>
          <w:tcPr>
            <w:tcW w:w="879" w:type="pct"/>
          </w:tcPr>
          <w:p w:rsidR="00D51045" w:rsidRDefault="00D51045" w:rsidP="009D521D">
            <w:pPr>
              <w:jc w:val="center"/>
            </w:pP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4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A81D7B">
              <w:rPr>
                <w:rFonts w:ascii="Times New Roman" w:eastAsia="楷体_GB2312" w:hAnsi="Times New Roman" w:cs="Times New Roman"/>
                <w:sz w:val="20"/>
                <w:szCs w:val="20"/>
              </w:rPr>
              <w:t>.</w:t>
            </w:r>
            <w:r w:rsidRPr="00A81D7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</w:t>
            </w:r>
          </w:p>
        </w:tc>
      </w:tr>
    </w:tbl>
    <w:p w:rsidR="00FC0AF2" w:rsidRPr="00D97C1D" w:rsidRDefault="00AE34FD" w:rsidP="00B544E5">
      <w:pPr>
        <w:autoSpaceDE w:val="0"/>
        <w:autoSpaceDN w:val="0"/>
        <w:adjustRightInd w:val="0"/>
        <w:spacing w:beforeLines="50" w:afterLines="50"/>
        <w:ind w:firstLine="420"/>
        <w:jc w:val="left"/>
        <w:rPr>
          <w:rFonts w:ascii="Times New Roman" w:eastAsia="楷体_GB2312" w:hAnsi="Times New Roman" w:cs="Times New Roman"/>
          <w:kern w:val="0"/>
          <w:sz w:val="22"/>
          <w:szCs w:val="24"/>
        </w:rPr>
      </w:pPr>
      <w:r w:rsidRPr="00D97C1D">
        <w:rPr>
          <w:rFonts w:ascii="Times New Roman" w:eastAsia="楷体_GB2312" w:hAnsi="Times New Roman" w:cs="Times New Roman"/>
          <w:kern w:val="0"/>
          <w:sz w:val="20"/>
          <w:szCs w:val="24"/>
        </w:rPr>
        <w:t>注：</w:t>
      </w:r>
      <w:r w:rsidRPr="00D97C1D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本次网下发行不向网下投资者收取佣金、过户费和印花税等费用。</w:t>
      </w:r>
    </w:p>
    <w:p w:rsidR="00FC0AF2" w:rsidRDefault="00AE34FD" w:rsidP="00B544E5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特此公告</w:t>
      </w:r>
    </w:p>
    <w:p w:rsidR="00FC0AF2" w:rsidRDefault="00AE34FD" w:rsidP="00B544E5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中金基金管理有限公司</w:t>
      </w:r>
    </w:p>
    <w:p w:rsidR="00FC0AF2" w:rsidRDefault="00AE34FD" w:rsidP="00D31B14">
      <w:pPr>
        <w:spacing w:beforeLines="50" w:afterLines="50"/>
        <w:jc w:val="right"/>
      </w:pP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2020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年</w:t>
      </w:r>
      <w:r w:rsidR="00D5104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 w:rsidR="00D5104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日</w:t>
      </w:r>
    </w:p>
    <w:sectPr w:rsidR="00FC0AF2" w:rsidSect="00D3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E5" w:rsidRDefault="00B544E5" w:rsidP="00B544E5">
      <w:r>
        <w:separator/>
      </w:r>
    </w:p>
  </w:endnote>
  <w:endnote w:type="continuationSeparator" w:id="0">
    <w:p w:rsidR="00B544E5" w:rsidRDefault="00B544E5" w:rsidP="00B5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E5" w:rsidRDefault="00B544E5" w:rsidP="00B544E5">
      <w:r>
        <w:separator/>
      </w:r>
    </w:p>
  </w:footnote>
  <w:footnote w:type="continuationSeparator" w:id="0">
    <w:p w:rsidR="00B544E5" w:rsidRDefault="00B544E5" w:rsidP="00B54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476E7"/>
    <w:rsid w:val="00052929"/>
    <w:rsid w:val="00097A2E"/>
    <w:rsid w:val="00156FEE"/>
    <w:rsid w:val="00163C7B"/>
    <w:rsid w:val="001643C7"/>
    <w:rsid w:val="00164CA7"/>
    <w:rsid w:val="001729E7"/>
    <w:rsid w:val="00172A27"/>
    <w:rsid w:val="001E01E1"/>
    <w:rsid w:val="00211571"/>
    <w:rsid w:val="002E4436"/>
    <w:rsid w:val="002E57C9"/>
    <w:rsid w:val="00336A2F"/>
    <w:rsid w:val="00351B6D"/>
    <w:rsid w:val="0037307F"/>
    <w:rsid w:val="003730B8"/>
    <w:rsid w:val="00383D43"/>
    <w:rsid w:val="00387283"/>
    <w:rsid w:val="003B0326"/>
    <w:rsid w:val="003C49CF"/>
    <w:rsid w:val="003D07E5"/>
    <w:rsid w:val="003E2578"/>
    <w:rsid w:val="003E25DA"/>
    <w:rsid w:val="004343C7"/>
    <w:rsid w:val="00437BCF"/>
    <w:rsid w:val="00454743"/>
    <w:rsid w:val="00495039"/>
    <w:rsid w:val="004B4629"/>
    <w:rsid w:val="0052668A"/>
    <w:rsid w:val="00580073"/>
    <w:rsid w:val="006A36E9"/>
    <w:rsid w:val="006F0B07"/>
    <w:rsid w:val="00720194"/>
    <w:rsid w:val="00722DD4"/>
    <w:rsid w:val="007D083F"/>
    <w:rsid w:val="007F1F31"/>
    <w:rsid w:val="008320EA"/>
    <w:rsid w:val="00851B64"/>
    <w:rsid w:val="0097486C"/>
    <w:rsid w:val="009D070A"/>
    <w:rsid w:val="009F73EF"/>
    <w:rsid w:val="00A331EB"/>
    <w:rsid w:val="00A62ED5"/>
    <w:rsid w:val="00A6528A"/>
    <w:rsid w:val="00A87330"/>
    <w:rsid w:val="00AC6C51"/>
    <w:rsid w:val="00AE34FD"/>
    <w:rsid w:val="00B50C25"/>
    <w:rsid w:val="00B544E5"/>
    <w:rsid w:val="00B75DC5"/>
    <w:rsid w:val="00B91A14"/>
    <w:rsid w:val="00B96288"/>
    <w:rsid w:val="00BB5965"/>
    <w:rsid w:val="00BB6854"/>
    <w:rsid w:val="00C10FD9"/>
    <w:rsid w:val="00C47181"/>
    <w:rsid w:val="00CA4101"/>
    <w:rsid w:val="00CB753C"/>
    <w:rsid w:val="00CD0251"/>
    <w:rsid w:val="00D26D4A"/>
    <w:rsid w:val="00D31B14"/>
    <w:rsid w:val="00D51045"/>
    <w:rsid w:val="00D61AF3"/>
    <w:rsid w:val="00D97C1D"/>
    <w:rsid w:val="00DC3E7B"/>
    <w:rsid w:val="00E11869"/>
    <w:rsid w:val="00EF1EDA"/>
    <w:rsid w:val="00F72146"/>
    <w:rsid w:val="00F9044B"/>
    <w:rsid w:val="00FC0AF2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31B1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31B1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31B1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31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3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31B14"/>
    <w:rPr>
      <w:sz w:val="21"/>
      <w:szCs w:val="21"/>
    </w:rPr>
  </w:style>
  <w:style w:type="table" w:styleId="a9">
    <w:name w:val="Table Grid"/>
    <w:basedOn w:val="a1"/>
    <w:uiPriority w:val="59"/>
    <w:qFormat/>
    <w:rsid w:val="00D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D31B14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D31B1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31B1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31B14"/>
  </w:style>
  <w:style w:type="character" w:customStyle="1" w:styleId="Char">
    <w:name w:val="批注主题 Char"/>
    <w:basedOn w:val="Char0"/>
    <w:link w:val="a3"/>
    <w:uiPriority w:val="99"/>
    <w:semiHidden/>
    <w:qFormat/>
    <w:rsid w:val="00D31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4</DocSecurity>
  <Lines>7</Lines>
  <Paragraphs>2</Paragraphs>
  <ScaleCrop>false</ScaleCrop>
  <Company>HP Inc.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2020-10-09T16:01:00Z</dcterms:created>
  <dcterms:modified xsi:type="dcterms:W3CDTF">2020-10-09T16:01:00Z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