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73" w:rsidRDefault="00DB3473" w:rsidP="00010075">
      <w:pPr>
        <w:spacing w:line="5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884E29" w:rsidRPr="00DB3473" w:rsidRDefault="00884E29" w:rsidP="00010075">
      <w:pPr>
        <w:spacing w:line="5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B3473">
        <w:rPr>
          <w:rFonts w:asciiTheme="minorEastAsia" w:eastAsiaTheme="minorEastAsia" w:hAnsiTheme="minorEastAsia" w:hint="eastAsia"/>
          <w:b/>
          <w:bCs/>
          <w:sz w:val="28"/>
          <w:szCs w:val="28"/>
        </w:rPr>
        <w:t>银华基金管理股份有限公司</w:t>
      </w:r>
    </w:p>
    <w:p w:rsidR="00884E29" w:rsidRPr="00DB3473" w:rsidRDefault="00884E29" w:rsidP="00010075">
      <w:pPr>
        <w:spacing w:line="5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B3473">
        <w:rPr>
          <w:rFonts w:asciiTheme="minorEastAsia" w:eastAsiaTheme="minorEastAsia" w:hAnsiTheme="minorEastAsia" w:hint="eastAsia"/>
          <w:b/>
          <w:bCs/>
          <w:sz w:val="28"/>
          <w:szCs w:val="28"/>
        </w:rPr>
        <w:t>关于增加浙江同花顺基金销售有限公司为</w:t>
      </w:r>
      <w:r w:rsidRPr="00DB3473">
        <w:rPr>
          <w:rFonts w:asciiTheme="minorEastAsia" w:eastAsiaTheme="minorEastAsia" w:hAnsiTheme="minorEastAsia"/>
          <w:b/>
          <w:bCs/>
          <w:sz w:val="28"/>
          <w:szCs w:val="28"/>
        </w:rPr>
        <w:t>旗下部分基金</w:t>
      </w:r>
    </w:p>
    <w:p w:rsidR="00884E29" w:rsidRPr="00DB3473" w:rsidRDefault="00884E29" w:rsidP="00010075">
      <w:pPr>
        <w:spacing w:line="5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B3473">
        <w:rPr>
          <w:rFonts w:asciiTheme="minorEastAsia" w:eastAsiaTheme="minorEastAsia" w:hAnsiTheme="minorEastAsia"/>
          <w:b/>
          <w:bCs/>
          <w:sz w:val="28"/>
          <w:szCs w:val="28"/>
        </w:rPr>
        <w:t>代销机构</w:t>
      </w:r>
      <w:r w:rsidRPr="00DB3473">
        <w:rPr>
          <w:rFonts w:asciiTheme="minorEastAsia" w:eastAsiaTheme="minorEastAsia" w:hAnsiTheme="minorEastAsia" w:hint="eastAsia"/>
          <w:b/>
          <w:bCs/>
          <w:sz w:val="28"/>
          <w:szCs w:val="28"/>
        </w:rPr>
        <w:t>并参加费率优惠活动的</w:t>
      </w:r>
      <w:r w:rsidRPr="00DB3473">
        <w:rPr>
          <w:rFonts w:asciiTheme="minorEastAsia" w:eastAsiaTheme="minorEastAsia" w:hAnsiTheme="minorEastAsia"/>
          <w:b/>
          <w:bCs/>
          <w:sz w:val="28"/>
          <w:szCs w:val="28"/>
        </w:rPr>
        <w:t>公告</w:t>
      </w:r>
    </w:p>
    <w:p w:rsidR="00884E29" w:rsidRPr="00DB3473" w:rsidRDefault="00884E29" w:rsidP="00010075">
      <w:pPr>
        <w:spacing w:line="500" w:lineRule="exact"/>
        <w:rPr>
          <w:rFonts w:asciiTheme="minorEastAsia" w:eastAsiaTheme="minorEastAsia" w:hAnsiTheme="minorEastAsia"/>
          <w:sz w:val="24"/>
        </w:rPr>
      </w:pPr>
    </w:p>
    <w:p w:rsidR="00884E29" w:rsidRPr="00DB3473" w:rsidRDefault="00884E29" w:rsidP="00010075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B3473">
        <w:rPr>
          <w:rFonts w:asciiTheme="minorEastAsia" w:eastAsiaTheme="minorEastAsia" w:hAnsiTheme="minorEastAsia" w:hint="eastAsia"/>
          <w:sz w:val="24"/>
        </w:rPr>
        <w:t>根据银华基金管理股份有限公司（以下简称“本公司”）与浙江同花顺基金销售有限公司（以下简称“浙江同花顺基金”）签署的销售协议，</w:t>
      </w:r>
      <w:r w:rsidRPr="00DB3473">
        <w:rPr>
          <w:rFonts w:asciiTheme="minorEastAsia" w:eastAsiaTheme="minorEastAsia" w:hAnsiTheme="minorEastAsia"/>
          <w:sz w:val="24"/>
        </w:rPr>
        <w:t>经</w:t>
      </w:r>
      <w:r w:rsidRPr="00DB3473">
        <w:rPr>
          <w:rFonts w:asciiTheme="minorEastAsia" w:eastAsiaTheme="minorEastAsia" w:hAnsiTheme="minorEastAsia" w:hint="eastAsia"/>
          <w:sz w:val="24"/>
        </w:rPr>
        <w:t>双方协商一致</w:t>
      </w:r>
      <w:r w:rsidRPr="00DB3473">
        <w:rPr>
          <w:rFonts w:asciiTheme="minorEastAsia" w:eastAsiaTheme="minorEastAsia" w:hAnsiTheme="minorEastAsia"/>
          <w:sz w:val="24"/>
        </w:rPr>
        <w:t>，</w:t>
      </w:r>
      <w:r w:rsidRPr="00DB3473">
        <w:rPr>
          <w:rFonts w:asciiTheme="minorEastAsia" w:eastAsiaTheme="minorEastAsia" w:hAnsiTheme="minorEastAsia" w:hint="eastAsia"/>
          <w:sz w:val="24"/>
        </w:rPr>
        <w:t>本公司</w:t>
      </w:r>
      <w:r w:rsidRPr="00DB3473">
        <w:rPr>
          <w:rFonts w:asciiTheme="minorEastAsia" w:eastAsiaTheme="minorEastAsia" w:hAnsiTheme="minorEastAsia"/>
          <w:sz w:val="24"/>
        </w:rPr>
        <w:t>决定</w:t>
      </w:r>
      <w:r w:rsidRPr="00DB3473">
        <w:rPr>
          <w:rFonts w:asciiTheme="minorEastAsia" w:eastAsiaTheme="minorEastAsia" w:hAnsiTheme="minorEastAsia" w:hint="eastAsia"/>
          <w:sz w:val="24"/>
        </w:rPr>
        <w:t>自2020年</w:t>
      </w:r>
      <w:r w:rsidRPr="00DB3473">
        <w:rPr>
          <w:rFonts w:asciiTheme="minorEastAsia" w:eastAsiaTheme="minorEastAsia" w:hAnsiTheme="minorEastAsia"/>
          <w:sz w:val="24"/>
        </w:rPr>
        <w:t>1</w:t>
      </w:r>
      <w:r w:rsidRPr="00DB3473">
        <w:rPr>
          <w:rFonts w:asciiTheme="minorEastAsia" w:eastAsiaTheme="minorEastAsia" w:hAnsiTheme="minorEastAsia" w:hint="eastAsia"/>
          <w:sz w:val="24"/>
        </w:rPr>
        <w:t>月</w:t>
      </w:r>
      <w:r w:rsidR="00DB3473">
        <w:rPr>
          <w:rFonts w:asciiTheme="minorEastAsia" w:eastAsiaTheme="minorEastAsia" w:hAnsiTheme="minorEastAsia" w:hint="eastAsia"/>
          <w:sz w:val="24"/>
        </w:rPr>
        <w:t>22</w:t>
      </w:r>
      <w:r w:rsidRPr="00DB3473">
        <w:rPr>
          <w:rFonts w:asciiTheme="minorEastAsia" w:eastAsiaTheme="minorEastAsia" w:hAnsiTheme="minorEastAsia" w:hint="eastAsia"/>
          <w:sz w:val="24"/>
        </w:rPr>
        <w:t>日起，本公司旗下部分基金在浙江同花顺基金开通申购、赎回、定期</w:t>
      </w:r>
      <w:r w:rsidRPr="00DB3473">
        <w:rPr>
          <w:rFonts w:asciiTheme="minorEastAsia" w:eastAsiaTheme="minorEastAsia" w:hAnsiTheme="minorEastAsia"/>
          <w:sz w:val="24"/>
        </w:rPr>
        <w:t>定额投资及转换</w:t>
      </w:r>
      <w:r w:rsidRPr="00DB3473">
        <w:rPr>
          <w:rFonts w:asciiTheme="minorEastAsia" w:eastAsiaTheme="minorEastAsia" w:hAnsiTheme="minorEastAsia" w:hint="eastAsia"/>
          <w:sz w:val="24"/>
        </w:rPr>
        <w:t>业务</w:t>
      </w:r>
      <w:r w:rsidR="00C9624D" w:rsidRPr="00DB3473">
        <w:rPr>
          <w:rFonts w:asciiTheme="minorEastAsia" w:eastAsiaTheme="minorEastAsia" w:hAnsiTheme="minorEastAsia" w:hint="eastAsia"/>
          <w:sz w:val="24"/>
        </w:rPr>
        <w:t>并参加其费率优惠活动</w:t>
      </w:r>
      <w:r w:rsidRPr="00DB3473">
        <w:rPr>
          <w:rFonts w:asciiTheme="minorEastAsia" w:eastAsiaTheme="minorEastAsia" w:hAnsiTheme="minorEastAsia"/>
          <w:sz w:val="24"/>
        </w:rPr>
        <w:t>。</w:t>
      </w:r>
      <w:r w:rsidRPr="00DB3473">
        <w:rPr>
          <w:rFonts w:asciiTheme="minorEastAsia" w:eastAsiaTheme="minorEastAsia" w:hAnsiTheme="minorEastAsia" w:hint="eastAsia"/>
          <w:sz w:val="24"/>
        </w:rPr>
        <w:t>具体内容</w:t>
      </w:r>
      <w:r w:rsidRPr="00DB3473">
        <w:rPr>
          <w:rFonts w:asciiTheme="minorEastAsia" w:eastAsiaTheme="minorEastAsia" w:hAnsiTheme="minorEastAsia"/>
          <w:sz w:val="24"/>
        </w:rPr>
        <w:t>如下</w:t>
      </w:r>
      <w:r w:rsidRPr="00DB3473">
        <w:rPr>
          <w:rFonts w:asciiTheme="minorEastAsia" w:eastAsiaTheme="minorEastAsia" w:hAnsiTheme="minorEastAsia" w:hint="eastAsia"/>
          <w:sz w:val="24"/>
        </w:rPr>
        <w:t>：</w:t>
      </w:r>
    </w:p>
    <w:p w:rsidR="00884E29" w:rsidRPr="00DB3473" w:rsidRDefault="00884E29" w:rsidP="00010075">
      <w:pPr>
        <w:spacing w:line="500" w:lineRule="exact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</w:p>
    <w:p w:rsidR="00213A2D" w:rsidRPr="003B00E6" w:rsidRDefault="00884E29" w:rsidP="00010075">
      <w:pPr>
        <w:spacing w:line="500" w:lineRule="exact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3B00E6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一、</w:t>
      </w:r>
      <w:r w:rsidR="003B00E6" w:rsidRPr="00010075">
        <w:rPr>
          <w:rFonts w:hint="eastAsia"/>
          <w:b/>
          <w:color w:val="000000"/>
          <w:sz w:val="24"/>
        </w:rPr>
        <w:t>本次开通业务具体情况</w:t>
      </w:r>
    </w:p>
    <w:tbl>
      <w:tblPr>
        <w:tblpPr w:leftFromText="180" w:rightFromText="180" w:vertAnchor="text" w:horzAnchor="margin" w:tblpXSpec="center" w:tblpY="24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1275"/>
        <w:gridCol w:w="1276"/>
        <w:gridCol w:w="1276"/>
        <w:gridCol w:w="1701"/>
        <w:gridCol w:w="1276"/>
      </w:tblGrid>
      <w:tr w:rsidR="00FE7A87" w:rsidRPr="005A455B" w:rsidTr="00B304F8">
        <w:trPr>
          <w:trHeight w:val="653"/>
        </w:trPr>
        <w:tc>
          <w:tcPr>
            <w:tcW w:w="534" w:type="dxa"/>
            <w:vAlign w:val="center"/>
          </w:tcPr>
          <w:p w:rsidR="00FE7A87" w:rsidRPr="00A007D7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A455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A455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275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A455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基金代码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A455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是否</w:t>
            </w:r>
            <w:r w:rsidRPr="005A455B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  <w:t>开通申购</w:t>
            </w:r>
            <w:r w:rsidRPr="005A455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业务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A455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是否</w:t>
            </w:r>
            <w:r w:rsidRPr="005A455B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  <w:t>开通赎回</w:t>
            </w:r>
            <w:r w:rsidRPr="005A455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业务</w:t>
            </w:r>
          </w:p>
        </w:tc>
        <w:tc>
          <w:tcPr>
            <w:tcW w:w="1701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A455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是否</w:t>
            </w:r>
            <w:r w:rsidRPr="005A455B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  <w:t>开通定期定额投资</w:t>
            </w:r>
            <w:r w:rsidRPr="005A455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业务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</w:pPr>
            <w:r w:rsidRPr="005A455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是否</w:t>
            </w:r>
            <w:r w:rsidRPr="005A455B"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4"/>
              </w:rPr>
              <w:t>开通转换</w:t>
            </w:r>
            <w:r w:rsidRPr="005A455B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</w:rPr>
              <w:t>业务</w:t>
            </w:r>
          </w:p>
        </w:tc>
      </w:tr>
      <w:tr w:rsidR="00FE7A87" w:rsidRPr="005A455B" w:rsidTr="00B304F8">
        <w:trPr>
          <w:trHeight w:val="717"/>
        </w:trPr>
        <w:tc>
          <w:tcPr>
            <w:tcW w:w="534" w:type="dxa"/>
            <w:vAlign w:val="center"/>
          </w:tcPr>
          <w:p w:rsidR="00FE7A87" w:rsidRPr="00A007D7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E7A87" w:rsidRPr="00A007D7" w:rsidRDefault="00FE7A87" w:rsidP="00010075">
            <w:pPr>
              <w:widowControl/>
              <w:spacing w:line="500" w:lineRule="exact"/>
              <w:jc w:val="center"/>
              <w:textAlignment w:val="top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A007D7">
              <w:rPr>
                <w:rFonts w:asciiTheme="minorEastAsia" w:eastAsiaTheme="minorEastAsia" w:hAnsiTheme="minorEastAsia"/>
                <w:sz w:val="24"/>
              </w:rPr>
              <w:t>银华惠添益货币市场基金</w:t>
            </w:r>
            <w:r w:rsidRPr="00A007D7">
              <w:rPr>
                <w:rFonts w:asciiTheme="minorEastAsia" w:eastAsiaTheme="minorEastAsia" w:hAnsiTheme="minorEastAsia" w:hint="eastAsia"/>
                <w:sz w:val="24"/>
              </w:rPr>
              <w:t>（基金简称：</w:t>
            </w:r>
            <w:r w:rsidRPr="00B304F8">
              <w:rPr>
                <w:rFonts w:asciiTheme="minorEastAsia" w:eastAsiaTheme="minorEastAsia" w:hAnsiTheme="minorEastAsia" w:hint="eastAsia"/>
                <w:sz w:val="24"/>
              </w:rPr>
              <w:t>银华惠添益货币</w:t>
            </w:r>
            <w:r w:rsidRPr="005A455B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FE7A87" w:rsidRPr="00A007D7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007D7">
              <w:rPr>
                <w:rFonts w:asciiTheme="minorEastAsia" w:eastAsiaTheme="minorEastAsia" w:hAnsiTheme="minorEastAsia"/>
                <w:sz w:val="24"/>
              </w:rPr>
              <w:t>001101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701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否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否</w:t>
            </w:r>
          </w:p>
        </w:tc>
      </w:tr>
      <w:tr w:rsidR="00FE7A87" w:rsidRPr="005A455B" w:rsidTr="00B304F8">
        <w:trPr>
          <w:trHeight w:val="717"/>
        </w:trPr>
        <w:tc>
          <w:tcPr>
            <w:tcW w:w="534" w:type="dxa"/>
            <w:vAlign w:val="center"/>
          </w:tcPr>
          <w:p w:rsidR="00FE7A87" w:rsidRPr="00A007D7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E7A87" w:rsidRPr="00A007D7" w:rsidRDefault="00FE7A87" w:rsidP="00010075">
            <w:pPr>
              <w:pStyle w:val="Default"/>
              <w:spacing w:line="500" w:lineRule="exact"/>
              <w:rPr>
                <w:rFonts w:asciiTheme="minorEastAsia" w:eastAsiaTheme="minorEastAsia" w:hAnsiTheme="minorEastAsia"/>
              </w:rPr>
            </w:pPr>
            <w:r w:rsidRPr="00A007D7">
              <w:rPr>
                <w:rFonts w:asciiTheme="minorEastAsia" w:eastAsiaTheme="minorEastAsia" w:hAnsiTheme="minorEastAsia" w:hint="eastAsia"/>
              </w:rPr>
              <w:t>银华泰利灵活配置混合型证券投资基金（基金简称：</w:t>
            </w:r>
            <w:r w:rsidRPr="00B304F8">
              <w:rPr>
                <w:rFonts w:asciiTheme="minorEastAsia" w:eastAsiaTheme="minorEastAsia" w:hAnsiTheme="minorEastAsia" w:hint="eastAsia"/>
              </w:rPr>
              <w:t>银华泰利灵活配置混合</w:t>
            </w:r>
            <w:r w:rsidRPr="005A455B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 w:rsidRPr="00A007D7">
              <w:rPr>
                <w:rFonts w:asciiTheme="minorEastAsia" w:eastAsiaTheme="minorEastAsia" w:hAnsiTheme="minorEastAsia" w:cs="宋体"/>
                <w:color w:val="000000"/>
                <w:sz w:val="24"/>
              </w:rPr>
              <w:t>A：001231</w:t>
            </w:r>
          </w:p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cs="宋体"/>
                <w:color w:val="000000"/>
                <w:sz w:val="24"/>
              </w:rPr>
              <w:t>C：002328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701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  <w:tr w:rsidR="00FE7A87" w:rsidRPr="005A455B" w:rsidTr="00B304F8">
        <w:trPr>
          <w:trHeight w:val="717"/>
        </w:trPr>
        <w:tc>
          <w:tcPr>
            <w:tcW w:w="534" w:type="dxa"/>
            <w:vAlign w:val="center"/>
          </w:tcPr>
          <w:p w:rsidR="00FE7A87" w:rsidRPr="00A007D7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E7A87" w:rsidRPr="00A007D7" w:rsidRDefault="00FE7A87" w:rsidP="00010075">
            <w:pPr>
              <w:pStyle w:val="Default"/>
              <w:spacing w:line="500" w:lineRule="exact"/>
              <w:rPr>
                <w:rFonts w:asciiTheme="minorEastAsia" w:eastAsiaTheme="minorEastAsia" w:hAnsiTheme="minorEastAsia"/>
              </w:rPr>
            </w:pPr>
            <w:r w:rsidRPr="00A007D7">
              <w:rPr>
                <w:rFonts w:asciiTheme="minorEastAsia" w:eastAsiaTheme="minorEastAsia" w:hAnsiTheme="minorEastAsia" w:hint="eastAsia"/>
                <w:bCs/>
              </w:rPr>
              <w:t>银华恒利灵活配置混合型证券投资基金（基金简称：</w:t>
            </w:r>
            <w:r w:rsidRPr="00B304F8">
              <w:rPr>
                <w:rFonts w:asciiTheme="minorEastAsia" w:eastAsiaTheme="minorEastAsia" w:hAnsiTheme="minorEastAsia" w:hint="eastAsia"/>
              </w:rPr>
              <w:t>银华恒利灵活配置混合</w:t>
            </w:r>
            <w:r w:rsidRPr="005A455B">
              <w:rPr>
                <w:rFonts w:asciiTheme="minorEastAsia" w:eastAsiaTheme="minorEastAsia" w:hAnsiTheme="minorEastAsia" w:hint="eastAsia"/>
                <w:bCs/>
              </w:rPr>
              <w:t>）</w:t>
            </w:r>
          </w:p>
        </w:tc>
        <w:tc>
          <w:tcPr>
            <w:tcW w:w="1275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A007D7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 xml:space="preserve">A: 001264 </w:t>
            </w:r>
            <w:r w:rsidRPr="005A455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C：002327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是</w:t>
            </w:r>
          </w:p>
        </w:tc>
        <w:tc>
          <w:tcPr>
            <w:tcW w:w="1701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是</w:t>
            </w:r>
          </w:p>
        </w:tc>
      </w:tr>
      <w:tr w:rsidR="00FE7A87" w:rsidRPr="005A455B" w:rsidTr="00B304F8">
        <w:trPr>
          <w:trHeight w:val="717"/>
        </w:trPr>
        <w:tc>
          <w:tcPr>
            <w:tcW w:w="534" w:type="dxa"/>
            <w:vAlign w:val="center"/>
          </w:tcPr>
          <w:p w:rsidR="00FE7A87" w:rsidRPr="00A007D7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A007D7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银华汇利灵活配置混合型证券投资基金（基金简称：银华汇利灵活配置混合）</w:t>
            </w:r>
          </w:p>
        </w:tc>
        <w:tc>
          <w:tcPr>
            <w:tcW w:w="1275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A：001289</w:t>
            </w:r>
          </w:p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C：002322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是</w:t>
            </w:r>
          </w:p>
        </w:tc>
        <w:tc>
          <w:tcPr>
            <w:tcW w:w="1701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是</w:t>
            </w:r>
          </w:p>
        </w:tc>
      </w:tr>
      <w:tr w:rsidR="00FE7A87" w:rsidRPr="005A455B" w:rsidTr="00B304F8">
        <w:trPr>
          <w:trHeight w:val="717"/>
        </w:trPr>
        <w:tc>
          <w:tcPr>
            <w:tcW w:w="534" w:type="dxa"/>
            <w:vAlign w:val="center"/>
          </w:tcPr>
          <w:p w:rsidR="00FE7A87" w:rsidRPr="00A007D7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E7A87" w:rsidRPr="00A007D7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A007D7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银华远景债券型证券投资基金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（基金简称</w:t>
            </w:r>
            <w:r w:rsidRPr="00490831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：</w:t>
            </w:r>
            <w:r w:rsidRPr="00B304F8">
              <w:rPr>
                <w:rFonts w:hint="eastAsia"/>
                <w:sz w:val="24"/>
              </w:rPr>
              <w:t>银华远景债券</w:t>
            </w:r>
            <w:r w:rsidRPr="00490831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1275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002501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是</w:t>
            </w:r>
          </w:p>
        </w:tc>
        <w:tc>
          <w:tcPr>
            <w:tcW w:w="1701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hint="eastAsia"/>
                <w:bCs/>
                <w:color w:val="000000"/>
                <w:sz w:val="24"/>
              </w:rPr>
              <w:t>是</w:t>
            </w:r>
          </w:p>
        </w:tc>
      </w:tr>
      <w:tr w:rsidR="00FE7A87" w:rsidRPr="005A455B" w:rsidTr="00B304F8">
        <w:trPr>
          <w:trHeight w:val="717"/>
        </w:trPr>
        <w:tc>
          <w:tcPr>
            <w:tcW w:w="534" w:type="dxa"/>
            <w:vAlign w:val="center"/>
          </w:tcPr>
          <w:p w:rsidR="00FE7A87" w:rsidRPr="00A007D7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:rsidR="00FE7A87" w:rsidRPr="005A455B" w:rsidRDefault="00FE7A87" w:rsidP="0001007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007D7">
              <w:rPr>
                <w:rFonts w:asciiTheme="minorEastAsia" w:eastAsiaTheme="minorEastAsia" w:hAnsiTheme="minorEastAsia" w:hint="eastAsia"/>
                <w:sz w:val="24"/>
              </w:rPr>
              <w:t>银华尊尚稳健养老目标一年持有期混合型发起式基金中基金（</w:t>
            </w:r>
            <w:r w:rsidRPr="005A455B">
              <w:rPr>
                <w:rFonts w:asciiTheme="minorEastAsia" w:eastAsiaTheme="minorEastAsia" w:hAnsiTheme="minorEastAsia"/>
                <w:sz w:val="24"/>
              </w:rPr>
              <w:t>FOF）（基金简称：银华尊尚稳健养老一年持有混合发起式（FOF））</w:t>
            </w:r>
          </w:p>
        </w:tc>
        <w:tc>
          <w:tcPr>
            <w:tcW w:w="1275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/>
                <w:sz w:val="24"/>
              </w:rPr>
              <w:t>007310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否</w:t>
            </w:r>
          </w:p>
        </w:tc>
        <w:tc>
          <w:tcPr>
            <w:tcW w:w="1701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否</w:t>
            </w:r>
          </w:p>
        </w:tc>
      </w:tr>
      <w:tr w:rsidR="00FE7A87" w:rsidRPr="005A455B" w:rsidTr="00B304F8">
        <w:trPr>
          <w:trHeight w:val="717"/>
        </w:trPr>
        <w:tc>
          <w:tcPr>
            <w:tcW w:w="534" w:type="dxa"/>
            <w:vAlign w:val="center"/>
          </w:tcPr>
          <w:p w:rsidR="00FE7A87" w:rsidRPr="00A007D7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E7A87" w:rsidRPr="005A455B" w:rsidRDefault="00FE7A87" w:rsidP="0001007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007D7">
              <w:rPr>
                <w:rFonts w:asciiTheme="minorEastAsia" w:eastAsiaTheme="minorEastAsia" w:hAnsiTheme="minorEastAsia" w:hint="eastAsia"/>
                <w:sz w:val="24"/>
              </w:rPr>
              <w:t>银华尊和养老目标日期</w:t>
            </w:r>
            <w:r w:rsidRPr="00A007D7">
              <w:rPr>
                <w:rFonts w:asciiTheme="minorEastAsia" w:eastAsiaTheme="minorEastAsia" w:hAnsiTheme="minorEastAsia"/>
                <w:sz w:val="24"/>
              </w:rPr>
              <w:t>2030三年持有期混合型发起</w:t>
            </w:r>
            <w:r w:rsidRPr="005A455B">
              <w:rPr>
                <w:rFonts w:asciiTheme="minorEastAsia" w:eastAsiaTheme="minorEastAsia" w:hAnsiTheme="minorEastAsia" w:hint="eastAsia"/>
                <w:sz w:val="24"/>
              </w:rPr>
              <w:t>式基金中基金（</w:t>
            </w:r>
            <w:r w:rsidRPr="005A455B">
              <w:rPr>
                <w:rFonts w:asciiTheme="minorEastAsia" w:eastAsiaTheme="minorEastAsia" w:hAnsiTheme="minorEastAsia"/>
                <w:sz w:val="24"/>
              </w:rPr>
              <w:t>FOF）（基金简称：</w:t>
            </w:r>
            <w:r w:rsidRPr="005A455B">
              <w:rPr>
                <w:rFonts w:asciiTheme="minorEastAsia" w:eastAsiaTheme="minorEastAsia" w:hAnsiTheme="minorEastAsia" w:hint="eastAsia"/>
                <w:sz w:val="24"/>
              </w:rPr>
              <w:t>银华尊和养老</w:t>
            </w:r>
            <w:r w:rsidRPr="005A455B">
              <w:rPr>
                <w:rFonts w:asciiTheme="minorEastAsia" w:eastAsiaTheme="minorEastAsia" w:hAnsiTheme="minorEastAsia"/>
                <w:sz w:val="24"/>
              </w:rPr>
              <w:t>2030三年持有混合发起式（FOF））</w:t>
            </w:r>
          </w:p>
        </w:tc>
        <w:tc>
          <w:tcPr>
            <w:tcW w:w="1275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/>
                <w:sz w:val="24"/>
              </w:rPr>
              <w:t>007779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否</w:t>
            </w:r>
          </w:p>
        </w:tc>
        <w:tc>
          <w:tcPr>
            <w:tcW w:w="1701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否</w:t>
            </w:r>
          </w:p>
        </w:tc>
      </w:tr>
      <w:tr w:rsidR="00FE7A87" w:rsidRPr="005A455B" w:rsidTr="00B304F8">
        <w:trPr>
          <w:trHeight w:val="717"/>
        </w:trPr>
        <w:tc>
          <w:tcPr>
            <w:tcW w:w="534" w:type="dxa"/>
            <w:vAlign w:val="center"/>
          </w:tcPr>
          <w:p w:rsidR="00FE7A87" w:rsidRPr="00A007D7" w:rsidRDefault="00FE7A87" w:rsidP="0001007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/>
                <w:bCs/>
                <w:color w:val="000000"/>
                <w:sz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E7A87" w:rsidRPr="005A455B" w:rsidRDefault="00FE7A87" w:rsidP="00010075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007D7">
              <w:rPr>
                <w:rFonts w:asciiTheme="minorEastAsia" w:eastAsiaTheme="minorEastAsia" w:hAnsiTheme="minorEastAsia" w:hint="eastAsia"/>
                <w:sz w:val="24"/>
              </w:rPr>
              <w:t>银华尊和养老目标日期</w:t>
            </w:r>
            <w:r w:rsidRPr="00A007D7">
              <w:rPr>
                <w:rFonts w:asciiTheme="minorEastAsia" w:eastAsiaTheme="minorEastAsia" w:hAnsiTheme="minorEastAsia"/>
                <w:sz w:val="24"/>
              </w:rPr>
              <w:t>2040三年持有期混合型发起</w:t>
            </w:r>
            <w:r w:rsidRPr="005A455B">
              <w:rPr>
                <w:rFonts w:asciiTheme="minorEastAsia" w:eastAsiaTheme="minorEastAsia" w:hAnsiTheme="minorEastAsia" w:hint="eastAsia"/>
                <w:sz w:val="24"/>
              </w:rPr>
              <w:t>式基金中基金（</w:t>
            </w:r>
            <w:r w:rsidRPr="005A455B">
              <w:rPr>
                <w:rFonts w:asciiTheme="minorEastAsia" w:eastAsiaTheme="minorEastAsia" w:hAnsiTheme="minorEastAsia"/>
                <w:sz w:val="24"/>
              </w:rPr>
              <w:t>FOF）（基金简称：</w:t>
            </w:r>
            <w:r w:rsidRPr="005A455B">
              <w:rPr>
                <w:rFonts w:asciiTheme="minorEastAsia" w:eastAsiaTheme="minorEastAsia" w:hAnsiTheme="minorEastAsia" w:hint="eastAsia"/>
                <w:sz w:val="24"/>
              </w:rPr>
              <w:t>银华尊和养老</w:t>
            </w:r>
            <w:r w:rsidRPr="005A455B">
              <w:rPr>
                <w:rFonts w:asciiTheme="minorEastAsia" w:eastAsiaTheme="minorEastAsia" w:hAnsiTheme="minorEastAsia"/>
                <w:sz w:val="24"/>
              </w:rPr>
              <w:t>2040三年持有混合发起式（FOF））</w:t>
            </w:r>
          </w:p>
        </w:tc>
        <w:tc>
          <w:tcPr>
            <w:tcW w:w="1275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/>
                <w:sz w:val="24"/>
              </w:rPr>
              <w:t>007780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否</w:t>
            </w:r>
          </w:p>
        </w:tc>
        <w:tc>
          <w:tcPr>
            <w:tcW w:w="1701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276" w:type="dxa"/>
            <w:vAlign w:val="center"/>
          </w:tcPr>
          <w:p w:rsidR="00FE7A87" w:rsidRPr="005A455B" w:rsidRDefault="00FE7A87" w:rsidP="00010075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A45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否</w:t>
            </w:r>
          </w:p>
        </w:tc>
      </w:tr>
    </w:tbl>
    <w:p w:rsidR="00FE7A87" w:rsidRDefault="00FE7A87" w:rsidP="00010075">
      <w:pPr>
        <w:spacing w:line="500" w:lineRule="exact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DB3473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注：</w:t>
      </w:r>
      <w:r w:rsidRPr="00DB3473">
        <w:rPr>
          <w:rFonts w:asciiTheme="minorEastAsia" w:eastAsiaTheme="minorEastAsia" w:hAnsiTheme="minorEastAsia" w:hint="eastAsia"/>
          <w:sz w:val="24"/>
        </w:rPr>
        <w:t>浙江同花顺基金最低定期定额投资金额为人民币10元</w:t>
      </w:r>
      <w:r w:rsidRPr="00DB3473">
        <w:rPr>
          <w:rFonts w:asciiTheme="minorEastAsia" w:eastAsiaTheme="minorEastAsia" w:hAnsiTheme="minorEastAsia" w:cs="宋体"/>
          <w:color w:val="000000"/>
          <w:kern w:val="0"/>
          <w:sz w:val="24"/>
        </w:rPr>
        <w:t>，具体办理细则</w:t>
      </w:r>
      <w:r w:rsidRPr="00DB3473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详见浙江同花顺基金</w:t>
      </w:r>
      <w:r w:rsidRPr="00DB3473">
        <w:rPr>
          <w:rFonts w:asciiTheme="minorEastAsia" w:eastAsiaTheme="minorEastAsia" w:hAnsiTheme="minorEastAsia" w:cs="宋体"/>
          <w:color w:val="000000"/>
          <w:kern w:val="0"/>
          <w:sz w:val="24"/>
        </w:rPr>
        <w:t>网站。</w:t>
      </w:r>
      <w:r w:rsidRPr="007A32BE">
        <w:rPr>
          <w:rFonts w:asciiTheme="minorEastAsia" w:eastAsiaTheme="minorEastAsia" w:hAnsiTheme="minorEastAsia" w:hint="eastAsia"/>
          <w:sz w:val="24"/>
        </w:rPr>
        <w:t>银华泰利灵活配置混合</w:t>
      </w:r>
      <w:r w:rsidRPr="00DB3473">
        <w:rPr>
          <w:rFonts w:asciiTheme="minorEastAsia" w:eastAsiaTheme="minorEastAsia" w:hAnsiTheme="minorEastAsia" w:cs="宋体" w:hint="eastAsia"/>
          <w:color w:val="000000"/>
          <w:sz w:val="24"/>
        </w:rPr>
        <w:t>基金的A类与C类不支持相互转换，</w:t>
      </w:r>
      <w:r w:rsidRPr="007A32BE">
        <w:rPr>
          <w:rFonts w:asciiTheme="minorEastAsia" w:eastAsiaTheme="minorEastAsia" w:hAnsiTheme="minorEastAsia" w:hint="eastAsia"/>
          <w:sz w:val="24"/>
        </w:rPr>
        <w:t>银华恒利灵活配置混合</w:t>
      </w:r>
      <w:r w:rsidRPr="00DB3473">
        <w:rPr>
          <w:rFonts w:asciiTheme="minorEastAsia" w:eastAsiaTheme="minorEastAsia" w:hAnsiTheme="minorEastAsia" w:cs="宋体" w:hint="eastAsia"/>
          <w:color w:val="000000"/>
          <w:sz w:val="24"/>
        </w:rPr>
        <w:t>基金的A类与C类不支持相互转换</w:t>
      </w:r>
      <w:r>
        <w:rPr>
          <w:rFonts w:asciiTheme="minorEastAsia" w:eastAsiaTheme="minorEastAsia" w:hAnsiTheme="minorEastAsia" w:cs="宋体" w:hint="eastAsia"/>
          <w:color w:val="000000"/>
          <w:sz w:val="24"/>
        </w:rPr>
        <w:t>，</w:t>
      </w:r>
      <w:r w:rsidRPr="00A43BA8">
        <w:rPr>
          <w:rFonts w:asciiTheme="minorEastAsia" w:eastAsiaTheme="minorEastAsia" w:hAnsiTheme="minorEastAsia" w:hint="eastAsia"/>
          <w:bCs/>
          <w:color w:val="000000"/>
          <w:sz w:val="24"/>
        </w:rPr>
        <w:t>银华汇利灵活配置混合</w:t>
      </w:r>
      <w:r w:rsidRPr="00DB3473">
        <w:rPr>
          <w:rFonts w:asciiTheme="minorEastAsia" w:eastAsiaTheme="minorEastAsia" w:hAnsiTheme="minorEastAsia" w:cs="宋体" w:hint="eastAsia"/>
          <w:color w:val="000000"/>
          <w:sz w:val="24"/>
        </w:rPr>
        <w:t>基金的A类与C类不支持相互转换。</w:t>
      </w:r>
    </w:p>
    <w:p w:rsidR="004748ED" w:rsidRDefault="004748ED" w:rsidP="00010075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C9624D" w:rsidRPr="00DB3473" w:rsidRDefault="00C9624D" w:rsidP="00010075">
      <w:pPr>
        <w:autoSpaceDE w:val="0"/>
        <w:autoSpaceDN w:val="0"/>
        <w:adjustRightInd w:val="0"/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DB3473">
        <w:rPr>
          <w:rFonts w:asciiTheme="minorEastAsia" w:eastAsiaTheme="minorEastAsia" w:hAnsiTheme="minorEastAsia" w:hint="eastAsia"/>
          <w:b/>
          <w:sz w:val="24"/>
        </w:rPr>
        <w:t>二、</w:t>
      </w:r>
      <w:r w:rsidRPr="00DB3473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费率优惠</w:t>
      </w:r>
    </w:p>
    <w:p w:rsidR="00962E07" w:rsidRPr="00DB3473" w:rsidRDefault="00962E07" w:rsidP="00010075">
      <w:pPr>
        <w:spacing w:line="500" w:lineRule="exact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  <w:r w:rsidRPr="00DB3473">
        <w:rPr>
          <w:rFonts w:asciiTheme="minorEastAsia" w:eastAsiaTheme="minorEastAsia" w:hAnsiTheme="minorEastAsia" w:hint="eastAsia"/>
          <w:bCs/>
          <w:color w:val="000000"/>
          <w:sz w:val="24"/>
        </w:rPr>
        <w:t>1、优惠活动时间</w:t>
      </w:r>
    </w:p>
    <w:p w:rsidR="00962E07" w:rsidRPr="00DB3473" w:rsidRDefault="00962E07" w:rsidP="00010075">
      <w:pPr>
        <w:spacing w:line="500" w:lineRule="exact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  <w:r w:rsidRPr="00DB3473">
        <w:rPr>
          <w:rFonts w:asciiTheme="minorEastAsia" w:eastAsiaTheme="minorEastAsia" w:hAnsiTheme="minorEastAsia" w:hint="eastAsia"/>
          <w:bCs/>
          <w:color w:val="000000"/>
          <w:sz w:val="24"/>
        </w:rPr>
        <w:t>自2020年1月</w:t>
      </w:r>
      <w:r w:rsidR="00DB3473">
        <w:rPr>
          <w:rFonts w:asciiTheme="minorEastAsia" w:eastAsiaTheme="minorEastAsia" w:hAnsiTheme="minorEastAsia" w:hint="eastAsia"/>
          <w:bCs/>
          <w:color w:val="000000"/>
          <w:sz w:val="24"/>
        </w:rPr>
        <w:t>22</w:t>
      </w:r>
      <w:r w:rsidRPr="00DB3473">
        <w:rPr>
          <w:rFonts w:asciiTheme="minorEastAsia" w:eastAsiaTheme="minorEastAsia" w:hAnsiTheme="minorEastAsia" w:hint="eastAsia"/>
          <w:bCs/>
          <w:color w:val="000000"/>
          <w:sz w:val="24"/>
        </w:rPr>
        <w:t>日起持续进行。具体优惠活动或业务规则变动，请以浙江同花顺基金公告信息为准。</w:t>
      </w:r>
    </w:p>
    <w:p w:rsidR="00962E07" w:rsidRPr="00DB3473" w:rsidRDefault="00962E07" w:rsidP="00010075">
      <w:pPr>
        <w:spacing w:line="500" w:lineRule="exact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  <w:r w:rsidRPr="00DB3473">
        <w:rPr>
          <w:rFonts w:asciiTheme="minorEastAsia" w:eastAsiaTheme="minorEastAsia" w:hAnsiTheme="minorEastAsia" w:hint="eastAsia"/>
          <w:bCs/>
          <w:color w:val="000000"/>
          <w:sz w:val="24"/>
        </w:rPr>
        <w:t>2、适用投资者范围</w:t>
      </w:r>
    </w:p>
    <w:p w:rsidR="00962E07" w:rsidRPr="00DB3473" w:rsidRDefault="00962E07" w:rsidP="00010075">
      <w:pPr>
        <w:spacing w:line="500" w:lineRule="exact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  <w:r w:rsidRPr="00DB3473">
        <w:rPr>
          <w:rFonts w:asciiTheme="minorEastAsia" w:eastAsiaTheme="minorEastAsia" w:hAnsiTheme="minorEastAsia" w:hint="eastAsia"/>
          <w:bCs/>
          <w:color w:val="000000"/>
          <w:sz w:val="24"/>
        </w:rPr>
        <w:t>本活动适用于依据有关法律法规和基金合同规定可</w:t>
      </w:r>
      <w:r w:rsidR="00ED49DF">
        <w:rPr>
          <w:rFonts w:asciiTheme="minorEastAsia" w:eastAsiaTheme="minorEastAsia" w:hAnsiTheme="minorEastAsia" w:hint="eastAsia"/>
          <w:bCs/>
          <w:color w:val="000000"/>
          <w:sz w:val="24"/>
        </w:rPr>
        <w:t>以投资证券投资基金，并通过浙江同花顺基金申购（含定期定额投资）上述</w:t>
      </w:r>
      <w:r w:rsidRPr="00DB3473">
        <w:rPr>
          <w:rFonts w:asciiTheme="minorEastAsia" w:eastAsiaTheme="minorEastAsia" w:hAnsiTheme="minorEastAsia" w:hint="eastAsia"/>
          <w:bCs/>
          <w:color w:val="000000"/>
          <w:sz w:val="24"/>
        </w:rPr>
        <w:t>基金的投资者。</w:t>
      </w:r>
    </w:p>
    <w:p w:rsidR="00962E07" w:rsidRPr="00DB3473" w:rsidRDefault="00962E07" w:rsidP="00010075">
      <w:pPr>
        <w:spacing w:line="500" w:lineRule="exact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  <w:r w:rsidRPr="00DB3473">
        <w:rPr>
          <w:rFonts w:asciiTheme="minorEastAsia" w:eastAsiaTheme="minorEastAsia" w:hAnsiTheme="minorEastAsia" w:hint="eastAsia"/>
          <w:bCs/>
          <w:color w:val="000000"/>
          <w:sz w:val="24"/>
        </w:rPr>
        <w:lastRenderedPageBreak/>
        <w:t>3、费率优惠内容</w:t>
      </w:r>
    </w:p>
    <w:p w:rsidR="00962E07" w:rsidRPr="00DB3473" w:rsidRDefault="00962E07" w:rsidP="00010075">
      <w:pPr>
        <w:spacing w:line="500" w:lineRule="exact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  <w:r w:rsidRPr="00DB3473">
        <w:rPr>
          <w:rFonts w:asciiTheme="minorEastAsia" w:eastAsiaTheme="minorEastAsia" w:hAnsiTheme="minorEastAsia" w:hint="eastAsia"/>
          <w:bCs/>
          <w:color w:val="000000"/>
          <w:sz w:val="24"/>
        </w:rPr>
        <w:t>活动期间，通过浙江同花顺基金办理</w:t>
      </w:r>
      <w:r w:rsidR="0063370E">
        <w:rPr>
          <w:rFonts w:asciiTheme="minorEastAsia" w:eastAsiaTheme="minorEastAsia" w:hAnsiTheme="minorEastAsia" w:hint="eastAsia"/>
          <w:bCs/>
          <w:color w:val="000000"/>
          <w:sz w:val="24"/>
        </w:rPr>
        <w:t>上述基金</w:t>
      </w:r>
      <w:r w:rsidRPr="00DB3473">
        <w:rPr>
          <w:rFonts w:asciiTheme="minorEastAsia" w:eastAsiaTheme="minorEastAsia" w:hAnsiTheme="minorEastAsia" w:hint="eastAsia"/>
          <w:bCs/>
          <w:color w:val="000000"/>
          <w:sz w:val="24"/>
        </w:rPr>
        <w:t>申购（含定期定额投资）业务的投资者，享有申购（含定期定额投资）费率为最低“1折”的优惠费率。</w:t>
      </w:r>
      <w:r w:rsidR="0063370E">
        <w:rPr>
          <w:rFonts w:asciiTheme="minorEastAsia" w:eastAsiaTheme="minorEastAsia" w:hAnsiTheme="minorEastAsia" w:hint="eastAsia"/>
          <w:bCs/>
          <w:color w:val="000000"/>
          <w:sz w:val="24"/>
        </w:rPr>
        <w:t>上述基金</w:t>
      </w:r>
      <w:r w:rsidRPr="00DB3473">
        <w:rPr>
          <w:rFonts w:asciiTheme="minorEastAsia" w:eastAsiaTheme="minorEastAsia" w:hAnsiTheme="minorEastAsia" w:hint="eastAsia"/>
          <w:bCs/>
          <w:color w:val="000000"/>
          <w:sz w:val="24"/>
        </w:rPr>
        <w:t>具体折扣费率以代销机构的基金活动公告为准，优惠前申购（含定期定额投资）费率为固定费用的，则按原费率执行，不再享有费率折扣。</w:t>
      </w:r>
    </w:p>
    <w:p w:rsidR="00962E07" w:rsidRPr="00DB3473" w:rsidRDefault="0063370E" w:rsidP="00010075">
      <w:pPr>
        <w:spacing w:line="500" w:lineRule="exact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  <w:r>
        <w:rPr>
          <w:rFonts w:asciiTheme="minorEastAsia" w:eastAsiaTheme="minorEastAsia" w:hAnsiTheme="minorEastAsia" w:hint="eastAsia"/>
          <w:bCs/>
          <w:color w:val="000000"/>
          <w:sz w:val="24"/>
        </w:rPr>
        <w:t>上述基金</w:t>
      </w:r>
      <w:r w:rsidR="00962E07" w:rsidRPr="00DB3473">
        <w:rPr>
          <w:rFonts w:asciiTheme="minorEastAsia" w:eastAsiaTheme="minorEastAsia" w:hAnsiTheme="minorEastAsia" w:hint="eastAsia"/>
          <w:bCs/>
          <w:color w:val="000000"/>
          <w:sz w:val="24"/>
        </w:rPr>
        <w:t>费率标准详见基金合同、招募说明书等法律文件，以及本公司发布的最新业务公告。</w:t>
      </w:r>
    </w:p>
    <w:p w:rsidR="00962E07" w:rsidRPr="00DB3473" w:rsidRDefault="00962E07" w:rsidP="00010075">
      <w:pPr>
        <w:spacing w:line="500" w:lineRule="exact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</w:rPr>
      </w:pPr>
      <w:r w:rsidRPr="00DB3473">
        <w:rPr>
          <w:rFonts w:asciiTheme="minorEastAsia" w:eastAsiaTheme="minorEastAsia" w:hAnsiTheme="minorEastAsia" w:hint="eastAsia"/>
          <w:bCs/>
          <w:color w:val="000000"/>
          <w:sz w:val="24"/>
        </w:rPr>
        <w:t>本费率优惠活动内容的解释权归浙江同花顺基金，费率优惠活动内容执行期间，业务办理的相关规则及流程以浙江同花顺基金的安排和规定为准。</w:t>
      </w:r>
    </w:p>
    <w:p w:rsidR="00C9624D" w:rsidRPr="00DB3473" w:rsidRDefault="00C9624D" w:rsidP="00010075">
      <w:pPr>
        <w:autoSpaceDE w:val="0"/>
        <w:autoSpaceDN w:val="0"/>
        <w:adjustRightInd w:val="0"/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</w:rPr>
      </w:pPr>
    </w:p>
    <w:p w:rsidR="00884E29" w:rsidRPr="00DB3473" w:rsidRDefault="00C9624D" w:rsidP="00010075">
      <w:pPr>
        <w:autoSpaceDE w:val="0"/>
        <w:autoSpaceDN w:val="0"/>
        <w:adjustRightInd w:val="0"/>
        <w:spacing w:line="500" w:lineRule="exact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DB3473">
        <w:rPr>
          <w:rFonts w:asciiTheme="minorEastAsia" w:eastAsiaTheme="minorEastAsia" w:hAnsiTheme="minorEastAsia"/>
          <w:b/>
          <w:sz w:val="24"/>
        </w:rPr>
        <w:t>三</w:t>
      </w:r>
      <w:r w:rsidR="00884E29" w:rsidRPr="00DB3473">
        <w:rPr>
          <w:rFonts w:asciiTheme="minorEastAsia" w:eastAsiaTheme="minorEastAsia" w:hAnsiTheme="minorEastAsia"/>
          <w:b/>
          <w:sz w:val="24"/>
        </w:rPr>
        <w:t>、</w:t>
      </w:r>
      <w:r w:rsidR="00884E29" w:rsidRPr="00DB3473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投资者可通过以下途径了解或咨询相关情况</w:t>
      </w:r>
    </w:p>
    <w:p w:rsidR="00884E29" w:rsidRPr="00DB3473" w:rsidRDefault="00884E29" w:rsidP="00010075">
      <w:pPr>
        <w:pStyle w:val="a6"/>
        <w:autoSpaceDE w:val="0"/>
        <w:autoSpaceDN w:val="0"/>
        <w:adjustRightInd w:val="0"/>
        <w:spacing w:line="500" w:lineRule="exact"/>
        <w:ind w:left="420" w:firstLineChars="0" w:firstLine="0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DB3473">
        <w:rPr>
          <w:rFonts w:asciiTheme="minorEastAsia" w:eastAsiaTheme="minorEastAsia" w:hAnsiTheme="minorEastAsia" w:hint="eastAsia"/>
          <w:sz w:val="24"/>
        </w:rPr>
        <w:t>1.</w:t>
      </w:r>
      <w:r w:rsidRPr="00DB3473">
        <w:rPr>
          <w:rFonts w:asciiTheme="minorEastAsia" w:eastAsiaTheme="minorEastAsia" w:hAnsiTheme="minorEastAsia" w:cs="宋体" w:hint="eastAsia"/>
          <w:kern w:val="0"/>
          <w:sz w:val="24"/>
        </w:rPr>
        <w:t xml:space="preserve"> 浙江同花顺基金销售有限公司</w:t>
      </w:r>
    </w:p>
    <w:tbl>
      <w:tblPr>
        <w:tblW w:w="7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269"/>
        <w:gridCol w:w="1134"/>
        <w:gridCol w:w="2834"/>
      </w:tblGrid>
      <w:tr w:rsidR="00884E29" w:rsidRPr="00DB3473" w:rsidTr="00884E2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29" w:rsidRPr="00DB3473" w:rsidRDefault="00884E29" w:rsidP="00010075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DB3473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办公地址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29" w:rsidRPr="00DB3473" w:rsidRDefault="00884E29" w:rsidP="00010075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DB3473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杭州市余杭区五常街道同顺街18号同花顺大楼4层</w:t>
            </w:r>
          </w:p>
        </w:tc>
      </w:tr>
      <w:tr w:rsidR="00884E29" w:rsidRPr="00DB3473" w:rsidTr="00884E2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29" w:rsidRPr="00DB3473" w:rsidRDefault="00884E29" w:rsidP="00010075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DB3473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联系人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29" w:rsidRPr="00DB3473" w:rsidRDefault="00884E29" w:rsidP="00010075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DB3473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董一锋</w:t>
            </w:r>
          </w:p>
        </w:tc>
      </w:tr>
      <w:tr w:rsidR="00884E29" w:rsidRPr="00DB3473" w:rsidTr="00884E2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29" w:rsidRPr="00DB3473" w:rsidRDefault="00884E29" w:rsidP="00010075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DB3473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客服电话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29" w:rsidRPr="00DB3473" w:rsidRDefault="00884E29" w:rsidP="00010075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DB3473">
              <w:rPr>
                <w:rFonts w:asciiTheme="minorEastAsia" w:eastAsiaTheme="minorEastAsia" w:hAnsiTheme="minorEastAsia" w:cs="宋体"/>
                <w:sz w:val="24"/>
                <w:lang w:val="zh-CN"/>
              </w:rPr>
              <w:t>4008-773-772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29" w:rsidRPr="00DB3473" w:rsidRDefault="00884E29" w:rsidP="00010075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DB3473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网址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E29" w:rsidRPr="00DB3473" w:rsidRDefault="009E523E" w:rsidP="00010075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hyperlink r:id="rId7" w:history="1">
              <w:r w:rsidR="00884E29" w:rsidRPr="00DB3473">
                <w:rPr>
                  <w:rFonts w:asciiTheme="minorEastAsia" w:eastAsiaTheme="minorEastAsia" w:hAnsiTheme="minorEastAsia" w:cs="宋体"/>
                  <w:sz w:val="24"/>
                  <w:lang w:val="zh-CN"/>
                </w:rPr>
                <w:t>www.ijijin.com</w:t>
              </w:r>
            </w:hyperlink>
            <w:r w:rsidR="00884E29" w:rsidRPr="00DB3473">
              <w:rPr>
                <w:rFonts w:asciiTheme="minorEastAsia" w:eastAsiaTheme="minorEastAsia" w:hAnsiTheme="minorEastAsia" w:cs="宋体"/>
                <w:sz w:val="24"/>
                <w:lang w:val="zh-CN"/>
              </w:rPr>
              <w:t>.cn</w:t>
            </w:r>
          </w:p>
        </w:tc>
      </w:tr>
    </w:tbl>
    <w:p w:rsidR="00884E29" w:rsidRPr="00DB3473" w:rsidRDefault="00884E29" w:rsidP="00010075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DB3473">
        <w:rPr>
          <w:rFonts w:asciiTheme="minorEastAsia" w:eastAsiaTheme="minorEastAsia" w:hAnsiTheme="minorEastAsia" w:hint="eastAsia"/>
          <w:sz w:val="24"/>
        </w:rPr>
        <w:t>2.银华基金管理股份有限公司</w:t>
      </w:r>
    </w:p>
    <w:tbl>
      <w:tblPr>
        <w:tblW w:w="440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6239"/>
      </w:tblGrid>
      <w:tr w:rsidR="00884E29" w:rsidRPr="00DB3473" w:rsidTr="00591EE6">
        <w:tc>
          <w:tcPr>
            <w:tcW w:w="848" w:type="pct"/>
            <w:vAlign w:val="center"/>
          </w:tcPr>
          <w:p w:rsidR="00884E29" w:rsidRPr="00DB3473" w:rsidRDefault="00884E29" w:rsidP="00010075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DB3473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客服电话</w:t>
            </w:r>
          </w:p>
        </w:tc>
        <w:tc>
          <w:tcPr>
            <w:tcW w:w="4152" w:type="pct"/>
            <w:vAlign w:val="center"/>
          </w:tcPr>
          <w:p w:rsidR="00884E29" w:rsidRPr="00DB3473" w:rsidRDefault="00884E29" w:rsidP="00010075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B34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400-678-3333</w:t>
            </w:r>
            <w:r w:rsidRPr="00DB3473">
              <w:rPr>
                <w:rFonts w:asciiTheme="minorEastAsia" w:eastAsiaTheme="minorEastAsia" w:hAnsiTheme="minorEastAsia" w:cs="宋体" w:hint="eastAsia"/>
                <w:kern w:val="0"/>
                <w:sz w:val="24"/>
                <w:lang w:val="zh-CN"/>
              </w:rPr>
              <w:t>、</w:t>
            </w:r>
            <w:r w:rsidRPr="00DB34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010-85186558</w:t>
            </w:r>
          </w:p>
        </w:tc>
      </w:tr>
      <w:tr w:rsidR="00884E29" w:rsidRPr="00DB3473" w:rsidTr="00591EE6">
        <w:tc>
          <w:tcPr>
            <w:tcW w:w="848" w:type="pct"/>
            <w:vAlign w:val="center"/>
          </w:tcPr>
          <w:p w:rsidR="00884E29" w:rsidRPr="00DB3473" w:rsidRDefault="00884E29" w:rsidP="00010075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DB3473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网址</w:t>
            </w:r>
          </w:p>
        </w:tc>
        <w:tc>
          <w:tcPr>
            <w:tcW w:w="4152" w:type="pct"/>
            <w:vAlign w:val="center"/>
          </w:tcPr>
          <w:p w:rsidR="00884E29" w:rsidRPr="00DB3473" w:rsidRDefault="00884E29" w:rsidP="00010075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B3473">
              <w:rPr>
                <w:rFonts w:asciiTheme="minorEastAsia" w:eastAsiaTheme="minorEastAsia" w:hAnsiTheme="minorEastAsia" w:cs="宋体"/>
                <w:kern w:val="0"/>
                <w:sz w:val="24"/>
              </w:rPr>
              <w:t>www.yhfund.com.cn</w:t>
            </w:r>
          </w:p>
        </w:tc>
      </w:tr>
    </w:tbl>
    <w:p w:rsidR="00884E29" w:rsidRPr="00DB3473" w:rsidRDefault="00884E29" w:rsidP="00010075">
      <w:pPr>
        <w:autoSpaceDE w:val="0"/>
        <w:autoSpaceDN w:val="0"/>
        <w:adjustRightInd w:val="0"/>
        <w:spacing w:line="500" w:lineRule="exact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</w:p>
    <w:p w:rsidR="00884E29" w:rsidRPr="00DB3473" w:rsidRDefault="00C9624D" w:rsidP="00010075">
      <w:pPr>
        <w:autoSpaceDE w:val="0"/>
        <w:autoSpaceDN w:val="0"/>
        <w:adjustRightInd w:val="0"/>
        <w:spacing w:line="500" w:lineRule="exact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DB3473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四</w:t>
      </w:r>
      <w:r w:rsidR="00884E29" w:rsidRPr="00DB3473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、重要提示</w:t>
      </w:r>
    </w:p>
    <w:p w:rsidR="00884E29" w:rsidRPr="00DB3473" w:rsidRDefault="004E4B4F" w:rsidP="00010075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1、</w:t>
      </w:r>
      <w:r w:rsidR="00884E29" w:rsidRPr="00DB3473">
        <w:rPr>
          <w:rFonts w:asciiTheme="minorEastAsia" w:eastAsiaTheme="minorEastAsia" w:hAnsiTheme="minorEastAsia" w:cs="宋体" w:hint="eastAsia"/>
          <w:kern w:val="0"/>
          <w:sz w:val="24"/>
        </w:rPr>
        <w:t>本公告的解释权归银华基金管理股份有限公司所有。</w:t>
      </w:r>
    </w:p>
    <w:p w:rsidR="00DA3DE0" w:rsidRDefault="004E4B4F" w:rsidP="00010075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F42449">
        <w:rPr>
          <w:rFonts w:asciiTheme="minorEastAsia" w:eastAsiaTheme="minorEastAsia" w:hAnsiTheme="minorEastAsia" w:cs="宋体" w:hint="eastAsia"/>
          <w:kern w:val="0"/>
          <w:sz w:val="24"/>
        </w:rPr>
        <w:t>2、</w:t>
      </w:r>
      <w:r w:rsidR="007405D6" w:rsidRPr="00010075">
        <w:rPr>
          <w:rFonts w:asciiTheme="minorEastAsia" w:eastAsiaTheme="minorEastAsia" w:hAnsiTheme="minorEastAsia" w:cs="宋体" w:hint="eastAsia"/>
          <w:kern w:val="0"/>
          <w:sz w:val="24"/>
        </w:rPr>
        <w:t>自</w:t>
      </w:r>
      <w:r w:rsidR="007405D6" w:rsidRPr="00010075">
        <w:rPr>
          <w:rFonts w:asciiTheme="minorEastAsia" w:eastAsiaTheme="minorEastAsia" w:hAnsiTheme="minorEastAsia" w:cs="宋体"/>
          <w:kern w:val="0"/>
          <w:sz w:val="24"/>
        </w:rPr>
        <w:t>2020年1月22日起，继续对</w:t>
      </w:r>
      <w:r w:rsidR="007405D6" w:rsidRPr="00010075">
        <w:rPr>
          <w:rFonts w:asciiTheme="minorEastAsia" w:eastAsiaTheme="minorEastAsia" w:hAnsiTheme="minorEastAsia" w:cs="宋体" w:hint="eastAsia"/>
          <w:kern w:val="0"/>
          <w:sz w:val="24"/>
        </w:rPr>
        <w:t>银华汇利灵活配置混合基金</w:t>
      </w:r>
      <w:r w:rsidR="007405D6" w:rsidRPr="00010075">
        <w:rPr>
          <w:rFonts w:asciiTheme="minorEastAsia" w:eastAsiaTheme="minorEastAsia" w:hAnsiTheme="minorEastAsia" w:cs="宋体"/>
          <w:kern w:val="0"/>
          <w:sz w:val="24"/>
        </w:rPr>
        <w:t>A类基金份额、C类基金份额大额申购（含定期定额投资及转换转入）业务进行限制</w:t>
      </w:r>
      <w:r w:rsidR="00742396" w:rsidRPr="00742396">
        <w:rPr>
          <w:rFonts w:asciiTheme="minorEastAsia" w:eastAsiaTheme="minorEastAsia" w:hAnsiTheme="minorEastAsia" w:cs="宋体" w:hint="eastAsia"/>
          <w:kern w:val="0"/>
          <w:sz w:val="24"/>
        </w:rPr>
        <w:t>，即</w:t>
      </w:r>
      <w:r w:rsidRPr="00F42449">
        <w:rPr>
          <w:rFonts w:asciiTheme="minorEastAsia" w:eastAsiaTheme="minorEastAsia" w:hAnsiTheme="minorEastAsia" w:cs="宋体" w:hint="eastAsia"/>
          <w:kern w:val="0"/>
          <w:sz w:val="24"/>
        </w:rPr>
        <w:t>单日每个基金账户累计申购</w:t>
      </w:r>
      <w:r w:rsidR="00B6495B" w:rsidRPr="00B6495B">
        <w:rPr>
          <w:rFonts w:asciiTheme="minorEastAsia" w:eastAsiaTheme="minorEastAsia" w:hAnsiTheme="minorEastAsia" w:cs="宋体" w:hint="eastAsia"/>
          <w:kern w:val="0"/>
          <w:sz w:val="24"/>
        </w:rPr>
        <w:t>银华汇利灵活配置混合</w:t>
      </w:r>
      <w:r w:rsidRPr="00F42449">
        <w:rPr>
          <w:rFonts w:asciiTheme="minorEastAsia" w:eastAsiaTheme="minorEastAsia" w:hAnsiTheme="minorEastAsia" w:cs="宋体" w:hint="eastAsia"/>
          <w:kern w:val="0"/>
          <w:sz w:val="24"/>
        </w:rPr>
        <w:t>A、</w:t>
      </w:r>
      <w:r w:rsidR="00B6495B" w:rsidRPr="00B6495B">
        <w:rPr>
          <w:rFonts w:asciiTheme="minorEastAsia" w:eastAsiaTheme="minorEastAsia" w:hAnsiTheme="minorEastAsia" w:cs="宋体" w:hint="eastAsia"/>
          <w:kern w:val="0"/>
          <w:sz w:val="24"/>
        </w:rPr>
        <w:t>银华汇利灵活配置混合</w:t>
      </w:r>
      <w:r w:rsidRPr="00F42449">
        <w:rPr>
          <w:rFonts w:asciiTheme="minorEastAsia" w:eastAsiaTheme="minorEastAsia" w:hAnsiTheme="minorEastAsia" w:cs="宋体"/>
          <w:kern w:val="0"/>
          <w:sz w:val="24"/>
        </w:rPr>
        <w:t>C</w:t>
      </w:r>
      <w:r w:rsidRPr="00F42449">
        <w:rPr>
          <w:rFonts w:asciiTheme="minorEastAsia" w:eastAsiaTheme="minorEastAsia" w:hAnsiTheme="minorEastAsia" w:cs="宋体" w:hint="eastAsia"/>
          <w:kern w:val="0"/>
          <w:sz w:val="24"/>
        </w:rPr>
        <w:t xml:space="preserve">的合计金额不超过10万元，若超过10万元, </w:t>
      </w:r>
      <w:r w:rsidR="00B6495B" w:rsidRPr="00B6495B">
        <w:rPr>
          <w:rFonts w:asciiTheme="minorEastAsia" w:eastAsiaTheme="minorEastAsia" w:hAnsiTheme="minorEastAsia" w:cs="宋体" w:hint="eastAsia"/>
          <w:kern w:val="0"/>
          <w:sz w:val="24"/>
        </w:rPr>
        <w:t>银华汇利灵活配置混合</w:t>
      </w:r>
      <w:r w:rsidRPr="00F42449">
        <w:rPr>
          <w:rFonts w:asciiTheme="minorEastAsia" w:eastAsiaTheme="minorEastAsia" w:hAnsiTheme="minorEastAsia" w:cs="宋体" w:hint="eastAsia"/>
          <w:kern w:val="0"/>
          <w:sz w:val="24"/>
        </w:rPr>
        <w:t>基金管理人有权部分或全部拒绝</w:t>
      </w:r>
      <w:r w:rsidR="00B6495B" w:rsidRPr="00B6495B">
        <w:rPr>
          <w:rFonts w:asciiTheme="minorEastAsia" w:eastAsiaTheme="minorEastAsia" w:hAnsiTheme="minorEastAsia" w:cs="宋体" w:hint="eastAsia"/>
          <w:kern w:val="0"/>
          <w:sz w:val="24"/>
        </w:rPr>
        <w:t>银华汇利灵活配置混合</w:t>
      </w:r>
      <w:r w:rsidRPr="00F42449">
        <w:rPr>
          <w:rFonts w:asciiTheme="minorEastAsia" w:eastAsiaTheme="minorEastAsia" w:hAnsiTheme="minorEastAsia" w:cs="宋体" w:hint="eastAsia"/>
          <w:kern w:val="0"/>
          <w:sz w:val="24"/>
        </w:rPr>
        <w:t>A或</w:t>
      </w:r>
      <w:r w:rsidR="00B6495B" w:rsidRPr="00B6495B">
        <w:rPr>
          <w:rFonts w:asciiTheme="minorEastAsia" w:eastAsiaTheme="minorEastAsia" w:hAnsiTheme="minorEastAsia" w:cs="宋体" w:hint="eastAsia"/>
          <w:kern w:val="0"/>
          <w:sz w:val="24"/>
        </w:rPr>
        <w:t>银华汇利灵活配置混合</w:t>
      </w:r>
      <w:r w:rsidRPr="00F42449">
        <w:rPr>
          <w:rFonts w:asciiTheme="minorEastAsia" w:eastAsiaTheme="minorEastAsia" w:hAnsiTheme="minorEastAsia" w:cs="宋体"/>
          <w:kern w:val="0"/>
          <w:sz w:val="24"/>
        </w:rPr>
        <w:t>C</w:t>
      </w:r>
      <w:r w:rsidRPr="00F42449">
        <w:rPr>
          <w:rFonts w:asciiTheme="minorEastAsia" w:eastAsiaTheme="minorEastAsia" w:hAnsiTheme="minorEastAsia" w:cs="宋体" w:hint="eastAsia"/>
          <w:kern w:val="0"/>
          <w:sz w:val="24"/>
        </w:rPr>
        <w:t>的申购申请。</w:t>
      </w:r>
      <w:r w:rsidR="00B6495B" w:rsidRPr="00B6495B">
        <w:rPr>
          <w:rFonts w:asciiTheme="minorEastAsia" w:eastAsiaTheme="minorEastAsia" w:hAnsiTheme="minorEastAsia" w:cs="宋体" w:hint="eastAsia"/>
          <w:kern w:val="0"/>
          <w:sz w:val="24"/>
        </w:rPr>
        <w:t>在</w:t>
      </w:r>
      <w:r w:rsidR="00B6495B" w:rsidRPr="008D1413">
        <w:rPr>
          <w:rFonts w:asciiTheme="minorEastAsia" w:eastAsiaTheme="minorEastAsia" w:hAnsiTheme="minorEastAsia" w:cs="宋体" w:hint="eastAsia"/>
          <w:kern w:val="0"/>
          <w:sz w:val="24"/>
        </w:rPr>
        <w:t>银华汇利灵活配置混合</w:t>
      </w:r>
      <w:r w:rsidR="00B6495B" w:rsidRPr="00B6495B">
        <w:rPr>
          <w:rFonts w:asciiTheme="minorEastAsia" w:eastAsiaTheme="minorEastAsia" w:hAnsiTheme="minorEastAsia" w:cs="宋体" w:hint="eastAsia"/>
          <w:kern w:val="0"/>
          <w:sz w:val="24"/>
        </w:rPr>
        <w:t>基金限制大额申购（含定期定额投资及转换转入）业务期间，本公司将正常办理</w:t>
      </w:r>
      <w:r w:rsidR="00B6495B" w:rsidRPr="008D1413">
        <w:rPr>
          <w:rFonts w:asciiTheme="minorEastAsia" w:eastAsiaTheme="minorEastAsia" w:hAnsiTheme="minorEastAsia" w:cs="宋体" w:hint="eastAsia"/>
          <w:kern w:val="0"/>
          <w:sz w:val="24"/>
        </w:rPr>
        <w:t>银华汇利灵活配置混合</w:t>
      </w:r>
      <w:r w:rsidR="00B6495B" w:rsidRPr="00B6495B">
        <w:rPr>
          <w:rFonts w:asciiTheme="minorEastAsia" w:eastAsiaTheme="minorEastAsia" w:hAnsiTheme="minorEastAsia" w:cs="宋体" w:hint="eastAsia"/>
          <w:kern w:val="0"/>
          <w:sz w:val="24"/>
        </w:rPr>
        <w:t>基金A类份额的赎回和转换转出、C类基金份额的赎回业务。</w:t>
      </w:r>
      <w:r w:rsidRPr="00F42449">
        <w:rPr>
          <w:rFonts w:asciiTheme="minorEastAsia" w:eastAsiaTheme="minorEastAsia" w:hAnsiTheme="minorEastAsia" w:cs="宋体" w:hint="eastAsia"/>
          <w:kern w:val="0"/>
          <w:sz w:val="24"/>
        </w:rPr>
        <w:t>银华汇利灵活配置混合型证券投资基金恢复办理大额申购（含定期定额投资及转换转入）业务的具体时间将另行公告。</w:t>
      </w:r>
    </w:p>
    <w:p w:rsidR="00A43BA8" w:rsidRPr="00F42449" w:rsidRDefault="00A43BA8" w:rsidP="00010075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3、</w:t>
      </w:r>
      <w:r w:rsidR="00622A3E" w:rsidRPr="009C1FBD">
        <w:rPr>
          <w:rFonts w:asciiTheme="minorEastAsia" w:eastAsiaTheme="minorEastAsia" w:hAnsiTheme="minorEastAsia" w:hint="eastAsia"/>
          <w:sz w:val="24"/>
        </w:rPr>
        <w:t>银华惠添益货币</w:t>
      </w:r>
      <w:r w:rsidR="00622A3E">
        <w:rPr>
          <w:rFonts w:asciiTheme="minorEastAsia" w:eastAsiaTheme="minorEastAsia" w:hAnsiTheme="minorEastAsia" w:hint="eastAsia"/>
          <w:sz w:val="24"/>
        </w:rPr>
        <w:t>基金</w:t>
      </w:r>
      <w:r w:rsidR="00622A3E">
        <w:rPr>
          <w:rFonts w:asciiTheme="minorEastAsia" w:eastAsiaTheme="minorEastAsia" w:hAnsiTheme="minorEastAsia" w:cs="宋体" w:hint="eastAsia"/>
          <w:kern w:val="0"/>
          <w:sz w:val="24"/>
        </w:rPr>
        <w:t>开放</w:t>
      </w:r>
      <w:r w:rsidR="00622A3E" w:rsidRPr="00F42449">
        <w:rPr>
          <w:rFonts w:asciiTheme="minorEastAsia" w:eastAsiaTheme="minorEastAsia" w:hAnsiTheme="minorEastAsia" w:cs="宋体" w:hint="eastAsia"/>
          <w:kern w:val="0"/>
          <w:sz w:val="24"/>
        </w:rPr>
        <w:t>办理定期定额投资业务的具体时间将另行公告。</w:t>
      </w:r>
    </w:p>
    <w:p w:rsidR="005A455B" w:rsidRDefault="00A43BA8" w:rsidP="00010075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4</w:t>
      </w:r>
      <w:r w:rsidR="00BE6D0C" w:rsidRPr="00010075">
        <w:rPr>
          <w:rFonts w:asciiTheme="minorEastAsia" w:eastAsiaTheme="minorEastAsia" w:hAnsiTheme="minorEastAsia" w:cs="宋体"/>
          <w:kern w:val="0"/>
          <w:sz w:val="24"/>
        </w:rPr>
        <w:t>、</w:t>
      </w:r>
      <w:r w:rsidR="005A455B" w:rsidRPr="009C1FBD">
        <w:rPr>
          <w:rFonts w:asciiTheme="minorEastAsia" w:eastAsiaTheme="minorEastAsia" w:hAnsiTheme="minorEastAsia" w:hint="eastAsia"/>
          <w:sz w:val="24"/>
        </w:rPr>
        <w:t>银华惠添益货币</w:t>
      </w:r>
      <w:r w:rsidR="005A455B">
        <w:rPr>
          <w:rFonts w:asciiTheme="minorEastAsia" w:eastAsiaTheme="minorEastAsia" w:hAnsiTheme="minorEastAsia" w:hint="eastAsia"/>
          <w:sz w:val="24"/>
        </w:rPr>
        <w:t>基金将</w:t>
      </w:r>
      <w:r w:rsidR="005A455B" w:rsidRPr="00010075">
        <w:rPr>
          <w:rFonts w:asciiTheme="minorEastAsia" w:eastAsiaTheme="minorEastAsia" w:hAnsiTheme="minorEastAsia" w:cs="宋体" w:hint="eastAsia"/>
          <w:kern w:val="0"/>
          <w:sz w:val="24"/>
        </w:rPr>
        <w:t>于</w:t>
      </w:r>
      <w:r w:rsidR="005A455B" w:rsidRPr="00010075">
        <w:rPr>
          <w:rFonts w:asciiTheme="minorEastAsia" w:eastAsiaTheme="minorEastAsia" w:hAnsiTheme="minorEastAsia" w:cs="宋体"/>
          <w:kern w:val="0"/>
          <w:sz w:val="24"/>
        </w:rPr>
        <w:t>2020年1月22日暂停申购业务，在暂停申购业务期间，本公司将正常办理银华</w:t>
      </w:r>
      <w:r w:rsidR="005A455B" w:rsidRPr="00010075">
        <w:rPr>
          <w:rFonts w:asciiTheme="minorEastAsia" w:eastAsiaTheme="minorEastAsia" w:hAnsiTheme="minorEastAsia" w:cs="宋体" w:hint="eastAsia"/>
          <w:kern w:val="0"/>
          <w:sz w:val="24"/>
        </w:rPr>
        <w:t>惠添益</w:t>
      </w:r>
      <w:r w:rsidR="005A455B" w:rsidRPr="00010075">
        <w:rPr>
          <w:rFonts w:asciiTheme="minorEastAsia" w:eastAsiaTheme="minorEastAsia" w:hAnsiTheme="minorEastAsia" w:cs="宋体"/>
          <w:kern w:val="0"/>
          <w:sz w:val="24"/>
        </w:rPr>
        <w:t>货币</w:t>
      </w:r>
      <w:r w:rsidR="005A455B" w:rsidRPr="00010075">
        <w:rPr>
          <w:rFonts w:asciiTheme="minorEastAsia" w:eastAsiaTheme="minorEastAsia" w:hAnsiTheme="minorEastAsia" w:cs="宋体" w:hint="eastAsia"/>
          <w:kern w:val="0"/>
          <w:sz w:val="24"/>
        </w:rPr>
        <w:t>的赎回业务。</w:t>
      </w:r>
      <w:r w:rsidR="005A455B" w:rsidRPr="009C1FBD">
        <w:rPr>
          <w:rFonts w:asciiTheme="minorEastAsia" w:eastAsiaTheme="minorEastAsia" w:hAnsiTheme="minorEastAsia" w:hint="eastAsia"/>
          <w:sz w:val="24"/>
        </w:rPr>
        <w:t>银华惠添益货币</w:t>
      </w:r>
      <w:r w:rsidR="005A455B" w:rsidRPr="00010075">
        <w:rPr>
          <w:rFonts w:asciiTheme="minorEastAsia" w:eastAsiaTheme="minorEastAsia" w:hAnsiTheme="minorEastAsia" w:cs="宋体" w:hint="eastAsia"/>
          <w:kern w:val="0"/>
          <w:sz w:val="24"/>
        </w:rPr>
        <w:t>基金将于</w:t>
      </w:r>
      <w:r w:rsidR="005A455B" w:rsidRPr="00010075">
        <w:rPr>
          <w:rFonts w:asciiTheme="minorEastAsia" w:eastAsiaTheme="minorEastAsia" w:hAnsiTheme="minorEastAsia" w:cs="宋体"/>
          <w:kern w:val="0"/>
          <w:sz w:val="24"/>
        </w:rPr>
        <w:t>2020年1月23日起恢复办理申购业务，敬请投资者留意。</w:t>
      </w:r>
    </w:p>
    <w:p w:rsidR="000744ED" w:rsidRDefault="005A455B" w:rsidP="00010075">
      <w:pPr>
        <w:spacing w:line="500" w:lineRule="exact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5、</w:t>
      </w:r>
      <w:r w:rsidR="00A7052D" w:rsidRPr="00010075">
        <w:rPr>
          <w:rFonts w:asciiTheme="minorEastAsia" w:eastAsiaTheme="minorEastAsia" w:hAnsiTheme="minorEastAsia" w:cs="宋体" w:hint="eastAsia"/>
          <w:kern w:val="0"/>
          <w:sz w:val="24"/>
        </w:rPr>
        <w:t>银华尊尚稳健养老一年持有混合发起式（</w:t>
      </w:r>
      <w:r w:rsidR="00A7052D" w:rsidRPr="00010075">
        <w:rPr>
          <w:rFonts w:asciiTheme="minorEastAsia" w:eastAsiaTheme="minorEastAsia" w:hAnsiTheme="minorEastAsia" w:cs="宋体"/>
          <w:kern w:val="0"/>
          <w:sz w:val="24"/>
        </w:rPr>
        <w:t>FOF）</w:t>
      </w:r>
      <w:r w:rsidR="00A7052D">
        <w:rPr>
          <w:rFonts w:asciiTheme="minorEastAsia" w:eastAsiaTheme="minorEastAsia" w:hAnsiTheme="minorEastAsia" w:cs="宋体" w:hint="eastAsia"/>
          <w:kern w:val="0"/>
          <w:sz w:val="24"/>
        </w:rPr>
        <w:t>基金</w:t>
      </w:r>
      <w:r w:rsidR="00A7052D" w:rsidRPr="00010075">
        <w:rPr>
          <w:rFonts w:asciiTheme="minorEastAsia" w:eastAsiaTheme="minorEastAsia" w:hAnsiTheme="minorEastAsia" w:cs="宋体" w:hint="eastAsia"/>
          <w:kern w:val="0"/>
          <w:sz w:val="24"/>
        </w:rPr>
        <w:t>、银华尊和养老</w:t>
      </w:r>
      <w:r w:rsidR="00A7052D" w:rsidRPr="00010075">
        <w:rPr>
          <w:rFonts w:asciiTheme="minorEastAsia" w:eastAsiaTheme="minorEastAsia" w:hAnsiTheme="minorEastAsia" w:cs="宋体"/>
          <w:kern w:val="0"/>
          <w:sz w:val="24"/>
        </w:rPr>
        <w:t>2030三年持有混合发起式（FOF）</w:t>
      </w:r>
      <w:r w:rsidR="00A7052D">
        <w:rPr>
          <w:rFonts w:asciiTheme="minorEastAsia" w:eastAsiaTheme="minorEastAsia" w:hAnsiTheme="minorEastAsia" w:cs="宋体" w:hint="eastAsia"/>
          <w:kern w:val="0"/>
          <w:sz w:val="24"/>
        </w:rPr>
        <w:t>基金</w:t>
      </w:r>
      <w:r w:rsidR="00A7052D" w:rsidRPr="00010075">
        <w:rPr>
          <w:rFonts w:asciiTheme="minorEastAsia" w:eastAsiaTheme="minorEastAsia" w:hAnsiTheme="minorEastAsia" w:cs="宋体" w:hint="eastAsia"/>
          <w:kern w:val="0"/>
          <w:sz w:val="24"/>
        </w:rPr>
        <w:t>、银华尊和养老</w:t>
      </w:r>
      <w:r w:rsidR="00A7052D" w:rsidRPr="00010075">
        <w:rPr>
          <w:rFonts w:asciiTheme="minorEastAsia" w:eastAsiaTheme="minorEastAsia" w:hAnsiTheme="minorEastAsia" w:cs="宋体"/>
          <w:kern w:val="0"/>
          <w:sz w:val="24"/>
        </w:rPr>
        <w:t>2040三年持有混合发起式（FOF）</w:t>
      </w:r>
      <w:r w:rsidR="00A7052D">
        <w:rPr>
          <w:rFonts w:asciiTheme="minorEastAsia" w:eastAsiaTheme="minorEastAsia" w:hAnsiTheme="minorEastAsia" w:cs="宋体" w:hint="eastAsia"/>
          <w:kern w:val="0"/>
          <w:sz w:val="24"/>
        </w:rPr>
        <w:t>基金正常</w:t>
      </w:r>
      <w:r w:rsidR="00A7052D" w:rsidRPr="00010075">
        <w:rPr>
          <w:rFonts w:asciiTheme="minorEastAsia" w:eastAsiaTheme="minorEastAsia" w:hAnsiTheme="minorEastAsia" w:cs="宋体" w:hint="eastAsia"/>
          <w:kern w:val="0"/>
          <w:sz w:val="24"/>
        </w:rPr>
        <w:t>开放日常申购、定期定额投资业务，基金管理人自基金份额最短持有期限锁定结束后开始办理赎回，具体业务办理时间</w:t>
      </w:r>
      <w:r w:rsidR="00125D99">
        <w:rPr>
          <w:rFonts w:asciiTheme="minorEastAsia" w:eastAsiaTheme="minorEastAsia" w:hAnsiTheme="minorEastAsia" w:cs="宋体" w:hint="eastAsia"/>
          <w:kern w:val="0"/>
          <w:sz w:val="24"/>
        </w:rPr>
        <w:t>将</w:t>
      </w:r>
      <w:r w:rsidR="00A7052D" w:rsidRPr="00010075">
        <w:rPr>
          <w:rFonts w:asciiTheme="minorEastAsia" w:eastAsiaTheme="minorEastAsia" w:hAnsiTheme="minorEastAsia" w:cs="宋体" w:hint="eastAsia"/>
          <w:kern w:val="0"/>
          <w:sz w:val="24"/>
        </w:rPr>
        <w:t>在赎回开始公告中规定。</w:t>
      </w:r>
    </w:p>
    <w:p w:rsidR="00ED49DF" w:rsidRPr="00ED49DF" w:rsidRDefault="00ED49DF" w:rsidP="00ED49DF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、本公司</w:t>
      </w:r>
      <w:r>
        <w:rPr>
          <w:rFonts w:ascii="宋体" w:hAnsi="宋体"/>
          <w:sz w:val="24"/>
        </w:rPr>
        <w:t>旗下货币基金</w:t>
      </w:r>
      <w:r>
        <w:rPr>
          <w:rFonts w:ascii="宋体" w:hAnsi="宋体" w:hint="eastAsia"/>
          <w:sz w:val="24"/>
        </w:rPr>
        <w:t>及其他</w:t>
      </w:r>
      <w:r>
        <w:rPr>
          <w:rFonts w:ascii="宋体" w:hAnsi="宋体"/>
          <w:sz w:val="24"/>
        </w:rPr>
        <w:t>基金的</w:t>
      </w:r>
      <w:r>
        <w:rPr>
          <w:rFonts w:ascii="宋体" w:hAnsi="宋体" w:hint="eastAsia"/>
          <w:sz w:val="24"/>
        </w:rPr>
        <w:t>C类</w:t>
      </w:r>
      <w:r>
        <w:rPr>
          <w:rFonts w:ascii="宋体" w:hAnsi="宋体"/>
          <w:sz w:val="24"/>
        </w:rPr>
        <w:t>份额不收取申购费用，故不适用</w:t>
      </w:r>
      <w:r>
        <w:rPr>
          <w:rFonts w:ascii="宋体" w:hAnsi="宋体" w:hint="eastAsia"/>
          <w:sz w:val="24"/>
        </w:rPr>
        <w:t>上述</w:t>
      </w:r>
      <w:r>
        <w:rPr>
          <w:rFonts w:ascii="宋体" w:hAnsi="宋体"/>
          <w:sz w:val="24"/>
        </w:rPr>
        <w:t>费率优惠</w:t>
      </w:r>
      <w:r>
        <w:rPr>
          <w:rFonts w:ascii="宋体" w:hAnsi="宋体" w:hint="eastAsia"/>
          <w:sz w:val="24"/>
        </w:rPr>
        <w:t>活动</w:t>
      </w:r>
      <w:r>
        <w:rPr>
          <w:rFonts w:ascii="宋体" w:hAnsi="宋体"/>
          <w:sz w:val="24"/>
        </w:rPr>
        <w:t>。</w:t>
      </w:r>
    </w:p>
    <w:p w:rsidR="00BE6D0C" w:rsidRPr="004E4B4F" w:rsidRDefault="00BE6D0C" w:rsidP="00010075">
      <w:pPr>
        <w:spacing w:line="500" w:lineRule="exact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0A48F1" w:rsidRDefault="00884E29" w:rsidP="00010075">
      <w:pPr>
        <w:spacing w:line="500" w:lineRule="exact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DB3473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风险提示：</w:t>
      </w:r>
    </w:p>
    <w:p w:rsidR="000A48F1" w:rsidRDefault="000A48F1" w:rsidP="00010075">
      <w:pPr>
        <w:spacing w:line="500" w:lineRule="exact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1、</w:t>
      </w:r>
      <w:r w:rsidRPr="00010075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“养老”的名称不代表收益保障或其他任何形式的收益承诺，且本基金不保本，可能发生亏损。养老目标基金，设置了投资人最短持有期限，投资人无法随时赎回。投资有风险，投资人在进行投资决策前，请仔细阅读本招募说明书、基金合同等信息披露文件，了解基金的风险收益特征，并根据自身的投资目的、投资期限、投资经验、资产状况等判断基金是否和投资人的风险承受能力相适应。</w:t>
      </w:r>
    </w:p>
    <w:p w:rsidR="00884E29" w:rsidRPr="00DB3473" w:rsidRDefault="000A48F1" w:rsidP="00010075">
      <w:pPr>
        <w:spacing w:line="500" w:lineRule="exact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2、</w:t>
      </w:r>
      <w:r w:rsidR="00884E29" w:rsidRPr="00DB3473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基金管理人承诺以诚实信用、勤勉尽责的原则管理和运用基金资产</w:t>
      </w:r>
      <w:bookmarkStart w:id="0" w:name="_GoBack"/>
      <w:bookmarkEnd w:id="0"/>
      <w:r w:rsidR="00884E29" w:rsidRPr="00DB3473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，但不保证基金一定盈利，也不保证最低收益。敬请投资者留意投资风险。</w:t>
      </w:r>
    </w:p>
    <w:p w:rsidR="00884E29" w:rsidRPr="00DB3473" w:rsidRDefault="00884E29" w:rsidP="00010075">
      <w:pPr>
        <w:autoSpaceDE w:val="0"/>
        <w:autoSpaceDN w:val="0"/>
        <w:adjustRightInd w:val="0"/>
        <w:spacing w:line="500" w:lineRule="exact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DB3473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特此公告。</w:t>
      </w:r>
    </w:p>
    <w:p w:rsidR="00F17F2A" w:rsidRDefault="00F17F2A" w:rsidP="00010075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884E29" w:rsidRPr="00DB3473" w:rsidRDefault="00884E29" w:rsidP="00010075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DB3473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银华基金管理股份有限公司</w:t>
      </w:r>
    </w:p>
    <w:p w:rsidR="00884E29" w:rsidRPr="00DB3473" w:rsidRDefault="00884E29" w:rsidP="00010075">
      <w:pPr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sz w:val="24"/>
        </w:rPr>
      </w:pPr>
      <w:r w:rsidRPr="00DB3473">
        <w:rPr>
          <w:rFonts w:asciiTheme="minorEastAsia" w:eastAsiaTheme="minorEastAsia" w:hAnsiTheme="minorEastAsia" w:cs="宋体"/>
          <w:kern w:val="0"/>
          <w:sz w:val="24"/>
        </w:rPr>
        <w:t>2020</w:t>
      </w:r>
      <w:r w:rsidRPr="00DB3473">
        <w:rPr>
          <w:rFonts w:asciiTheme="minorEastAsia" w:eastAsiaTheme="minorEastAsia" w:hAnsiTheme="minorEastAsia" w:cs="宋体" w:hint="eastAsia"/>
          <w:kern w:val="0"/>
          <w:sz w:val="24"/>
        </w:rPr>
        <w:t>年</w:t>
      </w:r>
      <w:r w:rsidRPr="00DB3473">
        <w:rPr>
          <w:rFonts w:asciiTheme="minorEastAsia" w:eastAsiaTheme="minorEastAsia" w:hAnsiTheme="minorEastAsia" w:cs="宋体"/>
          <w:kern w:val="0"/>
          <w:sz w:val="24"/>
        </w:rPr>
        <w:t>1</w:t>
      </w:r>
      <w:r w:rsidRPr="00DB3473">
        <w:rPr>
          <w:rFonts w:asciiTheme="minorEastAsia" w:eastAsiaTheme="minorEastAsia" w:hAnsiTheme="minorEastAsia" w:cs="宋体" w:hint="eastAsia"/>
          <w:kern w:val="0"/>
          <w:sz w:val="24"/>
        </w:rPr>
        <w:t>月</w:t>
      </w:r>
      <w:r w:rsidR="00DB3473">
        <w:rPr>
          <w:rFonts w:asciiTheme="minorEastAsia" w:eastAsiaTheme="minorEastAsia" w:hAnsiTheme="minorEastAsia" w:cs="宋体" w:hint="eastAsia"/>
          <w:kern w:val="0"/>
          <w:sz w:val="24"/>
        </w:rPr>
        <w:t>21</w:t>
      </w:r>
      <w:r w:rsidRPr="00DB3473">
        <w:rPr>
          <w:rFonts w:asciiTheme="minorEastAsia" w:eastAsiaTheme="minorEastAsia" w:hAnsiTheme="minorEastAsia" w:cs="宋体" w:hint="eastAsia"/>
          <w:kern w:val="0"/>
          <w:sz w:val="24"/>
        </w:rPr>
        <w:t>日</w:t>
      </w:r>
    </w:p>
    <w:sectPr w:rsidR="00884E29" w:rsidRPr="00DB3473" w:rsidSect="009E523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B19" w:rsidRDefault="00731B19" w:rsidP="00884E29">
      <w:r>
        <w:separator/>
      </w:r>
    </w:p>
  </w:endnote>
  <w:endnote w:type="continuationSeparator" w:id="1">
    <w:p w:rsidR="00731B19" w:rsidRDefault="00731B19" w:rsidP="0088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2557483"/>
      <w:docPartObj>
        <w:docPartGallery w:val="Page Numbers (Bottom of Page)"/>
        <w:docPartUnique/>
      </w:docPartObj>
    </w:sdtPr>
    <w:sdtContent>
      <w:p w:rsidR="00884E29" w:rsidRDefault="009E523E">
        <w:pPr>
          <w:pStyle w:val="a4"/>
          <w:jc w:val="center"/>
        </w:pPr>
        <w:r>
          <w:fldChar w:fldCharType="begin"/>
        </w:r>
        <w:r w:rsidR="00884E29">
          <w:instrText>PAGE   \* MERGEFORMAT</w:instrText>
        </w:r>
        <w:r>
          <w:fldChar w:fldCharType="separate"/>
        </w:r>
        <w:r w:rsidR="00412A52" w:rsidRPr="00412A52">
          <w:rPr>
            <w:noProof/>
            <w:lang w:val="zh-CN"/>
          </w:rPr>
          <w:t>1</w:t>
        </w:r>
        <w:r>
          <w:fldChar w:fldCharType="end"/>
        </w:r>
      </w:p>
    </w:sdtContent>
  </w:sdt>
  <w:p w:rsidR="00884E29" w:rsidRDefault="00884E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B19" w:rsidRDefault="00731B19" w:rsidP="00884E29">
      <w:r>
        <w:separator/>
      </w:r>
    </w:p>
  </w:footnote>
  <w:footnote w:type="continuationSeparator" w:id="1">
    <w:p w:rsidR="00731B19" w:rsidRDefault="00731B19" w:rsidP="00884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29" w:rsidRDefault="00884E29" w:rsidP="00884E29">
    <w:pPr>
      <w:pStyle w:val="a3"/>
      <w:jc w:val="left"/>
    </w:pPr>
    <w:r>
      <w:rPr>
        <w:noProof/>
      </w:rPr>
      <w:drawing>
        <wp:inline distT="0" distB="0" distL="0" distR="0">
          <wp:extent cx="1857375" cy="401320"/>
          <wp:effectExtent l="0" t="0" r="0" b="0"/>
          <wp:docPr id="2" name="图片 2" descr="D:\A工作\公司文件\银华中英文全称logo（股份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D:\A工作\公司文件\银华中英文全称logo（股份）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3978" cy="40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55758"/>
    <w:multiLevelType w:val="hybridMultilevel"/>
    <w:tmpl w:val="4FC009E4"/>
    <w:lvl w:ilvl="0" w:tplc="34AE801C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E29"/>
    <w:rsid w:val="00010075"/>
    <w:rsid w:val="000744ED"/>
    <w:rsid w:val="000A48F1"/>
    <w:rsid w:val="000A65ED"/>
    <w:rsid w:val="00125D99"/>
    <w:rsid w:val="00213A2D"/>
    <w:rsid w:val="0021495D"/>
    <w:rsid w:val="002A01ED"/>
    <w:rsid w:val="00316853"/>
    <w:rsid w:val="00321920"/>
    <w:rsid w:val="003B00E6"/>
    <w:rsid w:val="003D0C74"/>
    <w:rsid w:val="003D50B9"/>
    <w:rsid w:val="00405248"/>
    <w:rsid w:val="00412A52"/>
    <w:rsid w:val="004447D1"/>
    <w:rsid w:val="004748ED"/>
    <w:rsid w:val="00490831"/>
    <w:rsid w:val="004E4B4F"/>
    <w:rsid w:val="004E4E64"/>
    <w:rsid w:val="004F6486"/>
    <w:rsid w:val="0053537F"/>
    <w:rsid w:val="0059188C"/>
    <w:rsid w:val="005A455B"/>
    <w:rsid w:val="00622A3E"/>
    <w:rsid w:val="00630D46"/>
    <w:rsid w:val="0063370E"/>
    <w:rsid w:val="00712B67"/>
    <w:rsid w:val="00720997"/>
    <w:rsid w:val="00731B19"/>
    <w:rsid w:val="007405D6"/>
    <w:rsid w:val="00742396"/>
    <w:rsid w:val="007C45E5"/>
    <w:rsid w:val="007D6FD9"/>
    <w:rsid w:val="00805FED"/>
    <w:rsid w:val="00810D39"/>
    <w:rsid w:val="00823A5C"/>
    <w:rsid w:val="00884E29"/>
    <w:rsid w:val="00925F65"/>
    <w:rsid w:val="00934DBA"/>
    <w:rsid w:val="00962E07"/>
    <w:rsid w:val="009E523E"/>
    <w:rsid w:val="00A007D7"/>
    <w:rsid w:val="00A43BA8"/>
    <w:rsid w:val="00A5441D"/>
    <w:rsid w:val="00A66C5A"/>
    <w:rsid w:val="00A7052D"/>
    <w:rsid w:val="00A72913"/>
    <w:rsid w:val="00B6495B"/>
    <w:rsid w:val="00B7276B"/>
    <w:rsid w:val="00B749B7"/>
    <w:rsid w:val="00B866D4"/>
    <w:rsid w:val="00BE6D0C"/>
    <w:rsid w:val="00BF0747"/>
    <w:rsid w:val="00BF6E1F"/>
    <w:rsid w:val="00C1715B"/>
    <w:rsid w:val="00C9624D"/>
    <w:rsid w:val="00CB67A6"/>
    <w:rsid w:val="00D17236"/>
    <w:rsid w:val="00DA3DE0"/>
    <w:rsid w:val="00DB3473"/>
    <w:rsid w:val="00DF7E9A"/>
    <w:rsid w:val="00E60AE5"/>
    <w:rsid w:val="00ED49DF"/>
    <w:rsid w:val="00F17F2A"/>
    <w:rsid w:val="00F40725"/>
    <w:rsid w:val="00F42449"/>
    <w:rsid w:val="00F57427"/>
    <w:rsid w:val="00FE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4E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4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4E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4E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4E29"/>
    <w:rPr>
      <w:sz w:val="18"/>
      <w:szCs w:val="18"/>
    </w:rPr>
  </w:style>
  <w:style w:type="paragraph" w:customStyle="1" w:styleId="080318">
    <w:name w:val="产品方案正文080318"/>
    <w:basedOn w:val="a"/>
    <w:qFormat/>
    <w:rsid w:val="00884E29"/>
    <w:pPr>
      <w:autoSpaceDE w:val="0"/>
      <w:autoSpaceDN w:val="0"/>
      <w:adjustRightInd w:val="0"/>
      <w:snapToGrid w:val="0"/>
      <w:spacing w:line="360" w:lineRule="auto"/>
      <w:ind w:firstLineChars="200" w:firstLine="200"/>
    </w:pPr>
    <w:rPr>
      <w:rFonts w:ascii="宋体" w:cs="宋体"/>
      <w:szCs w:val="20"/>
      <w:lang w:val="zh-CN"/>
    </w:rPr>
  </w:style>
  <w:style w:type="paragraph" w:styleId="a6">
    <w:name w:val="List Paragraph"/>
    <w:basedOn w:val="a"/>
    <w:uiPriority w:val="34"/>
    <w:qFormat/>
    <w:rsid w:val="00884E29"/>
    <w:pPr>
      <w:ind w:firstLineChars="200" w:firstLine="420"/>
    </w:pPr>
  </w:style>
  <w:style w:type="paragraph" w:customStyle="1" w:styleId="Default">
    <w:name w:val="Default"/>
    <w:rsid w:val="005A455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5ifun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2117</Characters>
  <Application>Microsoft Office Word</Application>
  <DocSecurity>4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lism</dc:creator>
  <cp:lastModifiedBy>JonMMx 2000</cp:lastModifiedBy>
  <cp:revision>2</cp:revision>
  <cp:lastPrinted>2020-01-20T08:56:00Z</cp:lastPrinted>
  <dcterms:created xsi:type="dcterms:W3CDTF">2020-01-20T16:01:00Z</dcterms:created>
  <dcterms:modified xsi:type="dcterms:W3CDTF">2020-01-20T16:01:00Z</dcterms:modified>
</cp:coreProperties>
</file>