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84A" w:rsidRDefault="00C5744D" w:rsidP="00C5744D">
      <w:pPr>
        <w:adjustRightInd w:val="0"/>
        <w:snapToGrid w:val="0"/>
        <w:jc w:val="center"/>
        <w:rPr>
          <w:rFonts w:ascii="宋体" w:hAnsi="宋体"/>
          <w:bCs/>
          <w:sz w:val="36"/>
          <w:szCs w:val="36"/>
        </w:rPr>
      </w:pPr>
      <w:r w:rsidRPr="00C5744D">
        <w:rPr>
          <w:rFonts w:ascii="宋体" w:hAnsi="宋体" w:hint="eastAsia"/>
          <w:bCs/>
          <w:sz w:val="36"/>
          <w:szCs w:val="36"/>
        </w:rPr>
        <w:t>浙江浙商证券资产管理有限公司</w:t>
      </w:r>
      <w:r>
        <w:rPr>
          <w:rFonts w:ascii="宋体" w:hAnsi="宋体" w:hint="eastAsia"/>
          <w:bCs/>
          <w:sz w:val="36"/>
          <w:szCs w:val="36"/>
        </w:rPr>
        <w:t>关于旗下</w:t>
      </w:r>
      <w:r w:rsidRPr="00C5744D">
        <w:rPr>
          <w:rFonts w:ascii="宋体" w:hAnsi="宋体"/>
          <w:bCs/>
          <w:sz w:val="36"/>
          <w:szCs w:val="36"/>
        </w:rPr>
        <w:t>浙商汇金中证浙江凤凰行动50交易型开放式指数证券投资基金</w:t>
      </w:r>
      <w:r w:rsidRPr="00C5744D">
        <w:rPr>
          <w:rFonts w:ascii="宋体" w:hAnsi="宋体" w:hint="eastAsia"/>
          <w:bCs/>
          <w:sz w:val="36"/>
          <w:szCs w:val="36"/>
        </w:rPr>
        <w:t>交易结算模式调整并相应修改招募说明书的公告</w:t>
      </w:r>
    </w:p>
    <w:p w:rsidR="003B16E3" w:rsidRDefault="003B16E3" w:rsidP="00C5744D">
      <w:pPr>
        <w:adjustRightInd w:val="0"/>
        <w:snapToGrid w:val="0"/>
        <w:jc w:val="center"/>
        <w:rPr>
          <w:rFonts w:ascii="宋体" w:hAnsi="宋体"/>
          <w:bCs/>
          <w:sz w:val="36"/>
          <w:szCs w:val="36"/>
        </w:rPr>
      </w:pPr>
    </w:p>
    <w:p w:rsidR="00C5744D" w:rsidRDefault="00C5744D" w:rsidP="006843D6">
      <w:pPr>
        <w:adjustRightInd w:val="0"/>
        <w:snapToGrid w:val="0"/>
        <w:ind w:firstLineChars="200" w:firstLine="480"/>
        <w:rPr>
          <w:rFonts w:ascii="宋体" w:hAnsi="宋体"/>
          <w:bCs/>
          <w:sz w:val="24"/>
          <w:szCs w:val="24"/>
        </w:rPr>
      </w:pPr>
      <w:r w:rsidRPr="00C5744D">
        <w:rPr>
          <w:rFonts w:ascii="宋体" w:hAnsi="宋体" w:hint="eastAsia"/>
          <w:bCs/>
          <w:sz w:val="24"/>
          <w:szCs w:val="24"/>
        </w:rPr>
        <w:t>根据上海证券交易所于2020年1月7日公告的《上海证券交易所交易型开放式指数基金业务实施细则（2020年修订）》（以下简称“《实施细则》”）及《浙商汇金中证浙江凤凰行动50交易型开放式指数证券投资基金基金合同》的有关规定，自2020年1月20日起，浙江浙商证券资产管理有限公司（以下简称“本公司”）将调整前述基金的交易结算模式，并相应修改</w:t>
      </w:r>
      <w:r w:rsidR="006843D6">
        <w:rPr>
          <w:rFonts w:ascii="宋体" w:hAnsi="宋体" w:hint="eastAsia"/>
          <w:bCs/>
          <w:sz w:val="24"/>
          <w:szCs w:val="24"/>
        </w:rPr>
        <w:t>《</w:t>
      </w:r>
      <w:r w:rsidR="006843D6" w:rsidRPr="006843D6">
        <w:rPr>
          <w:rFonts w:ascii="宋体" w:hAnsi="宋体" w:hint="eastAsia"/>
          <w:bCs/>
          <w:sz w:val="24"/>
          <w:szCs w:val="24"/>
        </w:rPr>
        <w:t>浙商汇金中证浙江凤凰行动50交易型开放式指数证券投资基金</w:t>
      </w:r>
      <w:r w:rsidRPr="00C5744D">
        <w:rPr>
          <w:rFonts w:ascii="宋体" w:hAnsi="宋体" w:hint="eastAsia"/>
          <w:bCs/>
          <w:sz w:val="24"/>
          <w:szCs w:val="24"/>
        </w:rPr>
        <w:t>基金招募说明书</w:t>
      </w:r>
      <w:r w:rsidR="006843D6">
        <w:rPr>
          <w:rFonts w:ascii="宋体" w:hAnsi="宋体" w:hint="eastAsia"/>
          <w:bCs/>
          <w:sz w:val="24"/>
          <w:szCs w:val="24"/>
        </w:rPr>
        <w:t>》（以下简称“《招募说明书》”）</w:t>
      </w:r>
      <w:r w:rsidRPr="00C5744D">
        <w:rPr>
          <w:rFonts w:ascii="宋体" w:hAnsi="宋体" w:hint="eastAsia"/>
          <w:bCs/>
          <w:sz w:val="24"/>
          <w:szCs w:val="24"/>
        </w:rPr>
        <w:t>相关条款。</w:t>
      </w:r>
    </w:p>
    <w:p w:rsidR="00C5744D" w:rsidRDefault="00C5744D" w:rsidP="00C5744D">
      <w:pPr>
        <w:adjustRightInd w:val="0"/>
        <w:snapToGrid w:val="0"/>
        <w:ind w:firstLineChars="200" w:firstLine="480"/>
        <w:rPr>
          <w:rFonts w:ascii="宋体" w:hAnsi="宋体"/>
          <w:bCs/>
          <w:sz w:val="24"/>
          <w:szCs w:val="24"/>
        </w:rPr>
      </w:pPr>
      <w:r w:rsidRPr="00C5744D">
        <w:rPr>
          <w:rFonts w:ascii="宋体" w:hAnsi="宋体" w:hint="eastAsia"/>
          <w:bCs/>
          <w:sz w:val="24"/>
          <w:szCs w:val="24"/>
        </w:rPr>
        <w:t>具体修改如下：</w:t>
      </w:r>
    </w:p>
    <w:p w:rsidR="00C5744D" w:rsidRPr="00C5744D" w:rsidRDefault="00C5744D" w:rsidP="00C5744D">
      <w:pPr>
        <w:adjustRightInd w:val="0"/>
        <w:snapToGrid w:val="0"/>
        <w:ind w:firstLineChars="200" w:firstLine="482"/>
        <w:rPr>
          <w:rFonts w:ascii="宋体" w:hAnsi="宋体"/>
          <w:b/>
          <w:sz w:val="24"/>
          <w:szCs w:val="24"/>
        </w:rPr>
      </w:pPr>
      <w:r w:rsidRPr="00C5744D">
        <w:rPr>
          <w:rFonts w:ascii="宋体" w:hAnsi="宋体" w:hint="eastAsia"/>
          <w:b/>
          <w:sz w:val="24"/>
          <w:szCs w:val="24"/>
        </w:rPr>
        <w:t>一、《招募说明书》相关条款的变更</w:t>
      </w:r>
    </w:p>
    <w:p w:rsidR="00C5744D" w:rsidRPr="003B16E3" w:rsidRDefault="00C5744D" w:rsidP="00C5744D">
      <w:pPr>
        <w:adjustRightInd w:val="0"/>
        <w:snapToGrid w:val="0"/>
        <w:ind w:firstLineChars="200" w:firstLine="480"/>
        <w:rPr>
          <w:rFonts w:ascii="宋体" w:hAnsi="宋体"/>
          <w:bCs/>
          <w:sz w:val="24"/>
          <w:szCs w:val="24"/>
        </w:rPr>
      </w:pPr>
      <w:r w:rsidRPr="003B16E3">
        <w:rPr>
          <w:rFonts w:ascii="宋体" w:hAnsi="宋体" w:hint="eastAsia"/>
          <w:bCs/>
          <w:sz w:val="24"/>
          <w:szCs w:val="24"/>
        </w:rPr>
        <w:t>1、《招募说明书》“重要提示”中如下内容进行修改</w:t>
      </w:r>
      <w:r w:rsidR="006843D6" w:rsidRPr="003B16E3">
        <w:rPr>
          <w:rFonts w:ascii="宋体" w:hAnsi="宋体" w:hint="eastAsia"/>
          <w:bCs/>
          <w:sz w:val="24"/>
          <w:szCs w:val="24"/>
        </w:rPr>
        <w:t>和增加：</w:t>
      </w:r>
    </w:p>
    <w:p w:rsidR="00C5744D" w:rsidRDefault="00C5744D" w:rsidP="00C5744D">
      <w:pPr>
        <w:adjustRightInd w:val="0"/>
        <w:snapToGrid w:val="0"/>
        <w:ind w:firstLineChars="200" w:firstLine="480"/>
        <w:rPr>
          <w:rFonts w:ascii="宋体" w:hAnsi="宋体"/>
          <w:bCs/>
          <w:sz w:val="24"/>
          <w:szCs w:val="24"/>
        </w:rPr>
      </w:pPr>
      <w:r>
        <w:rPr>
          <w:rFonts w:ascii="宋体" w:hAnsi="宋体" w:hint="eastAsia"/>
          <w:bCs/>
          <w:sz w:val="24"/>
          <w:szCs w:val="24"/>
        </w:rPr>
        <w:t>（1）</w:t>
      </w:r>
      <w:r w:rsidR="006843D6" w:rsidRPr="00C5744D">
        <w:rPr>
          <w:rFonts w:ascii="宋体" w:hAnsi="宋体" w:hint="eastAsia"/>
          <w:bCs/>
          <w:sz w:val="24"/>
          <w:szCs w:val="24"/>
        </w:rPr>
        <w:t>由</w:t>
      </w:r>
      <w:r>
        <w:rPr>
          <w:rFonts w:ascii="宋体" w:hAnsi="宋体" w:hint="eastAsia"/>
          <w:bCs/>
          <w:sz w:val="24"/>
          <w:szCs w:val="24"/>
        </w:rPr>
        <w:t>“</w:t>
      </w:r>
      <w:r w:rsidRPr="00C5744D">
        <w:rPr>
          <w:rFonts w:ascii="宋体" w:hAnsi="宋体" w:hint="eastAsia"/>
          <w:bCs/>
          <w:sz w:val="24"/>
          <w:szCs w:val="24"/>
        </w:rPr>
        <w:t>投资者申购的基金份额当日可卖出，当日未卖出的基金份额在份额交收成功之前不得卖出和赎回；即在目前结算规则下，T日申购的基金份额当日可卖出，T日申购当日未卖出的基金份额，T+1日不得卖出和赎回，T+1日交收成功后T+2日可卖出和赎回。因此为投资者办理申购业务的申购赎回代理券商若发生交收违约，将导致投资者不能及时、足额获得申购当日未卖出的基金份额，投资者的利益可能受到影响。</w:t>
      </w:r>
      <w:r>
        <w:rPr>
          <w:rFonts w:ascii="宋体" w:hAnsi="宋体" w:hint="eastAsia"/>
          <w:bCs/>
          <w:sz w:val="24"/>
          <w:szCs w:val="24"/>
        </w:rPr>
        <w:t>”</w:t>
      </w:r>
    </w:p>
    <w:p w:rsidR="00C5744D" w:rsidRPr="006843D6" w:rsidRDefault="00C5744D" w:rsidP="00C5744D">
      <w:pPr>
        <w:adjustRightInd w:val="0"/>
        <w:snapToGrid w:val="0"/>
        <w:ind w:firstLineChars="200" w:firstLine="482"/>
        <w:rPr>
          <w:rFonts w:ascii="宋体" w:hAnsi="宋体"/>
          <w:b/>
          <w:sz w:val="24"/>
          <w:szCs w:val="24"/>
        </w:rPr>
      </w:pPr>
      <w:r w:rsidRPr="006843D6">
        <w:rPr>
          <w:rFonts w:ascii="宋体" w:hAnsi="宋体" w:hint="eastAsia"/>
          <w:b/>
          <w:sz w:val="24"/>
          <w:szCs w:val="24"/>
        </w:rPr>
        <w:t>修改为：</w:t>
      </w:r>
    </w:p>
    <w:p w:rsidR="00C5744D" w:rsidRDefault="00C5744D" w:rsidP="00C5744D">
      <w:pPr>
        <w:adjustRightInd w:val="0"/>
        <w:snapToGrid w:val="0"/>
        <w:ind w:firstLineChars="200" w:firstLine="480"/>
        <w:rPr>
          <w:rFonts w:ascii="宋体" w:hAnsi="宋体"/>
          <w:bCs/>
          <w:sz w:val="24"/>
          <w:szCs w:val="24"/>
        </w:rPr>
      </w:pPr>
      <w:r>
        <w:rPr>
          <w:rFonts w:ascii="宋体" w:hAnsi="宋体" w:hint="eastAsia"/>
          <w:bCs/>
          <w:sz w:val="24"/>
          <w:szCs w:val="24"/>
        </w:rPr>
        <w:t>“</w:t>
      </w:r>
      <w:r w:rsidRPr="00C5744D">
        <w:rPr>
          <w:rFonts w:ascii="宋体" w:hAnsi="宋体" w:hint="eastAsia"/>
          <w:bCs/>
          <w:sz w:val="24"/>
          <w:szCs w:val="24"/>
        </w:rPr>
        <w:t>投资者申购的基金份额当日起可卖出，投资者赎回获得的股票当日起可卖出。因此为投资者办理申购业务的申购赎回代理券商若发生交收违约，将导致投资者不能及时、足额获得申购当日未卖出的基金份额，投资者的利益可能受到影响。</w:t>
      </w:r>
      <w:r>
        <w:rPr>
          <w:rFonts w:ascii="宋体" w:hAnsi="宋体" w:hint="eastAsia"/>
          <w:bCs/>
          <w:sz w:val="24"/>
          <w:szCs w:val="24"/>
        </w:rPr>
        <w:t>”</w:t>
      </w:r>
    </w:p>
    <w:p w:rsidR="00C5744D" w:rsidRDefault="00C5744D" w:rsidP="00C5744D">
      <w:pPr>
        <w:adjustRightInd w:val="0"/>
        <w:snapToGrid w:val="0"/>
        <w:ind w:firstLineChars="200" w:firstLine="480"/>
        <w:rPr>
          <w:rFonts w:ascii="宋体" w:hAnsi="宋体"/>
          <w:bCs/>
          <w:sz w:val="24"/>
          <w:szCs w:val="24"/>
        </w:rPr>
      </w:pPr>
      <w:r>
        <w:rPr>
          <w:rFonts w:ascii="宋体" w:hAnsi="宋体" w:hint="eastAsia"/>
          <w:bCs/>
          <w:sz w:val="24"/>
          <w:szCs w:val="24"/>
        </w:rPr>
        <w:t>（2）新增加：</w:t>
      </w:r>
    </w:p>
    <w:p w:rsidR="00C5744D" w:rsidRDefault="00C5744D" w:rsidP="00C5744D">
      <w:pPr>
        <w:adjustRightInd w:val="0"/>
        <w:snapToGrid w:val="0"/>
        <w:ind w:firstLineChars="200" w:firstLine="480"/>
        <w:rPr>
          <w:rFonts w:ascii="宋体" w:hAnsi="宋体"/>
          <w:bCs/>
          <w:sz w:val="24"/>
          <w:szCs w:val="24"/>
        </w:rPr>
      </w:pPr>
      <w:r>
        <w:rPr>
          <w:rFonts w:ascii="宋体" w:hAnsi="宋体" w:hint="eastAsia"/>
          <w:bCs/>
          <w:sz w:val="24"/>
          <w:szCs w:val="24"/>
        </w:rPr>
        <w:t>“</w:t>
      </w:r>
      <w:r w:rsidRPr="00C5744D">
        <w:rPr>
          <w:rFonts w:ascii="宋体" w:hAnsi="宋体" w:hint="eastAsia"/>
          <w:bCs/>
          <w:sz w:val="24"/>
          <w:szCs w:val="24"/>
        </w:rPr>
        <w:t>本次更新招募说明书主要更新“重要提示”部分内容、“释义”、“申购和赎回申请的确认”、“申购和赎回的清算交收与登记”相关内容，截止日为2020</w:t>
      </w:r>
      <w:r w:rsidRPr="00C5744D">
        <w:rPr>
          <w:rFonts w:ascii="宋体" w:hAnsi="宋体" w:hint="eastAsia"/>
          <w:bCs/>
          <w:sz w:val="24"/>
          <w:szCs w:val="24"/>
        </w:rPr>
        <w:lastRenderedPageBreak/>
        <w:t>年1月20日；其他内容截止日为2019年11月11日。</w:t>
      </w:r>
      <w:r>
        <w:rPr>
          <w:rFonts w:ascii="宋体" w:hAnsi="宋体" w:hint="eastAsia"/>
          <w:bCs/>
          <w:sz w:val="24"/>
          <w:szCs w:val="24"/>
        </w:rPr>
        <w:t>”</w:t>
      </w:r>
    </w:p>
    <w:p w:rsidR="00C5744D" w:rsidRPr="003B16E3" w:rsidRDefault="00C5744D" w:rsidP="00C5744D">
      <w:pPr>
        <w:adjustRightInd w:val="0"/>
        <w:snapToGrid w:val="0"/>
        <w:ind w:firstLineChars="200" w:firstLine="480"/>
        <w:rPr>
          <w:rFonts w:ascii="宋体" w:hAnsi="宋体"/>
          <w:bCs/>
          <w:sz w:val="24"/>
          <w:szCs w:val="24"/>
        </w:rPr>
      </w:pPr>
      <w:r w:rsidRPr="003B16E3">
        <w:rPr>
          <w:rFonts w:ascii="宋体" w:hAnsi="宋体" w:hint="eastAsia"/>
          <w:bCs/>
          <w:sz w:val="24"/>
          <w:szCs w:val="24"/>
        </w:rPr>
        <w:t>2、《招募说明书》“二、释义”中“《业务规则》”的释义，由：</w:t>
      </w:r>
    </w:p>
    <w:p w:rsidR="00C5744D" w:rsidRDefault="00C5744D" w:rsidP="00C5744D">
      <w:pPr>
        <w:adjustRightInd w:val="0"/>
        <w:snapToGrid w:val="0"/>
        <w:ind w:firstLineChars="200" w:firstLine="480"/>
        <w:rPr>
          <w:rFonts w:ascii="宋体" w:hAnsi="宋体"/>
          <w:bCs/>
          <w:sz w:val="24"/>
          <w:szCs w:val="24"/>
        </w:rPr>
      </w:pPr>
      <w:r w:rsidRPr="003B16E3">
        <w:rPr>
          <w:rFonts w:ascii="宋体" w:hAnsi="宋体" w:hint="eastAsia"/>
          <w:bCs/>
          <w:sz w:val="24"/>
          <w:szCs w:val="24"/>
        </w:rPr>
        <w:t>“</w:t>
      </w:r>
      <w:r w:rsidR="006843D6" w:rsidRPr="003B16E3">
        <w:rPr>
          <w:rFonts w:ascii="宋体" w:hAnsi="宋体" w:hint="eastAsia"/>
          <w:bCs/>
          <w:sz w:val="24"/>
          <w:szCs w:val="24"/>
        </w:rPr>
        <w:t>46、《业务规则》：指上海证券交易所发布实施的《上海证券交易所交易</w:t>
      </w:r>
      <w:r w:rsidR="006843D6" w:rsidRPr="006843D6">
        <w:rPr>
          <w:rFonts w:ascii="宋体" w:hAnsi="宋体" w:hint="eastAsia"/>
          <w:bCs/>
          <w:sz w:val="24"/>
          <w:szCs w:val="24"/>
        </w:rPr>
        <w:t>型开放式指数基金业务实施细则》，中国证券登记结算有限责任公司发布实施的《中国证券登记结算有限责任公司关于上海证券交易所交易型开放式基金登记结算业务实施细则》及销售机构业务规则等相关业务规则和实施细则</w:t>
      </w:r>
      <w:r>
        <w:rPr>
          <w:rFonts w:ascii="宋体" w:hAnsi="宋体" w:hint="eastAsia"/>
          <w:bCs/>
          <w:sz w:val="24"/>
          <w:szCs w:val="24"/>
        </w:rPr>
        <w:t>”</w:t>
      </w:r>
    </w:p>
    <w:p w:rsidR="00C5744D" w:rsidRPr="006843D6" w:rsidRDefault="00C5744D" w:rsidP="00C5744D">
      <w:pPr>
        <w:adjustRightInd w:val="0"/>
        <w:snapToGrid w:val="0"/>
        <w:ind w:firstLineChars="200" w:firstLine="482"/>
        <w:rPr>
          <w:rFonts w:ascii="宋体" w:hAnsi="宋体"/>
          <w:b/>
          <w:sz w:val="24"/>
          <w:szCs w:val="24"/>
        </w:rPr>
      </w:pPr>
      <w:r w:rsidRPr="006843D6">
        <w:rPr>
          <w:rFonts w:ascii="宋体" w:hAnsi="宋体" w:hint="eastAsia"/>
          <w:b/>
          <w:sz w:val="24"/>
          <w:szCs w:val="24"/>
        </w:rPr>
        <w:t>修改为：</w:t>
      </w:r>
    </w:p>
    <w:p w:rsidR="00C5744D" w:rsidRDefault="00C5744D" w:rsidP="00C5744D">
      <w:pPr>
        <w:adjustRightInd w:val="0"/>
        <w:snapToGrid w:val="0"/>
        <w:ind w:firstLineChars="200" w:firstLine="480"/>
        <w:rPr>
          <w:rFonts w:ascii="宋体" w:hAnsi="宋体"/>
          <w:bCs/>
          <w:sz w:val="24"/>
          <w:szCs w:val="24"/>
        </w:rPr>
      </w:pPr>
      <w:r>
        <w:rPr>
          <w:rFonts w:ascii="宋体" w:hAnsi="宋体" w:hint="eastAsia"/>
          <w:bCs/>
          <w:sz w:val="24"/>
          <w:szCs w:val="24"/>
        </w:rPr>
        <w:t>“</w:t>
      </w:r>
      <w:r w:rsidRPr="00C5744D">
        <w:rPr>
          <w:rFonts w:ascii="宋体" w:hAnsi="宋体"/>
          <w:bCs/>
          <w:sz w:val="24"/>
          <w:szCs w:val="24"/>
        </w:rPr>
        <w:t>46、《业务规则》：指上海证券交易所发布实施的《上海证券交易所交易型开放式指数基金业务实施细则</w:t>
      </w:r>
      <w:r w:rsidRPr="00C5744D">
        <w:rPr>
          <w:rFonts w:ascii="宋体" w:hAnsi="宋体" w:hint="eastAsia"/>
          <w:bCs/>
          <w:sz w:val="24"/>
          <w:szCs w:val="24"/>
        </w:rPr>
        <w:t>（2020年修订）</w:t>
      </w:r>
      <w:r w:rsidRPr="00C5744D">
        <w:rPr>
          <w:rFonts w:ascii="宋体" w:hAnsi="宋体"/>
          <w:bCs/>
          <w:sz w:val="24"/>
          <w:szCs w:val="24"/>
        </w:rPr>
        <w:t>》，中国证券登记结算有限责任公司发布实施的《中国证券登记结算有限责任公司关于交易所交易型开放式证券投资基金登记结算业务实施细则》</w:t>
      </w:r>
      <w:r w:rsidRPr="00C5744D">
        <w:rPr>
          <w:rFonts w:ascii="宋体" w:hAnsi="宋体" w:hint="eastAsia"/>
          <w:bCs/>
          <w:sz w:val="24"/>
          <w:szCs w:val="24"/>
        </w:rPr>
        <w:t>及中国证券登记结算有限责任公司、上海证券交易所发布的其他相关规则和规定</w:t>
      </w:r>
      <w:r>
        <w:rPr>
          <w:rFonts w:ascii="宋体" w:hAnsi="宋体" w:hint="eastAsia"/>
          <w:bCs/>
          <w:sz w:val="24"/>
          <w:szCs w:val="24"/>
        </w:rPr>
        <w:t>”</w:t>
      </w:r>
    </w:p>
    <w:p w:rsidR="00C5744D" w:rsidRDefault="00C5744D" w:rsidP="00C5744D">
      <w:pPr>
        <w:adjustRightInd w:val="0"/>
        <w:snapToGrid w:val="0"/>
        <w:ind w:firstLineChars="200" w:firstLine="480"/>
        <w:rPr>
          <w:rFonts w:ascii="宋体" w:hAnsi="宋体"/>
          <w:bCs/>
          <w:sz w:val="24"/>
          <w:szCs w:val="24"/>
        </w:rPr>
      </w:pPr>
      <w:r>
        <w:rPr>
          <w:rFonts w:ascii="宋体" w:hAnsi="宋体" w:hint="eastAsia"/>
          <w:bCs/>
          <w:sz w:val="24"/>
          <w:szCs w:val="24"/>
        </w:rPr>
        <w:t>3、</w:t>
      </w:r>
      <w:r w:rsidRPr="00C5744D">
        <w:rPr>
          <w:rFonts w:ascii="宋体" w:hAnsi="宋体" w:hint="eastAsia"/>
          <w:bCs/>
          <w:sz w:val="24"/>
          <w:szCs w:val="24"/>
        </w:rPr>
        <w:t>《招募说明书》“基金份额的申购与赎回”之“</w:t>
      </w:r>
      <w:r>
        <w:rPr>
          <w:rFonts w:ascii="宋体" w:hAnsi="宋体" w:hint="eastAsia"/>
          <w:bCs/>
          <w:sz w:val="24"/>
          <w:szCs w:val="24"/>
        </w:rPr>
        <w:t>四、</w:t>
      </w:r>
      <w:r w:rsidRPr="00C5744D">
        <w:rPr>
          <w:rFonts w:ascii="宋体" w:hAnsi="宋体" w:hint="eastAsia"/>
          <w:bCs/>
          <w:sz w:val="24"/>
          <w:szCs w:val="24"/>
        </w:rPr>
        <w:t>申购和赎回的程序”的“2、申购和赎回申请的确认”中如下内容进行修改，由：</w:t>
      </w:r>
    </w:p>
    <w:p w:rsidR="006843D6" w:rsidRPr="006843D6" w:rsidRDefault="00C5744D" w:rsidP="006843D6">
      <w:pPr>
        <w:adjustRightInd w:val="0"/>
        <w:snapToGrid w:val="0"/>
        <w:ind w:firstLineChars="200" w:firstLine="480"/>
        <w:rPr>
          <w:rFonts w:ascii="宋体" w:hAnsi="宋体"/>
          <w:bCs/>
          <w:sz w:val="24"/>
          <w:szCs w:val="24"/>
        </w:rPr>
      </w:pPr>
      <w:r>
        <w:rPr>
          <w:rFonts w:ascii="宋体" w:hAnsi="宋体" w:hint="eastAsia"/>
          <w:bCs/>
          <w:sz w:val="24"/>
          <w:szCs w:val="24"/>
        </w:rPr>
        <w:t>“</w:t>
      </w:r>
      <w:r w:rsidR="006843D6" w:rsidRPr="006843D6">
        <w:rPr>
          <w:rFonts w:ascii="宋体" w:hAnsi="宋体" w:hint="eastAsia"/>
          <w:bCs/>
          <w:sz w:val="24"/>
          <w:szCs w:val="24"/>
        </w:rPr>
        <w:t>2、申购和赎回申请的确认</w:t>
      </w:r>
    </w:p>
    <w:p w:rsidR="006843D6" w:rsidRPr="006843D6" w:rsidRDefault="006843D6" w:rsidP="006843D6">
      <w:pPr>
        <w:adjustRightInd w:val="0"/>
        <w:snapToGrid w:val="0"/>
        <w:ind w:firstLineChars="200" w:firstLine="480"/>
        <w:rPr>
          <w:rFonts w:ascii="宋体" w:hAnsi="宋体"/>
          <w:bCs/>
          <w:sz w:val="24"/>
          <w:szCs w:val="24"/>
        </w:rPr>
      </w:pPr>
      <w:r w:rsidRPr="006843D6">
        <w:rPr>
          <w:rFonts w:ascii="宋体" w:hAnsi="宋体" w:hint="eastAsia"/>
          <w:bCs/>
          <w:sz w:val="24"/>
          <w:szCs w:val="24"/>
        </w:rPr>
        <w:t>投资人申购、赎回申请在受理当日进行确认。如投资人未能提供符合要求的申购对价，则申购申请失败。如投资人持有的符合要求的基金份额不足或未能根据要求准备足额的现金，或基金投资组合内不具备足额的符合要求的赎回对价，则赎回申请失败。</w:t>
      </w:r>
    </w:p>
    <w:p w:rsidR="006843D6" w:rsidRPr="006843D6" w:rsidRDefault="006843D6" w:rsidP="006843D6">
      <w:pPr>
        <w:adjustRightInd w:val="0"/>
        <w:snapToGrid w:val="0"/>
        <w:ind w:firstLineChars="200" w:firstLine="480"/>
        <w:rPr>
          <w:rFonts w:ascii="宋体" w:hAnsi="宋体"/>
          <w:bCs/>
          <w:sz w:val="24"/>
          <w:szCs w:val="24"/>
        </w:rPr>
      </w:pPr>
      <w:r w:rsidRPr="006843D6">
        <w:rPr>
          <w:rFonts w:ascii="宋体" w:hAnsi="宋体" w:hint="eastAsia"/>
          <w:bCs/>
          <w:sz w:val="24"/>
          <w:szCs w:val="24"/>
        </w:rPr>
        <w:t>销售机构对申购、赎回申请的受理并不代表该申请一定成功，而仅代表销售机构确实接收到该申请。申购、赎回的确认以登记机构的确认结果为准。对于申购、赎回申请的确认情况，投资人应及时查询并妥善行使合法权利。</w:t>
      </w:r>
    </w:p>
    <w:p w:rsidR="00C5744D" w:rsidRDefault="006843D6" w:rsidP="006843D6">
      <w:pPr>
        <w:adjustRightInd w:val="0"/>
        <w:snapToGrid w:val="0"/>
        <w:ind w:firstLineChars="200" w:firstLine="480"/>
        <w:rPr>
          <w:rFonts w:ascii="宋体" w:hAnsi="宋体"/>
          <w:bCs/>
          <w:sz w:val="24"/>
          <w:szCs w:val="24"/>
        </w:rPr>
      </w:pPr>
      <w:r w:rsidRPr="006843D6">
        <w:rPr>
          <w:rFonts w:ascii="宋体" w:hAnsi="宋体" w:hint="eastAsia"/>
          <w:bCs/>
          <w:sz w:val="24"/>
          <w:szCs w:val="24"/>
        </w:rPr>
        <w:t>投资者申购的基金份额当日可卖出，当日未卖出的基金份额在份额交收成功之前不得卖出和赎回；即在目前结算规则下，T日申购的基金份额当日可卖出，T日申购当日未卖出的基金份额，T+1日不得卖出和赎回，T+1日交收成功后T+2日可卖出和赎回。</w:t>
      </w:r>
      <w:r w:rsidR="00C5744D">
        <w:rPr>
          <w:rFonts w:ascii="宋体" w:hAnsi="宋体" w:hint="eastAsia"/>
          <w:bCs/>
          <w:sz w:val="24"/>
          <w:szCs w:val="24"/>
        </w:rPr>
        <w:t>”</w:t>
      </w:r>
    </w:p>
    <w:p w:rsidR="00C5744D" w:rsidRPr="006843D6" w:rsidRDefault="00C5744D" w:rsidP="00C5744D">
      <w:pPr>
        <w:adjustRightInd w:val="0"/>
        <w:snapToGrid w:val="0"/>
        <w:ind w:firstLineChars="200" w:firstLine="482"/>
        <w:rPr>
          <w:rFonts w:ascii="宋体" w:hAnsi="宋体"/>
          <w:b/>
          <w:sz w:val="24"/>
          <w:szCs w:val="24"/>
        </w:rPr>
      </w:pPr>
      <w:r w:rsidRPr="006843D6">
        <w:rPr>
          <w:rFonts w:ascii="宋体" w:hAnsi="宋体" w:hint="eastAsia"/>
          <w:b/>
          <w:sz w:val="24"/>
          <w:szCs w:val="24"/>
        </w:rPr>
        <w:t>修改为：</w:t>
      </w:r>
    </w:p>
    <w:p w:rsidR="00C5744D" w:rsidRPr="00C5744D" w:rsidRDefault="00C5744D" w:rsidP="00C5744D">
      <w:pPr>
        <w:adjustRightInd w:val="0"/>
        <w:snapToGrid w:val="0"/>
        <w:ind w:firstLineChars="200" w:firstLine="480"/>
        <w:rPr>
          <w:rFonts w:ascii="宋体" w:hAnsi="宋体"/>
          <w:bCs/>
          <w:sz w:val="24"/>
          <w:szCs w:val="24"/>
        </w:rPr>
      </w:pPr>
      <w:r>
        <w:rPr>
          <w:rFonts w:ascii="宋体" w:hAnsi="宋体" w:hint="eastAsia"/>
          <w:bCs/>
          <w:sz w:val="24"/>
          <w:szCs w:val="24"/>
        </w:rPr>
        <w:t>“</w:t>
      </w:r>
      <w:r w:rsidRPr="00C5744D">
        <w:rPr>
          <w:rFonts w:ascii="宋体" w:hAnsi="宋体" w:hint="eastAsia"/>
          <w:bCs/>
          <w:sz w:val="24"/>
          <w:szCs w:val="24"/>
        </w:rPr>
        <w:t>2、申购和赎回申请的确认</w:t>
      </w:r>
    </w:p>
    <w:p w:rsidR="00C5744D" w:rsidRPr="00C5744D" w:rsidRDefault="00C5744D" w:rsidP="00C5744D">
      <w:pPr>
        <w:adjustRightInd w:val="0"/>
        <w:snapToGrid w:val="0"/>
        <w:ind w:firstLineChars="200" w:firstLine="480"/>
        <w:rPr>
          <w:rFonts w:ascii="宋体" w:hAnsi="宋体"/>
          <w:bCs/>
          <w:sz w:val="24"/>
          <w:szCs w:val="24"/>
        </w:rPr>
      </w:pPr>
      <w:r w:rsidRPr="00C5744D">
        <w:rPr>
          <w:rFonts w:ascii="宋体" w:hAnsi="宋体" w:hint="eastAsia"/>
          <w:bCs/>
          <w:sz w:val="24"/>
          <w:szCs w:val="24"/>
        </w:rPr>
        <w:t>投资人申购、赎回申请在受理当日进行确认。如投资人未能提供符合要求的申购对价，则申购申请失败。如投资人持有的符合要求的基金份额不足或未能根</w:t>
      </w:r>
      <w:r w:rsidRPr="00C5744D">
        <w:rPr>
          <w:rFonts w:ascii="宋体" w:hAnsi="宋体" w:hint="eastAsia"/>
          <w:bCs/>
          <w:sz w:val="24"/>
          <w:szCs w:val="24"/>
        </w:rPr>
        <w:lastRenderedPageBreak/>
        <w:t>据要求准备足额的现金，或基金投资组合内不具备足额的符合要求的赎回对价，则赎回申请失败。</w:t>
      </w:r>
    </w:p>
    <w:p w:rsidR="00C5744D" w:rsidRDefault="00C5744D" w:rsidP="00C5744D">
      <w:pPr>
        <w:adjustRightInd w:val="0"/>
        <w:snapToGrid w:val="0"/>
        <w:ind w:firstLineChars="200" w:firstLine="480"/>
        <w:rPr>
          <w:rFonts w:ascii="宋体" w:hAnsi="宋体"/>
          <w:bCs/>
          <w:sz w:val="24"/>
          <w:szCs w:val="24"/>
        </w:rPr>
      </w:pPr>
      <w:r w:rsidRPr="00C5744D">
        <w:rPr>
          <w:rFonts w:ascii="宋体" w:hAnsi="宋体" w:hint="eastAsia"/>
          <w:bCs/>
          <w:sz w:val="24"/>
          <w:szCs w:val="24"/>
        </w:rPr>
        <w:t>投资者申购的基金份额当日起可卖出，投资者赎回获得的股票当日起可卖出。销售机构对申购、赎回申请的受理并不代表该申请一定成功，而仅代表销售机构确实接收到该申请。申购、赎回的确认以登记机构的确认结果为准。对于申购、赎回申请的确认情况，投资人应及时查询并妥善行使合法权利。</w:t>
      </w:r>
      <w:r>
        <w:rPr>
          <w:rFonts w:ascii="宋体" w:hAnsi="宋体" w:hint="eastAsia"/>
          <w:bCs/>
          <w:sz w:val="24"/>
          <w:szCs w:val="24"/>
        </w:rPr>
        <w:t>”</w:t>
      </w:r>
    </w:p>
    <w:p w:rsidR="00C5744D" w:rsidRDefault="00C5744D" w:rsidP="00C5744D">
      <w:pPr>
        <w:adjustRightInd w:val="0"/>
        <w:snapToGrid w:val="0"/>
        <w:ind w:firstLineChars="200" w:firstLine="480"/>
        <w:rPr>
          <w:rFonts w:ascii="宋体" w:hAnsi="宋体"/>
          <w:bCs/>
          <w:sz w:val="24"/>
          <w:szCs w:val="24"/>
        </w:rPr>
      </w:pPr>
      <w:r>
        <w:rPr>
          <w:rFonts w:ascii="宋体" w:hAnsi="宋体" w:hint="eastAsia"/>
          <w:bCs/>
          <w:sz w:val="24"/>
          <w:szCs w:val="24"/>
        </w:rPr>
        <w:t>4、</w:t>
      </w:r>
      <w:r w:rsidRPr="00C5744D">
        <w:rPr>
          <w:rFonts w:ascii="宋体" w:hAnsi="宋体" w:hint="eastAsia"/>
          <w:bCs/>
          <w:sz w:val="24"/>
          <w:szCs w:val="24"/>
        </w:rPr>
        <w:t>《招募说明书》“基金份额的申购与赎回”之“</w:t>
      </w:r>
      <w:r>
        <w:rPr>
          <w:rFonts w:ascii="宋体" w:hAnsi="宋体" w:hint="eastAsia"/>
          <w:bCs/>
          <w:sz w:val="24"/>
          <w:szCs w:val="24"/>
        </w:rPr>
        <w:t>四、</w:t>
      </w:r>
      <w:r w:rsidRPr="00C5744D">
        <w:rPr>
          <w:rFonts w:ascii="宋体" w:hAnsi="宋体" w:hint="eastAsia"/>
          <w:bCs/>
          <w:sz w:val="24"/>
          <w:szCs w:val="24"/>
        </w:rPr>
        <w:t>申购和赎回的程序”的“3、申购和赎回的清算交收与登记”中如下内容进行修改，由：</w:t>
      </w:r>
    </w:p>
    <w:p w:rsidR="006843D6" w:rsidRPr="006843D6" w:rsidRDefault="00C5744D" w:rsidP="006843D6">
      <w:pPr>
        <w:ind w:firstLineChars="200" w:firstLine="480"/>
        <w:rPr>
          <w:rFonts w:ascii="宋体" w:hAnsi="宋体"/>
          <w:bCs/>
          <w:sz w:val="24"/>
          <w:szCs w:val="24"/>
        </w:rPr>
      </w:pPr>
      <w:r>
        <w:rPr>
          <w:rFonts w:ascii="宋体" w:hAnsi="宋体" w:hint="eastAsia"/>
          <w:bCs/>
          <w:sz w:val="24"/>
          <w:szCs w:val="24"/>
        </w:rPr>
        <w:t>“</w:t>
      </w:r>
      <w:r w:rsidR="006843D6" w:rsidRPr="006843D6">
        <w:rPr>
          <w:rFonts w:ascii="宋体" w:hAnsi="宋体"/>
          <w:bCs/>
          <w:sz w:val="24"/>
          <w:szCs w:val="24"/>
        </w:rPr>
        <w:t>3、申购和赎回的清算交收与登记</w:t>
      </w:r>
    </w:p>
    <w:p w:rsidR="006843D6" w:rsidRPr="006843D6" w:rsidRDefault="006843D6" w:rsidP="006843D6">
      <w:pPr>
        <w:ind w:firstLineChars="200" w:firstLine="480"/>
        <w:rPr>
          <w:rFonts w:ascii="宋体" w:hAnsi="宋体"/>
          <w:bCs/>
          <w:sz w:val="24"/>
          <w:szCs w:val="24"/>
        </w:rPr>
      </w:pPr>
      <w:r w:rsidRPr="006843D6">
        <w:rPr>
          <w:rFonts w:ascii="宋体" w:hAnsi="宋体"/>
          <w:bCs/>
          <w:sz w:val="24"/>
          <w:szCs w:val="24"/>
        </w:rPr>
        <w:t>本基金申购赎回过程中涉及的基金份额、组合证券、现金替代、现金差额及其他对价的清算交收适用《上海证券交易所交易型开放式指数基金业务实施细则》、《中国证券登记结算有限责任公司关于上海证券交易所交易型开放式基金登记结算业务实施细则》和参与各方相关协议的有关规定。</w:t>
      </w:r>
    </w:p>
    <w:p w:rsidR="006843D6" w:rsidRPr="006843D6" w:rsidRDefault="006843D6" w:rsidP="006843D6">
      <w:pPr>
        <w:ind w:firstLineChars="200" w:firstLine="480"/>
        <w:rPr>
          <w:rFonts w:ascii="宋体" w:hAnsi="宋体"/>
          <w:bCs/>
          <w:sz w:val="24"/>
          <w:szCs w:val="24"/>
        </w:rPr>
      </w:pPr>
      <w:r w:rsidRPr="006843D6">
        <w:rPr>
          <w:rFonts w:ascii="宋体" w:hAnsi="宋体"/>
          <w:bCs/>
          <w:sz w:val="24"/>
          <w:szCs w:val="24"/>
        </w:rPr>
        <w:t>投资人T日申购、赎回成功后，登记机构在T日收市后为投资人办理基金份额与组合证券的清算交收以及现金替代等的清算；在T+1日办理现金替代等的交收以及现金差额的清算，并将结果发送给申购赎回代理券商、基金管理人和基金托管人。基金管理人、基金托管人和申购赎回代理券商在T+2日办理现金差额的交收。</w:t>
      </w:r>
    </w:p>
    <w:p w:rsidR="006843D6" w:rsidRPr="006843D6" w:rsidRDefault="006843D6" w:rsidP="006843D6">
      <w:pPr>
        <w:adjustRightInd w:val="0"/>
        <w:snapToGrid w:val="0"/>
        <w:ind w:firstLineChars="200" w:firstLine="480"/>
        <w:rPr>
          <w:rFonts w:ascii="宋体" w:hAnsi="宋体"/>
          <w:bCs/>
          <w:sz w:val="24"/>
          <w:szCs w:val="24"/>
        </w:rPr>
      </w:pPr>
      <w:r w:rsidRPr="006843D6">
        <w:rPr>
          <w:rFonts w:ascii="宋体" w:hAnsi="宋体"/>
          <w:bCs/>
          <w:sz w:val="24"/>
          <w:szCs w:val="24"/>
        </w:rPr>
        <w:t>如果登记机构和基金管理人在清算交收时发现不能正常履约的情形，则依据《上海证券交易所交易型开放式指数基金业务实施细则》、《中国证券登记结算有限责任公司关于上海证券交易所交易型开放式基金登记结算业务实施细则》和参与各方相关协议的有关规定进行处理。</w:t>
      </w:r>
    </w:p>
    <w:p w:rsidR="00C5744D" w:rsidRDefault="006843D6" w:rsidP="006843D6">
      <w:pPr>
        <w:adjustRightInd w:val="0"/>
        <w:snapToGrid w:val="0"/>
        <w:ind w:firstLineChars="200" w:firstLine="480"/>
        <w:rPr>
          <w:rFonts w:ascii="宋体" w:hAnsi="宋体"/>
          <w:bCs/>
          <w:sz w:val="24"/>
          <w:szCs w:val="24"/>
        </w:rPr>
      </w:pPr>
      <w:r w:rsidRPr="006843D6">
        <w:rPr>
          <w:rFonts w:ascii="宋体" w:hAnsi="宋体"/>
          <w:bCs/>
          <w:sz w:val="24"/>
          <w:szCs w:val="24"/>
        </w:rPr>
        <w:t>基金管理人和登记机构可在法律法规允许的范围内，在不影响基金份额持有人实质性利益的前提下，对上述申购赎回的程序以及清算交收和登记的办理时间、方式、处理规则等进行调整，并在开始实施前按照《信息披露办法》的有关规定在指定媒介上予以公告。</w:t>
      </w:r>
      <w:r w:rsidR="00C5744D">
        <w:rPr>
          <w:rFonts w:ascii="宋体" w:hAnsi="宋体" w:hint="eastAsia"/>
          <w:bCs/>
          <w:sz w:val="24"/>
          <w:szCs w:val="24"/>
        </w:rPr>
        <w:t>”</w:t>
      </w:r>
    </w:p>
    <w:p w:rsidR="00C5744D" w:rsidRDefault="00C5744D" w:rsidP="00C5744D">
      <w:pPr>
        <w:adjustRightInd w:val="0"/>
        <w:snapToGrid w:val="0"/>
        <w:ind w:firstLineChars="200" w:firstLine="480"/>
        <w:rPr>
          <w:rFonts w:ascii="宋体" w:hAnsi="宋体"/>
          <w:bCs/>
          <w:sz w:val="24"/>
          <w:szCs w:val="24"/>
        </w:rPr>
      </w:pPr>
      <w:r>
        <w:rPr>
          <w:rFonts w:ascii="宋体" w:hAnsi="宋体" w:hint="eastAsia"/>
          <w:bCs/>
          <w:sz w:val="24"/>
          <w:szCs w:val="24"/>
        </w:rPr>
        <w:t>修改为：</w:t>
      </w:r>
    </w:p>
    <w:p w:rsidR="00C5744D" w:rsidRPr="00C5744D" w:rsidRDefault="00C5744D" w:rsidP="00C5744D">
      <w:pPr>
        <w:adjustRightInd w:val="0"/>
        <w:snapToGrid w:val="0"/>
        <w:ind w:firstLineChars="200" w:firstLine="480"/>
        <w:rPr>
          <w:rFonts w:ascii="宋体" w:hAnsi="宋体"/>
          <w:bCs/>
          <w:sz w:val="24"/>
          <w:szCs w:val="24"/>
        </w:rPr>
      </w:pPr>
      <w:r>
        <w:rPr>
          <w:rFonts w:ascii="宋体" w:hAnsi="宋体" w:hint="eastAsia"/>
          <w:bCs/>
          <w:sz w:val="24"/>
          <w:szCs w:val="24"/>
        </w:rPr>
        <w:t>“</w:t>
      </w:r>
      <w:r w:rsidRPr="00C5744D">
        <w:rPr>
          <w:rFonts w:ascii="宋体" w:hAnsi="宋体"/>
          <w:bCs/>
          <w:sz w:val="24"/>
          <w:szCs w:val="24"/>
        </w:rPr>
        <w:t>3、申购和赎回的清算交收与登记</w:t>
      </w:r>
    </w:p>
    <w:p w:rsidR="00C5744D" w:rsidRPr="00C5744D" w:rsidRDefault="00C5744D" w:rsidP="00C5744D">
      <w:pPr>
        <w:adjustRightInd w:val="0"/>
        <w:snapToGrid w:val="0"/>
        <w:ind w:firstLineChars="200" w:firstLine="480"/>
        <w:rPr>
          <w:rFonts w:ascii="宋体" w:hAnsi="宋体"/>
          <w:bCs/>
          <w:sz w:val="24"/>
          <w:szCs w:val="24"/>
        </w:rPr>
      </w:pPr>
      <w:r w:rsidRPr="00C5744D">
        <w:rPr>
          <w:rFonts w:ascii="宋体" w:hAnsi="宋体"/>
          <w:bCs/>
          <w:sz w:val="24"/>
          <w:szCs w:val="24"/>
        </w:rPr>
        <w:t>本基金申购赎回过程中涉及的基金份额、组合证券、现金替代、现金差额及其他对价的清算交收适用</w:t>
      </w:r>
      <w:r w:rsidRPr="00C5744D">
        <w:rPr>
          <w:rFonts w:ascii="宋体" w:hAnsi="宋体" w:hint="eastAsia"/>
          <w:bCs/>
          <w:sz w:val="24"/>
          <w:szCs w:val="24"/>
        </w:rPr>
        <w:t>相关业务规则</w:t>
      </w:r>
      <w:r w:rsidRPr="00C5744D">
        <w:rPr>
          <w:rFonts w:ascii="宋体" w:hAnsi="宋体"/>
          <w:bCs/>
          <w:sz w:val="24"/>
          <w:szCs w:val="24"/>
        </w:rPr>
        <w:t>和参与各方相关协议的有关规定。</w:t>
      </w:r>
      <w:r w:rsidRPr="00C5744D">
        <w:rPr>
          <w:rFonts w:ascii="宋体" w:hAnsi="宋体" w:hint="eastAsia"/>
          <w:bCs/>
          <w:sz w:val="24"/>
          <w:szCs w:val="24"/>
        </w:rPr>
        <w:t>对于本基金的申购、赎回业务采用净额结算的方式，基金份额、上交所上市的成份股的现金替代、深交所上市的成份股的现金替代采用净额结算的方式，申购赎回业务涉及的现金差额和现金替代退补款采用代收代付。投资者T日申购成功后，登记机构在T日收市后为投资人办理组合证券交收与基金份额的交收登记以及现金替代的清算；在T+1日办理现金替代的交收以及现金差额的清算；在T+2日办理现金差额的交收，并将结果发送给申购赎回代理券商、基金管理人和基金托管人。</w:t>
      </w:r>
    </w:p>
    <w:p w:rsidR="00C5744D" w:rsidRPr="00C5744D" w:rsidRDefault="00C5744D" w:rsidP="00C5744D">
      <w:pPr>
        <w:adjustRightInd w:val="0"/>
        <w:snapToGrid w:val="0"/>
        <w:ind w:firstLineChars="200" w:firstLine="480"/>
        <w:rPr>
          <w:rFonts w:ascii="宋体" w:hAnsi="宋体"/>
          <w:bCs/>
          <w:sz w:val="24"/>
          <w:szCs w:val="24"/>
        </w:rPr>
      </w:pPr>
      <w:r w:rsidRPr="00C5744D">
        <w:rPr>
          <w:rFonts w:ascii="宋体" w:hAnsi="宋体" w:hint="eastAsia"/>
          <w:bCs/>
          <w:sz w:val="24"/>
          <w:szCs w:val="24"/>
        </w:rPr>
        <w:t>投资者T日赎回成功后，注册登记机构在T日收市后办理组合证券交收与基金份额的注销以及现金替代的清算；在T+1日办理现金替代的交收以及现金差额的清算；在T+2日办理现金差额的交收，并将结果发送给申购赎回代理券商、基金管理人和基金托管人。</w:t>
      </w:r>
    </w:p>
    <w:p w:rsidR="00C5744D" w:rsidRPr="00C5744D" w:rsidRDefault="00C5744D" w:rsidP="00C5744D">
      <w:pPr>
        <w:adjustRightInd w:val="0"/>
        <w:snapToGrid w:val="0"/>
        <w:ind w:firstLineChars="200" w:firstLine="480"/>
        <w:rPr>
          <w:rFonts w:ascii="宋体" w:hAnsi="宋体"/>
          <w:bCs/>
          <w:sz w:val="24"/>
          <w:szCs w:val="24"/>
        </w:rPr>
      </w:pPr>
      <w:r w:rsidRPr="00C5744D">
        <w:rPr>
          <w:rFonts w:ascii="宋体" w:hAnsi="宋体"/>
          <w:bCs/>
          <w:sz w:val="24"/>
          <w:szCs w:val="24"/>
        </w:rPr>
        <w:t>如果登记机构和基金管理人在清算交收时发现不能正常履约的情形，则依据</w:t>
      </w:r>
      <w:r w:rsidRPr="00C5744D">
        <w:rPr>
          <w:rFonts w:ascii="宋体" w:hAnsi="宋体" w:hint="eastAsia"/>
          <w:bCs/>
          <w:sz w:val="24"/>
          <w:szCs w:val="24"/>
        </w:rPr>
        <w:t>相关业务规则</w:t>
      </w:r>
      <w:r w:rsidRPr="00C5744D">
        <w:rPr>
          <w:rFonts w:ascii="宋体" w:hAnsi="宋体"/>
          <w:bCs/>
          <w:sz w:val="24"/>
          <w:szCs w:val="24"/>
        </w:rPr>
        <w:t>和参与各方相关协议的有关规定进行处理。</w:t>
      </w:r>
    </w:p>
    <w:p w:rsidR="00C5744D" w:rsidRDefault="00C5744D" w:rsidP="00C5744D">
      <w:pPr>
        <w:adjustRightInd w:val="0"/>
        <w:snapToGrid w:val="0"/>
        <w:ind w:firstLineChars="200" w:firstLine="480"/>
        <w:rPr>
          <w:rFonts w:ascii="宋体" w:hAnsi="宋体"/>
          <w:bCs/>
          <w:sz w:val="24"/>
          <w:szCs w:val="24"/>
        </w:rPr>
      </w:pPr>
      <w:r w:rsidRPr="00C5744D">
        <w:rPr>
          <w:rFonts w:ascii="宋体" w:hAnsi="宋体"/>
          <w:bCs/>
          <w:sz w:val="24"/>
          <w:szCs w:val="24"/>
        </w:rPr>
        <w:t>基金管理人和登记机构可在法律法规允许的范围内，在不影响基金份额持有人实质性利益的前提下，对上述申购赎回的程序以及清算交收和登记的办理时间、方式、处理规则等进行调整，并在开始实施前按照《信息披露办法》的有关规定在指定媒介上予以公告。</w:t>
      </w:r>
      <w:r>
        <w:rPr>
          <w:rFonts w:ascii="宋体" w:hAnsi="宋体" w:hint="eastAsia"/>
          <w:bCs/>
          <w:sz w:val="24"/>
          <w:szCs w:val="24"/>
        </w:rPr>
        <w:t>”</w:t>
      </w:r>
    </w:p>
    <w:p w:rsidR="003B16E3" w:rsidRDefault="003B16E3" w:rsidP="00C5744D">
      <w:pPr>
        <w:adjustRightInd w:val="0"/>
        <w:snapToGrid w:val="0"/>
        <w:ind w:firstLineChars="200" w:firstLine="482"/>
        <w:rPr>
          <w:rFonts w:ascii="宋体" w:hAnsi="宋体"/>
          <w:b/>
          <w:sz w:val="24"/>
          <w:szCs w:val="24"/>
        </w:rPr>
      </w:pPr>
    </w:p>
    <w:p w:rsidR="00C5744D" w:rsidRPr="00C5744D" w:rsidRDefault="00C5744D" w:rsidP="00C5744D">
      <w:pPr>
        <w:adjustRightInd w:val="0"/>
        <w:snapToGrid w:val="0"/>
        <w:ind w:firstLineChars="200" w:firstLine="482"/>
        <w:rPr>
          <w:rFonts w:ascii="宋体" w:hAnsi="宋体"/>
          <w:b/>
          <w:sz w:val="24"/>
          <w:szCs w:val="24"/>
        </w:rPr>
      </w:pPr>
      <w:r w:rsidRPr="00C5744D">
        <w:rPr>
          <w:rFonts w:ascii="宋体" w:hAnsi="宋体" w:hint="eastAsia"/>
          <w:b/>
          <w:sz w:val="24"/>
          <w:szCs w:val="24"/>
        </w:rPr>
        <w:t>二、重要提示</w:t>
      </w:r>
    </w:p>
    <w:p w:rsidR="00C5744D" w:rsidRPr="00C5744D" w:rsidRDefault="00C5744D" w:rsidP="00C5744D">
      <w:pPr>
        <w:adjustRightInd w:val="0"/>
        <w:snapToGrid w:val="0"/>
        <w:ind w:firstLineChars="200" w:firstLine="480"/>
        <w:rPr>
          <w:rFonts w:ascii="宋体" w:hAnsi="宋体"/>
          <w:bCs/>
          <w:sz w:val="24"/>
          <w:szCs w:val="24"/>
        </w:rPr>
      </w:pPr>
      <w:r w:rsidRPr="00C5744D">
        <w:rPr>
          <w:rFonts w:ascii="宋体" w:hAnsi="宋体" w:hint="eastAsia"/>
          <w:bCs/>
          <w:sz w:val="24"/>
          <w:szCs w:val="24"/>
        </w:rPr>
        <w:t>1、本公告仅对前述基金根据《实施细则》调整交易结算模式，并相应修改《招募说明书》的事项进行说明。上述变更属于因相应的法律法规、上海证券交易所或者登记机构的相关业务规则发生变动而对《招募说明书》进行修改，对基金份额持有人利益无实质性不利影响，无需经基金份额持有人大会表决，本公司已就相关事项履行了规定的程序，《招募说明书》的修改自2020年1月20日起生效。</w:t>
      </w:r>
    </w:p>
    <w:p w:rsidR="00C5744D" w:rsidRPr="00C5744D" w:rsidRDefault="00C5744D" w:rsidP="00C5744D">
      <w:pPr>
        <w:adjustRightInd w:val="0"/>
        <w:snapToGrid w:val="0"/>
        <w:ind w:firstLineChars="200" w:firstLine="480"/>
        <w:rPr>
          <w:rFonts w:ascii="宋体" w:hAnsi="宋体"/>
          <w:bCs/>
          <w:sz w:val="24"/>
          <w:szCs w:val="24"/>
        </w:rPr>
      </w:pPr>
      <w:r w:rsidRPr="00C5744D">
        <w:rPr>
          <w:rFonts w:ascii="宋体" w:hAnsi="宋体" w:hint="eastAsia"/>
          <w:bCs/>
          <w:sz w:val="24"/>
          <w:szCs w:val="24"/>
        </w:rPr>
        <w:t>2、投资者可登陆本公司网站（</w:t>
      </w:r>
      <w:r w:rsidRPr="00452D48">
        <w:rPr>
          <w:rFonts w:eastAsiaTheme="minorEastAsia"/>
          <w:sz w:val="24"/>
          <w:szCs w:val="24"/>
        </w:rPr>
        <w:t>www.stocke.com.cn</w:t>
      </w:r>
      <w:r w:rsidRPr="00C5744D">
        <w:rPr>
          <w:rFonts w:ascii="宋体" w:hAnsi="宋体" w:hint="eastAsia"/>
          <w:bCs/>
          <w:sz w:val="24"/>
          <w:szCs w:val="24"/>
        </w:rPr>
        <w:t>）或拨打客户服务电话（</w:t>
      </w:r>
      <w:r w:rsidRPr="00452D48">
        <w:rPr>
          <w:rFonts w:eastAsiaTheme="minorEastAsia"/>
          <w:sz w:val="24"/>
          <w:szCs w:val="24"/>
        </w:rPr>
        <w:t>95345</w:t>
      </w:r>
      <w:r w:rsidRPr="00C5744D">
        <w:rPr>
          <w:rFonts w:ascii="宋体" w:hAnsi="宋体" w:hint="eastAsia"/>
          <w:bCs/>
          <w:sz w:val="24"/>
          <w:szCs w:val="24"/>
        </w:rPr>
        <w:t>）获取相关信息。</w:t>
      </w:r>
    </w:p>
    <w:p w:rsidR="003B16E3" w:rsidRDefault="003B16E3" w:rsidP="00C5744D">
      <w:pPr>
        <w:adjustRightInd w:val="0"/>
        <w:snapToGrid w:val="0"/>
        <w:ind w:firstLineChars="200" w:firstLine="480"/>
        <w:rPr>
          <w:rFonts w:ascii="宋体" w:hAnsi="宋体"/>
          <w:bCs/>
          <w:sz w:val="24"/>
          <w:szCs w:val="24"/>
        </w:rPr>
      </w:pPr>
    </w:p>
    <w:p w:rsidR="003B16E3" w:rsidRDefault="003B16E3" w:rsidP="00C5744D">
      <w:pPr>
        <w:adjustRightInd w:val="0"/>
        <w:snapToGrid w:val="0"/>
        <w:ind w:firstLineChars="200" w:firstLine="480"/>
        <w:rPr>
          <w:rFonts w:ascii="宋体" w:hAnsi="宋体"/>
          <w:bCs/>
          <w:sz w:val="24"/>
          <w:szCs w:val="24"/>
        </w:rPr>
      </w:pPr>
    </w:p>
    <w:p w:rsidR="00C5744D" w:rsidRPr="00C5744D" w:rsidRDefault="00C5744D" w:rsidP="00C5744D">
      <w:pPr>
        <w:adjustRightInd w:val="0"/>
        <w:snapToGrid w:val="0"/>
        <w:ind w:firstLineChars="200" w:firstLine="482"/>
        <w:rPr>
          <w:rFonts w:ascii="宋体" w:hAnsi="宋体"/>
          <w:bCs/>
          <w:sz w:val="24"/>
          <w:szCs w:val="24"/>
        </w:rPr>
      </w:pPr>
      <w:r w:rsidRPr="003B16E3">
        <w:rPr>
          <w:rFonts w:ascii="宋体" w:hAnsi="宋体" w:hint="eastAsia"/>
          <w:b/>
          <w:sz w:val="24"/>
          <w:szCs w:val="24"/>
        </w:rPr>
        <w:t>风险提示</w:t>
      </w:r>
      <w:r w:rsidRPr="00C5744D">
        <w:rPr>
          <w:rFonts w:ascii="宋体" w:hAnsi="宋体" w:hint="eastAsia"/>
          <w:bCs/>
          <w:sz w:val="24"/>
          <w:szCs w:val="24"/>
        </w:rPr>
        <w:t>：基金管理人承诺以诚实信用、勤勉尽责的原则管理和运用基金资产，但不保证基金一定盈利，也不保证最低收益。投资者投资本公司旗下基金前应认真阅读基金的《基金合同》和《招募说明书》。敬请投资者注意投资风险。</w:t>
      </w:r>
    </w:p>
    <w:p w:rsidR="003B16E3" w:rsidRDefault="003B16E3" w:rsidP="00C5744D">
      <w:pPr>
        <w:adjustRightInd w:val="0"/>
        <w:snapToGrid w:val="0"/>
        <w:ind w:firstLineChars="200" w:firstLine="480"/>
        <w:rPr>
          <w:rFonts w:ascii="宋体" w:hAnsi="宋体"/>
          <w:bCs/>
          <w:sz w:val="24"/>
          <w:szCs w:val="24"/>
        </w:rPr>
      </w:pPr>
    </w:p>
    <w:p w:rsidR="00C5744D" w:rsidRDefault="00C5744D" w:rsidP="00C5744D">
      <w:pPr>
        <w:adjustRightInd w:val="0"/>
        <w:snapToGrid w:val="0"/>
        <w:ind w:firstLineChars="200" w:firstLine="480"/>
        <w:rPr>
          <w:rFonts w:ascii="宋体" w:hAnsi="宋体"/>
          <w:bCs/>
          <w:sz w:val="24"/>
          <w:szCs w:val="24"/>
        </w:rPr>
      </w:pPr>
      <w:bookmarkStart w:id="0" w:name="_GoBack"/>
      <w:bookmarkEnd w:id="0"/>
      <w:r w:rsidRPr="00C5744D">
        <w:rPr>
          <w:rFonts w:ascii="宋体" w:hAnsi="宋体" w:hint="eastAsia"/>
          <w:bCs/>
          <w:sz w:val="24"/>
          <w:szCs w:val="24"/>
        </w:rPr>
        <w:t>特此公告。</w:t>
      </w:r>
    </w:p>
    <w:p w:rsidR="00C5744D" w:rsidRDefault="00C5744D" w:rsidP="00C5744D">
      <w:pPr>
        <w:adjustRightInd w:val="0"/>
        <w:snapToGrid w:val="0"/>
        <w:ind w:firstLineChars="200" w:firstLine="480"/>
        <w:rPr>
          <w:rFonts w:ascii="宋体" w:hAnsi="宋体"/>
          <w:bCs/>
          <w:sz w:val="24"/>
          <w:szCs w:val="24"/>
        </w:rPr>
      </w:pPr>
    </w:p>
    <w:p w:rsidR="00C5744D" w:rsidRDefault="00C5744D" w:rsidP="00C5744D">
      <w:pPr>
        <w:adjustRightInd w:val="0"/>
        <w:snapToGrid w:val="0"/>
        <w:ind w:firstLineChars="200" w:firstLine="480"/>
        <w:rPr>
          <w:rFonts w:ascii="宋体" w:hAnsi="宋体"/>
          <w:bCs/>
          <w:sz w:val="24"/>
          <w:szCs w:val="24"/>
        </w:rPr>
      </w:pPr>
    </w:p>
    <w:p w:rsidR="00C5744D" w:rsidRDefault="00C5744D" w:rsidP="00C5744D">
      <w:pPr>
        <w:adjustRightInd w:val="0"/>
        <w:snapToGrid w:val="0"/>
        <w:ind w:firstLineChars="200" w:firstLine="480"/>
        <w:jc w:val="right"/>
        <w:rPr>
          <w:rFonts w:ascii="宋体" w:hAnsi="宋体"/>
          <w:bCs/>
          <w:sz w:val="24"/>
          <w:szCs w:val="24"/>
        </w:rPr>
      </w:pPr>
      <w:r w:rsidRPr="00C5744D">
        <w:rPr>
          <w:rFonts w:ascii="宋体" w:hAnsi="宋体" w:hint="eastAsia"/>
          <w:bCs/>
          <w:sz w:val="24"/>
          <w:szCs w:val="24"/>
        </w:rPr>
        <w:t>浙江浙商证券资产管理有限公司</w:t>
      </w:r>
    </w:p>
    <w:p w:rsidR="00C5744D" w:rsidRDefault="00C5744D" w:rsidP="00C5744D">
      <w:pPr>
        <w:adjustRightInd w:val="0"/>
        <w:snapToGrid w:val="0"/>
        <w:ind w:firstLineChars="200" w:firstLine="480"/>
        <w:jc w:val="right"/>
        <w:rPr>
          <w:rFonts w:ascii="宋体" w:hAnsi="宋体"/>
          <w:bCs/>
          <w:sz w:val="24"/>
          <w:szCs w:val="24"/>
        </w:rPr>
      </w:pPr>
      <w:r>
        <w:rPr>
          <w:rFonts w:ascii="宋体" w:hAnsi="宋体" w:hint="eastAsia"/>
          <w:bCs/>
          <w:sz w:val="24"/>
          <w:szCs w:val="24"/>
        </w:rPr>
        <w:t>2020年1月20日</w:t>
      </w:r>
    </w:p>
    <w:p w:rsidR="00C5744D" w:rsidRDefault="00C5744D" w:rsidP="00C5744D">
      <w:pPr>
        <w:adjustRightInd w:val="0"/>
        <w:snapToGrid w:val="0"/>
        <w:ind w:firstLineChars="200" w:firstLine="480"/>
        <w:rPr>
          <w:rFonts w:ascii="宋体" w:hAnsi="宋体"/>
          <w:bCs/>
          <w:sz w:val="24"/>
          <w:szCs w:val="24"/>
        </w:rPr>
      </w:pPr>
    </w:p>
    <w:p w:rsidR="00C5744D" w:rsidRPr="00C5744D" w:rsidRDefault="00C5744D" w:rsidP="00C5744D">
      <w:pPr>
        <w:adjustRightInd w:val="0"/>
        <w:snapToGrid w:val="0"/>
        <w:ind w:firstLineChars="200" w:firstLine="480"/>
        <w:rPr>
          <w:rFonts w:ascii="宋体" w:hAnsi="宋体"/>
          <w:bCs/>
          <w:sz w:val="24"/>
          <w:szCs w:val="24"/>
        </w:rPr>
      </w:pPr>
    </w:p>
    <w:sectPr w:rsidR="00C5744D" w:rsidRPr="00C5744D" w:rsidSect="002E23A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6E3" w:rsidRDefault="003B16E3" w:rsidP="003B16E3">
      <w:pPr>
        <w:spacing w:line="240" w:lineRule="auto"/>
      </w:pPr>
      <w:r>
        <w:separator/>
      </w:r>
    </w:p>
  </w:endnote>
  <w:endnote w:type="continuationSeparator" w:id="1">
    <w:p w:rsidR="003B16E3" w:rsidRDefault="003B16E3" w:rsidP="003B16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274422"/>
      <w:docPartObj>
        <w:docPartGallery w:val="Page Numbers (Bottom of Page)"/>
        <w:docPartUnique/>
      </w:docPartObj>
    </w:sdtPr>
    <w:sdtContent>
      <w:p w:rsidR="003B16E3" w:rsidRDefault="002E23AA">
        <w:pPr>
          <w:pStyle w:val="a6"/>
          <w:jc w:val="center"/>
        </w:pPr>
        <w:r>
          <w:fldChar w:fldCharType="begin"/>
        </w:r>
        <w:r w:rsidR="003B16E3">
          <w:instrText>PAGE   \* MERGEFORMAT</w:instrText>
        </w:r>
        <w:r>
          <w:fldChar w:fldCharType="separate"/>
        </w:r>
        <w:r w:rsidR="00520F55" w:rsidRPr="00520F55">
          <w:rPr>
            <w:noProof/>
            <w:lang w:val="zh-CN"/>
          </w:rPr>
          <w:t>1</w:t>
        </w:r>
        <w:r>
          <w:fldChar w:fldCharType="end"/>
        </w:r>
      </w:p>
    </w:sdtContent>
  </w:sdt>
  <w:p w:rsidR="003B16E3" w:rsidRDefault="003B16E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6E3" w:rsidRDefault="003B16E3" w:rsidP="003B16E3">
      <w:pPr>
        <w:spacing w:line="240" w:lineRule="auto"/>
      </w:pPr>
      <w:r>
        <w:separator/>
      </w:r>
    </w:p>
  </w:footnote>
  <w:footnote w:type="continuationSeparator" w:id="1">
    <w:p w:rsidR="003B16E3" w:rsidRDefault="003B16E3" w:rsidP="003B16E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744D"/>
    <w:rsid w:val="0025384A"/>
    <w:rsid w:val="002E23AA"/>
    <w:rsid w:val="003B16E3"/>
    <w:rsid w:val="00520F55"/>
    <w:rsid w:val="006843D6"/>
    <w:rsid w:val="00C574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44D"/>
    <w:pPr>
      <w:widowControl w:val="0"/>
      <w:spacing w:line="360" w:lineRule="auto"/>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5744D"/>
    <w:rPr>
      <w:sz w:val="18"/>
      <w:szCs w:val="18"/>
    </w:rPr>
  </w:style>
  <w:style w:type="character" w:customStyle="1" w:styleId="Char">
    <w:name w:val="批注框文本 Char"/>
    <w:basedOn w:val="a0"/>
    <w:link w:val="a3"/>
    <w:uiPriority w:val="99"/>
    <w:semiHidden/>
    <w:rsid w:val="00C5744D"/>
    <w:rPr>
      <w:sz w:val="18"/>
      <w:szCs w:val="18"/>
    </w:rPr>
  </w:style>
  <w:style w:type="paragraph" w:styleId="a4">
    <w:name w:val="Date"/>
    <w:basedOn w:val="a"/>
    <w:next w:val="a"/>
    <w:link w:val="Char0"/>
    <w:uiPriority w:val="99"/>
    <w:semiHidden/>
    <w:unhideWhenUsed/>
    <w:rsid w:val="00C5744D"/>
    <w:pPr>
      <w:ind w:leftChars="2500" w:left="100"/>
    </w:pPr>
  </w:style>
  <w:style w:type="character" w:customStyle="1" w:styleId="Char0">
    <w:name w:val="日期 Char"/>
    <w:basedOn w:val="a0"/>
    <w:link w:val="a4"/>
    <w:uiPriority w:val="99"/>
    <w:semiHidden/>
    <w:rsid w:val="00C5744D"/>
    <w:rPr>
      <w:rFonts w:ascii="Times New Roman" w:eastAsia="宋体" w:hAnsi="Times New Roman" w:cs="Times New Roman"/>
      <w:szCs w:val="21"/>
    </w:rPr>
  </w:style>
  <w:style w:type="paragraph" w:styleId="a5">
    <w:name w:val="header"/>
    <w:basedOn w:val="a"/>
    <w:link w:val="Char1"/>
    <w:uiPriority w:val="99"/>
    <w:unhideWhenUsed/>
    <w:rsid w:val="003B16E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5"/>
    <w:uiPriority w:val="99"/>
    <w:rsid w:val="003B16E3"/>
    <w:rPr>
      <w:rFonts w:ascii="Times New Roman" w:eastAsia="宋体" w:hAnsi="Times New Roman" w:cs="Times New Roman"/>
      <w:sz w:val="18"/>
      <w:szCs w:val="18"/>
    </w:rPr>
  </w:style>
  <w:style w:type="paragraph" w:styleId="a6">
    <w:name w:val="footer"/>
    <w:basedOn w:val="a"/>
    <w:link w:val="Char2"/>
    <w:uiPriority w:val="99"/>
    <w:unhideWhenUsed/>
    <w:rsid w:val="003B16E3"/>
    <w:pPr>
      <w:tabs>
        <w:tab w:val="center" w:pos="4153"/>
        <w:tab w:val="right" w:pos="8306"/>
      </w:tabs>
      <w:snapToGrid w:val="0"/>
      <w:spacing w:line="240" w:lineRule="auto"/>
      <w:jc w:val="left"/>
    </w:pPr>
    <w:rPr>
      <w:sz w:val="18"/>
      <w:szCs w:val="18"/>
    </w:rPr>
  </w:style>
  <w:style w:type="character" w:customStyle="1" w:styleId="Char2">
    <w:name w:val="页脚 Char"/>
    <w:basedOn w:val="a0"/>
    <w:link w:val="a6"/>
    <w:uiPriority w:val="99"/>
    <w:rsid w:val="003B16E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497</Words>
  <Characters>2839</Characters>
  <Application>Microsoft Office Word</Application>
  <DocSecurity>4</DocSecurity>
  <Lines>23</Lines>
  <Paragraphs>6</Paragraphs>
  <ScaleCrop>false</ScaleCrop>
  <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JonMMx 2000</cp:lastModifiedBy>
  <cp:revision>2</cp:revision>
  <dcterms:created xsi:type="dcterms:W3CDTF">2020-01-19T16:03:00Z</dcterms:created>
  <dcterms:modified xsi:type="dcterms:W3CDTF">2020-01-19T16:03:00Z</dcterms:modified>
</cp:coreProperties>
</file>