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67" w:rsidRPr="00BD204D" w:rsidRDefault="00940149" w:rsidP="00993567">
      <w:pPr>
        <w:spacing w:line="360" w:lineRule="auto"/>
        <w:jc w:val="center"/>
        <w:rPr>
          <w:b/>
          <w:bCs/>
          <w:color w:val="000000"/>
          <w:sz w:val="30"/>
          <w:szCs w:val="30"/>
        </w:rPr>
      </w:pPr>
      <w:bookmarkStart w:id="0" w:name="_GoBack"/>
      <w:bookmarkStart w:id="1" w:name="_Toc249760023"/>
      <w:bookmarkEnd w:id="0"/>
      <w:r>
        <w:rPr>
          <w:rFonts w:hint="eastAsia"/>
          <w:b/>
          <w:bCs/>
          <w:color w:val="000000"/>
          <w:sz w:val="30"/>
          <w:szCs w:val="30"/>
        </w:rPr>
        <w:t>关于</w:t>
      </w:r>
      <w:r w:rsidR="00993567" w:rsidRPr="0067650E">
        <w:rPr>
          <w:rFonts w:hint="eastAsia"/>
          <w:b/>
          <w:bCs/>
          <w:color w:val="000000"/>
          <w:sz w:val="30"/>
          <w:szCs w:val="30"/>
        </w:rPr>
        <w:t>汇丰晋信沪港深股票型基金</w:t>
      </w:r>
      <w:r w:rsidR="00ED61B8">
        <w:rPr>
          <w:rFonts w:hint="eastAsia"/>
          <w:b/>
          <w:bCs/>
          <w:color w:val="000000"/>
          <w:sz w:val="30"/>
          <w:szCs w:val="30"/>
        </w:rPr>
        <w:t>、</w:t>
      </w:r>
      <w:r w:rsidR="00ED61B8" w:rsidRPr="00672E54">
        <w:rPr>
          <w:rFonts w:hint="eastAsia"/>
          <w:b/>
          <w:bCs/>
          <w:color w:val="000000"/>
          <w:sz w:val="30"/>
          <w:szCs w:val="30"/>
        </w:rPr>
        <w:t>汇丰晋信港股通精选股票型基金</w:t>
      </w:r>
      <w:r w:rsidR="00ED61B8">
        <w:rPr>
          <w:rFonts w:hint="eastAsia"/>
          <w:b/>
          <w:bCs/>
          <w:color w:val="000000"/>
          <w:sz w:val="30"/>
          <w:szCs w:val="30"/>
        </w:rPr>
        <w:t>、汇丰晋信</w:t>
      </w:r>
      <w:r w:rsidR="00ED61B8" w:rsidRPr="000A4D7F">
        <w:rPr>
          <w:rFonts w:hint="eastAsia"/>
          <w:b/>
          <w:bCs/>
          <w:color w:val="000000"/>
          <w:sz w:val="30"/>
          <w:szCs w:val="30"/>
        </w:rPr>
        <w:t>港股通双核策略混合型基金</w:t>
      </w:r>
      <w:r w:rsidR="00993567" w:rsidRPr="0067650E">
        <w:rPr>
          <w:rFonts w:hint="eastAsia"/>
          <w:b/>
          <w:bCs/>
          <w:color w:val="000000"/>
          <w:sz w:val="30"/>
          <w:szCs w:val="30"/>
        </w:rPr>
        <w:t>暂停申购</w:t>
      </w:r>
      <w:r w:rsidR="005D07CC">
        <w:rPr>
          <w:rFonts w:hint="eastAsia"/>
          <w:b/>
          <w:bCs/>
          <w:color w:val="000000"/>
          <w:sz w:val="30"/>
          <w:szCs w:val="30"/>
        </w:rPr>
        <w:t>及</w:t>
      </w:r>
      <w:r w:rsidR="00993567" w:rsidRPr="0067650E">
        <w:rPr>
          <w:rFonts w:hint="eastAsia"/>
          <w:b/>
          <w:bCs/>
          <w:color w:val="000000"/>
          <w:sz w:val="30"/>
          <w:szCs w:val="30"/>
        </w:rPr>
        <w:t>定期定额投资业务的公告</w:t>
      </w:r>
    </w:p>
    <w:p w:rsidR="00993567" w:rsidRPr="00022888" w:rsidRDefault="00993567" w:rsidP="00993567">
      <w:pPr>
        <w:spacing w:line="360" w:lineRule="auto"/>
        <w:jc w:val="center"/>
        <w:rPr>
          <w:rFonts w:ascii="宋体" w:hAnsi="宋体"/>
          <w:b/>
          <w:sz w:val="24"/>
        </w:rPr>
      </w:pPr>
    </w:p>
    <w:p w:rsidR="00993567" w:rsidRPr="00BD204D" w:rsidRDefault="00993567" w:rsidP="00993567">
      <w:pPr>
        <w:spacing w:line="360" w:lineRule="auto"/>
        <w:jc w:val="center"/>
        <w:rPr>
          <w:rFonts w:ascii="宋体" w:hAnsi="宋体"/>
          <w:b/>
          <w:sz w:val="24"/>
        </w:rPr>
      </w:pPr>
      <w:r w:rsidRPr="00BD204D">
        <w:rPr>
          <w:rFonts w:ascii="宋体" w:hAnsi="宋体" w:hint="eastAsia"/>
          <w:b/>
          <w:sz w:val="24"/>
        </w:rPr>
        <w:t>公告</w:t>
      </w:r>
      <w:r w:rsidRPr="00BD204D">
        <w:rPr>
          <w:rFonts w:ascii="宋体" w:hAnsi="宋体"/>
          <w:b/>
          <w:sz w:val="24"/>
        </w:rPr>
        <w:t>送出日期：</w:t>
      </w:r>
      <w:r>
        <w:rPr>
          <w:rFonts w:ascii="宋体" w:hAnsi="宋体"/>
          <w:b/>
          <w:sz w:val="24"/>
        </w:rPr>
        <w:t>20</w:t>
      </w:r>
      <w:r w:rsidR="005D07CC">
        <w:rPr>
          <w:rFonts w:ascii="宋体" w:hAnsi="宋体" w:hint="eastAsia"/>
          <w:b/>
          <w:sz w:val="24"/>
        </w:rPr>
        <w:t>20</w:t>
      </w:r>
      <w:r w:rsidRPr="00BD204D">
        <w:rPr>
          <w:rFonts w:ascii="宋体" w:hAnsi="宋体"/>
          <w:b/>
          <w:sz w:val="24"/>
        </w:rPr>
        <w:t>年</w:t>
      </w:r>
      <w:r w:rsidR="005D07CC">
        <w:rPr>
          <w:rFonts w:ascii="宋体" w:hAnsi="宋体" w:hint="eastAsia"/>
          <w:b/>
          <w:sz w:val="24"/>
        </w:rPr>
        <w:t>1</w:t>
      </w:r>
      <w:r w:rsidRPr="00BD204D">
        <w:rPr>
          <w:rFonts w:ascii="宋体" w:hAnsi="宋体"/>
          <w:b/>
          <w:sz w:val="24"/>
        </w:rPr>
        <w:t>月</w:t>
      </w:r>
      <w:r w:rsidR="00940149">
        <w:rPr>
          <w:rFonts w:ascii="宋体" w:hAnsi="宋体" w:hint="eastAsia"/>
          <w:b/>
          <w:sz w:val="24"/>
        </w:rPr>
        <w:t>18</w:t>
      </w:r>
      <w:r w:rsidRPr="00BD204D">
        <w:rPr>
          <w:rFonts w:ascii="宋体" w:hAnsi="宋体"/>
          <w:b/>
          <w:sz w:val="24"/>
        </w:rPr>
        <w:t>日</w:t>
      </w:r>
    </w:p>
    <w:p w:rsidR="00993567" w:rsidRDefault="00993567" w:rsidP="00993567">
      <w:pPr>
        <w:spacing w:line="360" w:lineRule="auto"/>
        <w:jc w:val="center"/>
        <w:rPr>
          <w:color w:val="000000"/>
          <w:sz w:val="24"/>
        </w:rPr>
      </w:pPr>
    </w:p>
    <w:p w:rsidR="00993567" w:rsidRDefault="00993567" w:rsidP="00993567">
      <w:pPr>
        <w:pStyle w:val="3"/>
        <w:keepNext w:val="0"/>
        <w:keepLines w:val="0"/>
        <w:spacing w:before="0" w:after="0" w:line="360" w:lineRule="auto"/>
        <w:rPr>
          <w:rFonts w:ascii="宋体" w:hAnsi="宋体"/>
          <w:bCs w:val="0"/>
          <w:sz w:val="24"/>
          <w:szCs w:val="24"/>
        </w:rPr>
      </w:pPr>
      <w:r w:rsidRPr="00BD204D">
        <w:rPr>
          <w:rFonts w:ascii="宋体" w:hAnsi="宋体" w:hint="eastAsia"/>
          <w:bCs w:val="0"/>
          <w:sz w:val="24"/>
          <w:szCs w:val="24"/>
        </w:rPr>
        <w:t>1.公告基本信息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4"/>
        <w:gridCol w:w="2034"/>
        <w:gridCol w:w="2263"/>
        <w:gridCol w:w="2191"/>
      </w:tblGrid>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基金名称</w:t>
            </w:r>
          </w:p>
        </w:tc>
        <w:tc>
          <w:tcPr>
            <w:tcW w:w="4454" w:type="dxa"/>
            <w:gridSpan w:val="2"/>
            <w:vAlign w:val="center"/>
          </w:tcPr>
          <w:p w:rsidR="005D07CC" w:rsidRPr="00594CEC" w:rsidRDefault="005D07CC" w:rsidP="00691C88">
            <w:pPr>
              <w:snapToGrid w:val="0"/>
              <w:spacing w:beforeLines="50" w:line="360" w:lineRule="auto"/>
              <w:rPr>
                <w:rFonts w:ascii="宋体" w:hAnsi="宋体"/>
                <w:color w:val="000000"/>
                <w:sz w:val="24"/>
              </w:rPr>
            </w:pPr>
            <w:r w:rsidRPr="003159AA">
              <w:rPr>
                <w:rFonts w:ascii="宋体" w:hAnsi="宋体" w:hint="eastAsia"/>
                <w:color w:val="000000"/>
                <w:sz w:val="24"/>
              </w:rPr>
              <w:t>汇丰晋信</w:t>
            </w:r>
            <w:r>
              <w:rPr>
                <w:rFonts w:ascii="宋体" w:hAnsi="宋体" w:hint="eastAsia"/>
                <w:color w:val="000000"/>
                <w:sz w:val="24"/>
              </w:rPr>
              <w:t>沪港深股票</w:t>
            </w:r>
            <w:r w:rsidRPr="003159AA">
              <w:rPr>
                <w:rFonts w:ascii="宋体" w:hAnsi="宋体" w:hint="eastAsia"/>
                <w:color w:val="000000"/>
                <w:sz w:val="24"/>
              </w:rPr>
              <w:t>型证券投资基金</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基金简称</w:t>
            </w:r>
          </w:p>
        </w:tc>
        <w:tc>
          <w:tcPr>
            <w:tcW w:w="4454" w:type="dxa"/>
            <w:gridSpan w:val="2"/>
            <w:vAlign w:val="center"/>
          </w:tcPr>
          <w:p w:rsidR="005D07CC" w:rsidRPr="00BB2468" w:rsidRDefault="005D07CC" w:rsidP="00691C88">
            <w:pPr>
              <w:snapToGrid w:val="0"/>
              <w:spacing w:beforeLines="50" w:line="360" w:lineRule="auto"/>
              <w:rPr>
                <w:rFonts w:ascii="宋体" w:hAnsi="宋体"/>
                <w:color w:val="000000"/>
                <w:sz w:val="24"/>
              </w:rPr>
            </w:pPr>
            <w:r w:rsidRPr="001A1374">
              <w:rPr>
                <w:rFonts w:ascii="宋体" w:hAnsi="宋体" w:hint="eastAsia"/>
                <w:color w:val="000000"/>
                <w:sz w:val="24"/>
              </w:rPr>
              <w:t>汇丰晋信</w:t>
            </w:r>
            <w:r>
              <w:rPr>
                <w:rFonts w:ascii="宋体" w:hAnsi="宋体" w:hint="eastAsia"/>
                <w:color w:val="000000"/>
                <w:sz w:val="24"/>
              </w:rPr>
              <w:t>沪港深股票</w:t>
            </w:r>
          </w:p>
        </w:tc>
      </w:tr>
      <w:tr w:rsidR="005D07CC" w:rsidRPr="00D73315" w:rsidTr="007A5DFC">
        <w:trPr>
          <w:trHeight w:val="386"/>
          <w:jc w:val="center"/>
        </w:trPr>
        <w:tc>
          <w:tcPr>
            <w:tcW w:w="4068" w:type="dxa"/>
            <w:gridSpan w:val="2"/>
            <w:vAlign w:val="center"/>
          </w:tcPr>
          <w:p w:rsidR="005D07CC" w:rsidRPr="00D73315" w:rsidRDefault="005D07CC" w:rsidP="007A5DFC">
            <w:pPr>
              <w:spacing w:line="560" w:lineRule="exact"/>
              <w:rPr>
                <w:rFonts w:ascii="宋体" w:hAnsi="宋体"/>
                <w:color w:val="000000"/>
                <w:sz w:val="24"/>
              </w:rPr>
            </w:pPr>
            <w:r w:rsidRPr="00D73315">
              <w:rPr>
                <w:rFonts w:ascii="宋体" w:hAnsi="宋体" w:hint="eastAsia"/>
                <w:color w:val="000000"/>
                <w:sz w:val="24"/>
              </w:rPr>
              <w:t>基金</w:t>
            </w:r>
            <w:r>
              <w:rPr>
                <w:rFonts w:ascii="宋体" w:hAnsi="宋体" w:hint="eastAsia"/>
                <w:color w:val="000000"/>
                <w:sz w:val="24"/>
              </w:rPr>
              <w:t>主</w:t>
            </w:r>
            <w:r w:rsidRPr="00D73315">
              <w:rPr>
                <w:rFonts w:ascii="宋体" w:hAnsi="宋体" w:hint="eastAsia"/>
                <w:color w:val="000000"/>
                <w:sz w:val="24"/>
              </w:rPr>
              <w:t>代码</w:t>
            </w:r>
          </w:p>
        </w:tc>
        <w:tc>
          <w:tcPr>
            <w:tcW w:w="4454" w:type="dxa"/>
            <w:gridSpan w:val="2"/>
            <w:vAlign w:val="center"/>
          </w:tcPr>
          <w:p w:rsidR="005D07CC" w:rsidRPr="00BB2468" w:rsidRDefault="005D07CC" w:rsidP="00691C88">
            <w:pPr>
              <w:snapToGrid w:val="0"/>
              <w:spacing w:beforeLines="50" w:line="360" w:lineRule="auto"/>
              <w:rPr>
                <w:rFonts w:ascii="宋体" w:hAnsi="宋体"/>
                <w:color w:val="000000"/>
                <w:sz w:val="24"/>
              </w:rPr>
            </w:pPr>
            <w:r w:rsidRPr="00BB536A">
              <w:rPr>
                <w:rFonts w:ascii="宋体" w:hAnsi="宋体" w:hint="eastAsia"/>
                <w:kern w:val="0"/>
                <w:sz w:val="24"/>
              </w:rPr>
              <w:t>00</w:t>
            </w:r>
            <w:r>
              <w:rPr>
                <w:rFonts w:ascii="宋体" w:hAnsi="宋体"/>
                <w:kern w:val="0"/>
                <w:sz w:val="24"/>
              </w:rPr>
              <w:t>2332</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基金运作方式</w:t>
            </w:r>
          </w:p>
        </w:tc>
        <w:tc>
          <w:tcPr>
            <w:tcW w:w="4454" w:type="dxa"/>
            <w:gridSpan w:val="2"/>
          </w:tcPr>
          <w:p w:rsidR="005D07CC" w:rsidRPr="00D73315" w:rsidRDefault="005D07CC" w:rsidP="007A5DFC">
            <w:pPr>
              <w:spacing w:line="560" w:lineRule="exact"/>
              <w:rPr>
                <w:rFonts w:ascii="宋体" w:hAnsi="宋体"/>
                <w:color w:val="000000"/>
                <w:kern w:val="0"/>
                <w:sz w:val="18"/>
              </w:rPr>
            </w:pPr>
            <w:r w:rsidRPr="00D73315">
              <w:rPr>
                <w:rFonts w:ascii="宋体" w:hAnsi="宋体" w:hint="eastAsia"/>
                <w:sz w:val="24"/>
              </w:rPr>
              <w:t>契约型开放式</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基金合同生效日</w:t>
            </w:r>
          </w:p>
        </w:tc>
        <w:tc>
          <w:tcPr>
            <w:tcW w:w="4454"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hint="eastAsia"/>
                <w:color w:val="000000"/>
                <w:sz w:val="24"/>
              </w:rPr>
              <w:t>2016</w:t>
            </w:r>
            <w:r w:rsidRPr="00D73315">
              <w:rPr>
                <w:rFonts w:ascii="宋体" w:hAnsi="宋体"/>
                <w:color w:val="000000"/>
                <w:sz w:val="24"/>
              </w:rPr>
              <w:t>年</w:t>
            </w:r>
            <w:r>
              <w:rPr>
                <w:rFonts w:ascii="宋体" w:hAnsi="宋体"/>
                <w:color w:val="000000"/>
                <w:sz w:val="24"/>
              </w:rPr>
              <w:t>11</w:t>
            </w:r>
            <w:r w:rsidRPr="00D73315">
              <w:rPr>
                <w:rFonts w:ascii="宋体" w:hAnsi="宋体"/>
                <w:color w:val="000000"/>
                <w:sz w:val="24"/>
              </w:rPr>
              <w:t>月</w:t>
            </w:r>
            <w:r>
              <w:rPr>
                <w:rFonts w:ascii="宋体" w:hAnsi="宋体"/>
                <w:color w:val="000000"/>
                <w:sz w:val="24"/>
              </w:rPr>
              <w:t>10</w:t>
            </w:r>
            <w:r w:rsidRPr="00D73315">
              <w:rPr>
                <w:rFonts w:ascii="宋体" w:hAnsi="宋体"/>
                <w:color w:val="000000"/>
                <w:sz w:val="24"/>
              </w:rPr>
              <w:t>日</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基金管理人名称</w:t>
            </w:r>
          </w:p>
        </w:tc>
        <w:tc>
          <w:tcPr>
            <w:tcW w:w="4454" w:type="dxa"/>
            <w:gridSpan w:val="2"/>
            <w:vAlign w:val="center"/>
          </w:tcPr>
          <w:p w:rsidR="005D07CC" w:rsidRPr="00D73315" w:rsidRDefault="005D07CC" w:rsidP="00691C88">
            <w:pPr>
              <w:snapToGrid w:val="0"/>
              <w:spacing w:beforeLines="50" w:line="360" w:lineRule="auto"/>
              <w:rPr>
                <w:rFonts w:ascii="宋体" w:hAnsi="宋体"/>
                <w:color w:val="000000"/>
                <w:kern w:val="0"/>
                <w:sz w:val="24"/>
              </w:rPr>
            </w:pPr>
            <w:r w:rsidRPr="00D73315">
              <w:rPr>
                <w:rFonts w:ascii="宋体" w:hAnsi="宋体" w:hint="eastAsia"/>
                <w:sz w:val="24"/>
              </w:rPr>
              <w:t>汇丰晋信基金管理有限公司</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基金托管人名称</w:t>
            </w:r>
          </w:p>
        </w:tc>
        <w:tc>
          <w:tcPr>
            <w:tcW w:w="4454" w:type="dxa"/>
            <w:gridSpan w:val="2"/>
            <w:vAlign w:val="center"/>
          </w:tcPr>
          <w:p w:rsidR="005D07CC" w:rsidRPr="00594CEC" w:rsidRDefault="005D07CC" w:rsidP="00691C88">
            <w:pPr>
              <w:snapToGrid w:val="0"/>
              <w:spacing w:beforeLines="50" w:line="360" w:lineRule="auto"/>
              <w:rPr>
                <w:rFonts w:ascii="宋体" w:hAnsi="宋体"/>
                <w:color w:val="000000"/>
                <w:sz w:val="24"/>
              </w:rPr>
            </w:pPr>
            <w:r w:rsidRPr="00BB2468">
              <w:rPr>
                <w:rFonts w:ascii="宋体" w:hAnsi="宋体" w:hint="eastAsia"/>
                <w:color w:val="000000"/>
                <w:sz w:val="24"/>
              </w:rPr>
              <w:t>交通银行股份有限公司</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公告依据</w:t>
            </w:r>
          </w:p>
        </w:tc>
        <w:tc>
          <w:tcPr>
            <w:tcW w:w="4454" w:type="dxa"/>
            <w:gridSpan w:val="2"/>
          </w:tcPr>
          <w:p w:rsidR="005D07CC" w:rsidRPr="00D73315" w:rsidRDefault="005D07CC" w:rsidP="007A5DFC">
            <w:pPr>
              <w:spacing w:line="560" w:lineRule="exact"/>
              <w:rPr>
                <w:rFonts w:ascii="宋体" w:hAnsi="宋体"/>
                <w:color w:val="000000"/>
                <w:kern w:val="0"/>
                <w:sz w:val="18"/>
              </w:rPr>
            </w:pPr>
            <w:r w:rsidRPr="00D73315">
              <w:rPr>
                <w:rFonts w:ascii="宋体" w:hAnsi="宋体" w:hint="eastAsia"/>
                <w:color w:val="000000"/>
                <w:sz w:val="24"/>
              </w:rPr>
              <w:t>《汇丰晋信</w:t>
            </w:r>
            <w:r>
              <w:rPr>
                <w:rFonts w:ascii="宋体" w:hAnsi="宋体" w:hint="eastAsia"/>
                <w:color w:val="000000"/>
                <w:sz w:val="24"/>
              </w:rPr>
              <w:t>沪港深</w:t>
            </w:r>
            <w:r w:rsidRPr="00D73315">
              <w:rPr>
                <w:rFonts w:ascii="宋体" w:hAnsi="宋体" w:hint="eastAsia"/>
                <w:color w:val="000000"/>
                <w:sz w:val="24"/>
              </w:rPr>
              <w:t>股票型证券投资基金</w:t>
            </w:r>
            <w:r w:rsidRPr="00D73315">
              <w:rPr>
                <w:rFonts w:ascii="宋体" w:hAnsi="宋体" w:hint="eastAsia"/>
                <w:sz w:val="24"/>
              </w:rPr>
              <w:t>基金合同</w:t>
            </w:r>
            <w:r w:rsidRPr="00D73315">
              <w:rPr>
                <w:rFonts w:ascii="宋体" w:hAnsi="宋体" w:hint="eastAsia"/>
                <w:color w:val="000000"/>
                <w:sz w:val="24"/>
              </w:rPr>
              <w:t>》和《汇丰晋信</w:t>
            </w:r>
            <w:r>
              <w:rPr>
                <w:rFonts w:ascii="宋体" w:hAnsi="宋体" w:hint="eastAsia"/>
                <w:color w:val="000000"/>
                <w:sz w:val="24"/>
              </w:rPr>
              <w:t>沪港深</w:t>
            </w:r>
            <w:r w:rsidRPr="00D73315">
              <w:rPr>
                <w:rFonts w:ascii="宋体" w:hAnsi="宋体" w:hint="eastAsia"/>
                <w:color w:val="000000"/>
                <w:sz w:val="24"/>
              </w:rPr>
              <w:t>股票型证券投资基金</w:t>
            </w:r>
            <w:r w:rsidRPr="00D73315">
              <w:rPr>
                <w:rFonts w:ascii="宋体" w:hAnsi="宋体" w:hint="eastAsia"/>
                <w:sz w:val="24"/>
              </w:rPr>
              <w:t>招募说明书</w:t>
            </w:r>
            <w:r w:rsidRPr="00D73315">
              <w:rPr>
                <w:rFonts w:ascii="宋体" w:hAnsi="宋体" w:hint="eastAsia"/>
                <w:color w:val="000000"/>
                <w:sz w:val="24"/>
              </w:rPr>
              <w:t>》</w:t>
            </w:r>
          </w:p>
        </w:tc>
      </w:tr>
      <w:tr w:rsidR="0038576B" w:rsidRPr="00D73315" w:rsidTr="00FA27AA">
        <w:trPr>
          <w:trHeight w:val="386"/>
          <w:jc w:val="center"/>
        </w:trPr>
        <w:tc>
          <w:tcPr>
            <w:tcW w:w="2034" w:type="dxa"/>
            <w:vMerge w:val="restart"/>
            <w:vAlign w:val="center"/>
          </w:tcPr>
          <w:p w:rsidR="0038576B" w:rsidRPr="00BD204D" w:rsidRDefault="0038576B" w:rsidP="0038576B">
            <w:pPr>
              <w:spacing w:line="560" w:lineRule="exact"/>
              <w:rPr>
                <w:color w:val="000000"/>
                <w:sz w:val="24"/>
              </w:rPr>
            </w:pPr>
            <w:r w:rsidRPr="00BD204D">
              <w:rPr>
                <w:color w:val="000000"/>
                <w:sz w:val="24"/>
              </w:rPr>
              <w:t>暂停相关业务的起始日、金额及原因说明</w:t>
            </w:r>
          </w:p>
        </w:tc>
        <w:tc>
          <w:tcPr>
            <w:tcW w:w="2034" w:type="dxa"/>
          </w:tcPr>
          <w:p w:rsidR="0038576B" w:rsidRPr="00BD204D" w:rsidRDefault="0038576B" w:rsidP="0038576B">
            <w:pPr>
              <w:spacing w:line="560" w:lineRule="exact"/>
              <w:rPr>
                <w:color w:val="000000"/>
                <w:kern w:val="0"/>
                <w:sz w:val="18"/>
              </w:rPr>
            </w:pPr>
            <w:r w:rsidRPr="00BD204D">
              <w:rPr>
                <w:color w:val="000000"/>
                <w:sz w:val="24"/>
              </w:rPr>
              <w:t>暂停申购起始日</w:t>
            </w:r>
          </w:p>
        </w:tc>
        <w:tc>
          <w:tcPr>
            <w:tcW w:w="4454" w:type="dxa"/>
            <w:gridSpan w:val="2"/>
          </w:tcPr>
          <w:p w:rsidR="0038576B" w:rsidRPr="00BD204D" w:rsidRDefault="0038576B" w:rsidP="0038576B">
            <w:pPr>
              <w:spacing w:line="560" w:lineRule="exact"/>
              <w:rPr>
                <w:color w:val="000000"/>
                <w:kern w:val="0"/>
                <w:sz w:val="24"/>
              </w:rPr>
            </w:pPr>
            <w:r>
              <w:rPr>
                <w:rFonts w:hint="eastAsia"/>
                <w:color w:val="000000"/>
                <w:kern w:val="0"/>
                <w:sz w:val="24"/>
              </w:rPr>
              <w:t>2020</w:t>
            </w:r>
            <w:r>
              <w:rPr>
                <w:rFonts w:hint="eastAsia"/>
                <w:color w:val="000000"/>
                <w:kern w:val="0"/>
                <w:sz w:val="24"/>
              </w:rPr>
              <w:t>年</w:t>
            </w:r>
            <w:r>
              <w:rPr>
                <w:rFonts w:hint="eastAsia"/>
                <w:color w:val="000000"/>
                <w:kern w:val="0"/>
                <w:sz w:val="24"/>
              </w:rPr>
              <w:t>1</w:t>
            </w:r>
            <w:r w:rsidRPr="00BD204D">
              <w:rPr>
                <w:rFonts w:hint="eastAsia"/>
                <w:color w:val="000000"/>
                <w:kern w:val="0"/>
                <w:sz w:val="24"/>
              </w:rPr>
              <w:t>月</w:t>
            </w:r>
            <w:r>
              <w:rPr>
                <w:rFonts w:hint="eastAsia"/>
                <w:color w:val="000000"/>
                <w:kern w:val="0"/>
                <w:sz w:val="24"/>
              </w:rPr>
              <w:t>21</w:t>
            </w:r>
            <w:r w:rsidRPr="00BD204D">
              <w:rPr>
                <w:rFonts w:hint="eastAsia"/>
                <w:color w:val="000000"/>
                <w:kern w:val="0"/>
                <w:sz w:val="24"/>
              </w:rPr>
              <w:t>日</w:t>
            </w:r>
          </w:p>
        </w:tc>
      </w:tr>
      <w:tr w:rsidR="0038576B" w:rsidRPr="00D73315" w:rsidTr="00FA27AA">
        <w:trPr>
          <w:trHeight w:val="386"/>
          <w:jc w:val="center"/>
        </w:trPr>
        <w:tc>
          <w:tcPr>
            <w:tcW w:w="2034" w:type="dxa"/>
            <w:vMerge/>
            <w:vAlign w:val="center"/>
          </w:tcPr>
          <w:p w:rsidR="0038576B" w:rsidRPr="00BD204D" w:rsidRDefault="0038576B" w:rsidP="0038576B">
            <w:pPr>
              <w:spacing w:line="560" w:lineRule="exact"/>
              <w:rPr>
                <w:color w:val="000000"/>
                <w:sz w:val="24"/>
              </w:rPr>
            </w:pPr>
          </w:p>
        </w:tc>
        <w:tc>
          <w:tcPr>
            <w:tcW w:w="2034" w:type="dxa"/>
          </w:tcPr>
          <w:p w:rsidR="0038576B" w:rsidRPr="00BD204D" w:rsidRDefault="0038576B" w:rsidP="0038576B">
            <w:pPr>
              <w:spacing w:line="560" w:lineRule="exact"/>
              <w:rPr>
                <w:color w:val="000000"/>
                <w:kern w:val="0"/>
                <w:sz w:val="18"/>
              </w:rPr>
            </w:pPr>
            <w:r w:rsidRPr="00BD204D">
              <w:rPr>
                <w:color w:val="000000"/>
                <w:sz w:val="24"/>
              </w:rPr>
              <w:t>暂停定期定额投资起始日</w:t>
            </w:r>
          </w:p>
        </w:tc>
        <w:tc>
          <w:tcPr>
            <w:tcW w:w="4454" w:type="dxa"/>
            <w:gridSpan w:val="2"/>
          </w:tcPr>
          <w:p w:rsidR="0038576B" w:rsidRPr="00BD204D" w:rsidRDefault="0038576B" w:rsidP="0038576B">
            <w:pPr>
              <w:spacing w:line="560" w:lineRule="exact"/>
              <w:rPr>
                <w:color w:val="000000"/>
                <w:kern w:val="0"/>
                <w:sz w:val="18"/>
              </w:rPr>
            </w:pPr>
            <w:r>
              <w:rPr>
                <w:rFonts w:hint="eastAsia"/>
                <w:color w:val="000000"/>
                <w:kern w:val="0"/>
                <w:sz w:val="24"/>
              </w:rPr>
              <w:t>2020</w:t>
            </w:r>
            <w:r>
              <w:rPr>
                <w:rFonts w:hint="eastAsia"/>
                <w:color w:val="000000"/>
                <w:kern w:val="0"/>
                <w:sz w:val="24"/>
              </w:rPr>
              <w:t>年</w:t>
            </w:r>
            <w:r>
              <w:rPr>
                <w:rFonts w:hint="eastAsia"/>
                <w:color w:val="000000"/>
                <w:kern w:val="0"/>
                <w:sz w:val="24"/>
              </w:rPr>
              <w:t>1</w:t>
            </w:r>
            <w:r w:rsidRPr="00BD204D">
              <w:rPr>
                <w:rFonts w:hint="eastAsia"/>
                <w:color w:val="000000"/>
                <w:kern w:val="0"/>
                <w:sz w:val="24"/>
              </w:rPr>
              <w:t>月</w:t>
            </w:r>
            <w:r>
              <w:rPr>
                <w:rFonts w:hint="eastAsia"/>
                <w:color w:val="000000"/>
                <w:kern w:val="0"/>
                <w:sz w:val="24"/>
              </w:rPr>
              <w:t>21</w:t>
            </w:r>
            <w:r w:rsidRPr="00BD204D">
              <w:rPr>
                <w:rFonts w:hint="eastAsia"/>
                <w:color w:val="000000"/>
                <w:kern w:val="0"/>
                <w:sz w:val="24"/>
              </w:rPr>
              <w:t>日</w:t>
            </w:r>
          </w:p>
        </w:tc>
      </w:tr>
      <w:tr w:rsidR="0038576B" w:rsidRPr="00D73315" w:rsidTr="00FA27AA">
        <w:trPr>
          <w:trHeight w:val="386"/>
          <w:jc w:val="center"/>
        </w:trPr>
        <w:tc>
          <w:tcPr>
            <w:tcW w:w="2034" w:type="dxa"/>
            <w:vMerge/>
            <w:vAlign w:val="center"/>
          </w:tcPr>
          <w:p w:rsidR="0038576B" w:rsidRPr="00BD204D" w:rsidRDefault="0038576B" w:rsidP="0038576B">
            <w:pPr>
              <w:spacing w:line="560" w:lineRule="exact"/>
              <w:rPr>
                <w:color w:val="000000"/>
                <w:sz w:val="24"/>
              </w:rPr>
            </w:pPr>
          </w:p>
        </w:tc>
        <w:tc>
          <w:tcPr>
            <w:tcW w:w="2034" w:type="dxa"/>
          </w:tcPr>
          <w:p w:rsidR="0038576B" w:rsidRPr="00BD204D" w:rsidRDefault="0038576B" w:rsidP="0038576B">
            <w:pPr>
              <w:spacing w:line="560" w:lineRule="exact"/>
              <w:rPr>
                <w:color w:val="000000"/>
                <w:sz w:val="24"/>
              </w:rPr>
            </w:pPr>
            <w:r w:rsidRPr="00BD204D">
              <w:rPr>
                <w:color w:val="000000"/>
                <w:sz w:val="24"/>
              </w:rPr>
              <w:t>暂停申购</w:t>
            </w:r>
            <w:r>
              <w:rPr>
                <w:rFonts w:hint="eastAsia"/>
                <w:color w:val="000000"/>
                <w:sz w:val="24"/>
              </w:rPr>
              <w:t>及</w:t>
            </w:r>
            <w:r w:rsidRPr="00BD204D">
              <w:rPr>
                <w:color w:val="000000"/>
                <w:sz w:val="24"/>
              </w:rPr>
              <w:t>定期定额投资的原因说明</w:t>
            </w:r>
          </w:p>
        </w:tc>
        <w:tc>
          <w:tcPr>
            <w:tcW w:w="4454" w:type="dxa"/>
            <w:gridSpan w:val="2"/>
          </w:tcPr>
          <w:p w:rsidR="0038576B" w:rsidRPr="0038576B" w:rsidRDefault="0038576B" w:rsidP="0038576B">
            <w:pPr>
              <w:spacing w:line="560" w:lineRule="exact"/>
              <w:rPr>
                <w:color w:val="000000"/>
                <w:kern w:val="0"/>
                <w:sz w:val="24"/>
              </w:rPr>
            </w:pPr>
            <w:r w:rsidRPr="00923C6B">
              <w:rPr>
                <w:rFonts w:hint="eastAsia"/>
                <w:color w:val="000000"/>
                <w:kern w:val="0"/>
                <w:sz w:val="24"/>
              </w:rPr>
              <w:t>为保护</w:t>
            </w:r>
            <w:r w:rsidR="001D0429" w:rsidRPr="001D0429">
              <w:rPr>
                <w:rFonts w:hint="eastAsia"/>
                <w:color w:val="000000"/>
                <w:kern w:val="0"/>
                <w:sz w:val="24"/>
              </w:rPr>
              <w:t>汇丰晋信沪港深股票型证券投资基金</w:t>
            </w:r>
            <w:r w:rsidRPr="00923C6B">
              <w:rPr>
                <w:rFonts w:hint="eastAsia"/>
                <w:color w:val="000000"/>
                <w:kern w:val="0"/>
                <w:sz w:val="24"/>
              </w:rPr>
              <w:t>基金份额持有人的利益</w:t>
            </w:r>
          </w:p>
        </w:tc>
      </w:tr>
      <w:tr w:rsidR="0038576B" w:rsidRPr="00D73315" w:rsidTr="007A5DFC">
        <w:trPr>
          <w:trHeight w:val="386"/>
          <w:jc w:val="center"/>
        </w:trPr>
        <w:tc>
          <w:tcPr>
            <w:tcW w:w="4068" w:type="dxa"/>
            <w:gridSpan w:val="2"/>
          </w:tcPr>
          <w:p w:rsidR="0038576B" w:rsidRPr="00D73315" w:rsidRDefault="0038576B" w:rsidP="0038576B">
            <w:pPr>
              <w:spacing w:line="560" w:lineRule="exact"/>
              <w:rPr>
                <w:rFonts w:ascii="宋体" w:hAnsi="宋体"/>
                <w:color w:val="000000"/>
                <w:sz w:val="24"/>
              </w:rPr>
            </w:pPr>
            <w:r w:rsidRPr="00D73315">
              <w:rPr>
                <w:rFonts w:hint="eastAsia"/>
                <w:color w:val="000000"/>
                <w:sz w:val="24"/>
              </w:rPr>
              <w:t>下属分级基金的基金简称</w:t>
            </w:r>
          </w:p>
        </w:tc>
        <w:tc>
          <w:tcPr>
            <w:tcW w:w="2263" w:type="dxa"/>
          </w:tcPr>
          <w:p w:rsidR="0038576B" w:rsidRPr="00D73315" w:rsidRDefault="0038576B" w:rsidP="0038576B">
            <w:pPr>
              <w:spacing w:line="560" w:lineRule="exact"/>
              <w:rPr>
                <w:rFonts w:ascii="宋体" w:hAnsi="宋体"/>
                <w:color w:val="000000"/>
                <w:sz w:val="24"/>
              </w:rPr>
            </w:pPr>
            <w:r w:rsidRPr="00D73315">
              <w:rPr>
                <w:rFonts w:ascii="宋体" w:hAnsi="宋体" w:hint="eastAsia"/>
                <w:color w:val="000000"/>
                <w:sz w:val="24"/>
              </w:rPr>
              <w:t>汇丰晋信</w:t>
            </w:r>
            <w:r>
              <w:rPr>
                <w:rFonts w:ascii="宋体" w:hAnsi="宋体" w:hint="eastAsia"/>
                <w:color w:val="000000"/>
                <w:sz w:val="24"/>
              </w:rPr>
              <w:t>沪港深</w:t>
            </w:r>
            <w:r w:rsidRPr="00D73315">
              <w:rPr>
                <w:rFonts w:ascii="宋体" w:hAnsi="宋体" w:hint="eastAsia"/>
                <w:color w:val="000000"/>
                <w:sz w:val="24"/>
              </w:rPr>
              <w:t>股</w:t>
            </w:r>
            <w:r w:rsidRPr="00D73315">
              <w:rPr>
                <w:rFonts w:ascii="宋体" w:hAnsi="宋体" w:hint="eastAsia"/>
                <w:color w:val="000000"/>
                <w:sz w:val="24"/>
              </w:rPr>
              <w:lastRenderedPageBreak/>
              <w:t>票A</w:t>
            </w:r>
          </w:p>
        </w:tc>
        <w:tc>
          <w:tcPr>
            <w:tcW w:w="2191" w:type="dxa"/>
          </w:tcPr>
          <w:p w:rsidR="0038576B" w:rsidRPr="00D73315" w:rsidRDefault="0038576B" w:rsidP="0038576B">
            <w:pPr>
              <w:spacing w:line="560" w:lineRule="exact"/>
              <w:rPr>
                <w:rFonts w:ascii="宋体" w:hAnsi="宋体"/>
                <w:color w:val="000000"/>
                <w:sz w:val="24"/>
              </w:rPr>
            </w:pPr>
            <w:r w:rsidRPr="00D73315">
              <w:rPr>
                <w:rFonts w:ascii="宋体" w:hAnsi="宋体" w:hint="eastAsia"/>
                <w:color w:val="000000"/>
                <w:sz w:val="24"/>
              </w:rPr>
              <w:lastRenderedPageBreak/>
              <w:t>汇丰晋信</w:t>
            </w:r>
            <w:r>
              <w:rPr>
                <w:rFonts w:ascii="宋体" w:hAnsi="宋体" w:hint="eastAsia"/>
                <w:color w:val="000000"/>
                <w:sz w:val="24"/>
              </w:rPr>
              <w:t>沪港深</w:t>
            </w:r>
            <w:r w:rsidRPr="00D73315">
              <w:rPr>
                <w:rFonts w:ascii="宋体" w:hAnsi="宋体" w:hint="eastAsia"/>
                <w:color w:val="000000"/>
                <w:sz w:val="24"/>
              </w:rPr>
              <w:t>股</w:t>
            </w:r>
            <w:r w:rsidRPr="00D73315">
              <w:rPr>
                <w:rFonts w:ascii="宋体" w:hAnsi="宋体" w:hint="eastAsia"/>
                <w:color w:val="000000"/>
                <w:sz w:val="24"/>
              </w:rPr>
              <w:lastRenderedPageBreak/>
              <w:t>票C</w:t>
            </w:r>
          </w:p>
        </w:tc>
      </w:tr>
      <w:tr w:rsidR="0038576B" w:rsidRPr="00D73315" w:rsidTr="007A5DFC">
        <w:trPr>
          <w:trHeight w:val="386"/>
          <w:jc w:val="center"/>
        </w:trPr>
        <w:tc>
          <w:tcPr>
            <w:tcW w:w="4068" w:type="dxa"/>
            <w:gridSpan w:val="2"/>
          </w:tcPr>
          <w:p w:rsidR="0038576B" w:rsidRPr="00D73315" w:rsidRDefault="0038576B" w:rsidP="0038576B">
            <w:pPr>
              <w:spacing w:line="560" w:lineRule="exact"/>
              <w:rPr>
                <w:rFonts w:ascii="宋体" w:hAnsi="宋体"/>
                <w:color w:val="000000"/>
                <w:sz w:val="24"/>
              </w:rPr>
            </w:pPr>
            <w:r w:rsidRPr="00D73315">
              <w:rPr>
                <w:rFonts w:hint="eastAsia"/>
                <w:color w:val="000000"/>
                <w:sz w:val="24"/>
              </w:rPr>
              <w:lastRenderedPageBreak/>
              <w:t>下属分级基金的交易代码</w:t>
            </w:r>
          </w:p>
        </w:tc>
        <w:tc>
          <w:tcPr>
            <w:tcW w:w="2263" w:type="dxa"/>
            <w:vAlign w:val="center"/>
          </w:tcPr>
          <w:p w:rsidR="0038576B" w:rsidRPr="00D73315" w:rsidRDefault="0038576B" w:rsidP="0038576B">
            <w:pPr>
              <w:spacing w:line="560" w:lineRule="exact"/>
              <w:rPr>
                <w:rFonts w:ascii="宋体" w:hAnsi="宋体"/>
                <w:color w:val="000000"/>
                <w:kern w:val="0"/>
                <w:sz w:val="18"/>
              </w:rPr>
            </w:pPr>
            <w:r w:rsidRPr="00D73315">
              <w:rPr>
                <w:rFonts w:ascii="宋体" w:hAnsi="宋体" w:hint="eastAsia"/>
                <w:kern w:val="0"/>
                <w:sz w:val="24"/>
              </w:rPr>
              <w:t>00233</w:t>
            </w:r>
            <w:r>
              <w:rPr>
                <w:rFonts w:ascii="宋体" w:hAnsi="宋体" w:hint="eastAsia"/>
                <w:kern w:val="0"/>
                <w:sz w:val="24"/>
              </w:rPr>
              <w:t>2</w:t>
            </w:r>
          </w:p>
        </w:tc>
        <w:tc>
          <w:tcPr>
            <w:tcW w:w="2191" w:type="dxa"/>
            <w:vAlign w:val="center"/>
          </w:tcPr>
          <w:p w:rsidR="0038576B" w:rsidRPr="00D73315" w:rsidRDefault="0038576B" w:rsidP="0038576B">
            <w:pPr>
              <w:spacing w:line="560" w:lineRule="exact"/>
              <w:rPr>
                <w:rFonts w:ascii="宋体" w:hAnsi="宋体"/>
                <w:color w:val="000000"/>
                <w:kern w:val="0"/>
                <w:sz w:val="18"/>
              </w:rPr>
            </w:pPr>
            <w:r w:rsidRPr="00D73315">
              <w:rPr>
                <w:rFonts w:ascii="宋体" w:hAnsi="宋体" w:hint="eastAsia"/>
                <w:kern w:val="0"/>
                <w:sz w:val="24"/>
              </w:rPr>
              <w:t>00233</w:t>
            </w:r>
            <w:r>
              <w:rPr>
                <w:rFonts w:ascii="宋体" w:hAnsi="宋体" w:hint="eastAsia"/>
                <w:kern w:val="0"/>
                <w:sz w:val="24"/>
              </w:rPr>
              <w:t>3</w:t>
            </w:r>
          </w:p>
        </w:tc>
      </w:tr>
      <w:tr w:rsidR="0038576B" w:rsidRPr="00D73315" w:rsidTr="00DE562C">
        <w:trPr>
          <w:trHeight w:val="386"/>
          <w:jc w:val="center"/>
        </w:trPr>
        <w:tc>
          <w:tcPr>
            <w:tcW w:w="4068" w:type="dxa"/>
            <w:gridSpan w:val="2"/>
          </w:tcPr>
          <w:p w:rsidR="0038576B" w:rsidRPr="00BD204D" w:rsidRDefault="0038576B" w:rsidP="00F82440">
            <w:pPr>
              <w:spacing w:line="560" w:lineRule="exact"/>
              <w:rPr>
                <w:color w:val="000000"/>
                <w:kern w:val="0"/>
                <w:sz w:val="18"/>
              </w:rPr>
            </w:pPr>
            <w:r w:rsidRPr="00BD204D">
              <w:rPr>
                <w:color w:val="000000"/>
                <w:sz w:val="24"/>
              </w:rPr>
              <w:t>该分级基金是否暂停申购</w:t>
            </w:r>
            <w:r w:rsidR="00F82440">
              <w:rPr>
                <w:rFonts w:hint="eastAsia"/>
                <w:color w:val="000000"/>
                <w:sz w:val="24"/>
              </w:rPr>
              <w:t>、</w:t>
            </w:r>
            <w:r w:rsidRPr="00BD204D">
              <w:rPr>
                <w:color w:val="000000"/>
                <w:sz w:val="24"/>
              </w:rPr>
              <w:t>定期定额投资</w:t>
            </w:r>
          </w:p>
        </w:tc>
        <w:tc>
          <w:tcPr>
            <w:tcW w:w="2263" w:type="dxa"/>
          </w:tcPr>
          <w:p w:rsidR="0038576B" w:rsidRPr="00BD204D" w:rsidRDefault="0038576B" w:rsidP="0038576B">
            <w:pPr>
              <w:spacing w:line="560" w:lineRule="exact"/>
              <w:rPr>
                <w:color w:val="000000"/>
                <w:kern w:val="0"/>
                <w:sz w:val="24"/>
              </w:rPr>
            </w:pPr>
            <w:r w:rsidRPr="00BD204D">
              <w:rPr>
                <w:rFonts w:hint="eastAsia"/>
                <w:color w:val="000000"/>
                <w:kern w:val="0"/>
                <w:sz w:val="24"/>
              </w:rPr>
              <w:t>是</w:t>
            </w:r>
          </w:p>
        </w:tc>
        <w:tc>
          <w:tcPr>
            <w:tcW w:w="2191" w:type="dxa"/>
          </w:tcPr>
          <w:p w:rsidR="0038576B" w:rsidRPr="00BD204D" w:rsidRDefault="0038576B" w:rsidP="0038576B">
            <w:pPr>
              <w:spacing w:line="560" w:lineRule="exact"/>
              <w:rPr>
                <w:color w:val="000000"/>
                <w:kern w:val="0"/>
                <w:sz w:val="24"/>
              </w:rPr>
            </w:pPr>
            <w:r w:rsidRPr="00BD204D">
              <w:rPr>
                <w:rFonts w:hint="eastAsia"/>
                <w:color w:val="000000"/>
                <w:kern w:val="0"/>
                <w:sz w:val="24"/>
              </w:rPr>
              <w:t>是</w:t>
            </w:r>
          </w:p>
        </w:tc>
      </w:tr>
    </w:tbl>
    <w:p w:rsidR="005D07CC" w:rsidRDefault="005D07CC" w:rsidP="005D07CC"/>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4"/>
        <w:gridCol w:w="2034"/>
        <w:gridCol w:w="4454"/>
      </w:tblGrid>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基金名称</w:t>
            </w:r>
          </w:p>
        </w:tc>
        <w:tc>
          <w:tcPr>
            <w:tcW w:w="4454" w:type="dxa"/>
            <w:vAlign w:val="center"/>
          </w:tcPr>
          <w:p w:rsidR="005D07CC" w:rsidRPr="00594CEC" w:rsidRDefault="005D07CC" w:rsidP="00691C88">
            <w:pPr>
              <w:snapToGrid w:val="0"/>
              <w:spacing w:beforeLines="50" w:line="360" w:lineRule="auto"/>
              <w:rPr>
                <w:rFonts w:ascii="宋体" w:hAnsi="宋体"/>
                <w:color w:val="000000"/>
                <w:sz w:val="24"/>
              </w:rPr>
            </w:pPr>
            <w:r w:rsidRPr="00672E54">
              <w:rPr>
                <w:rFonts w:ascii="宋体" w:hAnsi="宋体" w:hint="eastAsia"/>
                <w:color w:val="000000"/>
                <w:sz w:val="24"/>
              </w:rPr>
              <w:t>汇丰晋信港股通精选股票型证券投资基金</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基金简称</w:t>
            </w:r>
          </w:p>
        </w:tc>
        <w:tc>
          <w:tcPr>
            <w:tcW w:w="4454" w:type="dxa"/>
            <w:vAlign w:val="center"/>
          </w:tcPr>
          <w:p w:rsidR="005D07CC" w:rsidRPr="00BB2468" w:rsidRDefault="005D07CC" w:rsidP="00691C88">
            <w:pPr>
              <w:snapToGrid w:val="0"/>
              <w:spacing w:beforeLines="50" w:line="360" w:lineRule="auto"/>
              <w:rPr>
                <w:rFonts w:ascii="宋体" w:hAnsi="宋体"/>
                <w:color w:val="000000"/>
                <w:sz w:val="24"/>
              </w:rPr>
            </w:pPr>
            <w:r>
              <w:rPr>
                <w:rFonts w:ascii="宋体" w:hAnsiTheme="minorHAnsi" w:cs="宋体" w:hint="eastAsia"/>
                <w:kern w:val="0"/>
                <w:sz w:val="24"/>
              </w:rPr>
              <w:t>汇丰晋信港股通精选股票</w:t>
            </w:r>
          </w:p>
        </w:tc>
      </w:tr>
      <w:tr w:rsidR="005D07CC" w:rsidRPr="00D73315" w:rsidTr="007A5DFC">
        <w:trPr>
          <w:trHeight w:val="386"/>
          <w:jc w:val="center"/>
        </w:trPr>
        <w:tc>
          <w:tcPr>
            <w:tcW w:w="4068" w:type="dxa"/>
            <w:gridSpan w:val="2"/>
            <w:vAlign w:val="center"/>
          </w:tcPr>
          <w:p w:rsidR="005D07CC" w:rsidRPr="00D73315" w:rsidRDefault="005D07CC" w:rsidP="007A5DFC">
            <w:pPr>
              <w:spacing w:line="560" w:lineRule="exact"/>
              <w:rPr>
                <w:rFonts w:ascii="宋体" w:hAnsi="宋体"/>
                <w:color w:val="000000"/>
                <w:sz w:val="24"/>
              </w:rPr>
            </w:pPr>
            <w:r w:rsidRPr="00D73315">
              <w:rPr>
                <w:rFonts w:ascii="宋体" w:hAnsi="宋体" w:hint="eastAsia"/>
                <w:color w:val="000000"/>
                <w:sz w:val="24"/>
              </w:rPr>
              <w:t>基金</w:t>
            </w:r>
            <w:r>
              <w:rPr>
                <w:rFonts w:ascii="宋体" w:hAnsi="宋体" w:hint="eastAsia"/>
                <w:color w:val="000000"/>
                <w:sz w:val="24"/>
              </w:rPr>
              <w:t>主</w:t>
            </w:r>
            <w:r w:rsidRPr="00D73315">
              <w:rPr>
                <w:rFonts w:ascii="宋体" w:hAnsi="宋体" w:hint="eastAsia"/>
                <w:color w:val="000000"/>
                <w:sz w:val="24"/>
              </w:rPr>
              <w:t>代码</w:t>
            </w:r>
          </w:p>
        </w:tc>
        <w:tc>
          <w:tcPr>
            <w:tcW w:w="4454" w:type="dxa"/>
            <w:vAlign w:val="center"/>
          </w:tcPr>
          <w:p w:rsidR="005D07CC" w:rsidRPr="00BB2468" w:rsidRDefault="005D07CC" w:rsidP="00691C88">
            <w:pPr>
              <w:snapToGrid w:val="0"/>
              <w:spacing w:beforeLines="50" w:line="360" w:lineRule="auto"/>
              <w:rPr>
                <w:rFonts w:ascii="宋体" w:hAnsi="宋体"/>
                <w:color w:val="000000"/>
                <w:sz w:val="24"/>
              </w:rPr>
            </w:pPr>
            <w:r>
              <w:rPr>
                <w:rFonts w:ascii="宋体" w:hAnsiTheme="minorHAnsi" w:cs="宋体"/>
                <w:kern w:val="0"/>
                <w:sz w:val="24"/>
              </w:rPr>
              <w:t>006781</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基金运作方式</w:t>
            </w:r>
          </w:p>
        </w:tc>
        <w:tc>
          <w:tcPr>
            <w:tcW w:w="4454" w:type="dxa"/>
          </w:tcPr>
          <w:p w:rsidR="005D07CC" w:rsidRPr="00D73315" w:rsidRDefault="005D07CC" w:rsidP="007A5DFC">
            <w:pPr>
              <w:spacing w:line="560" w:lineRule="exact"/>
              <w:rPr>
                <w:rFonts w:ascii="宋体" w:hAnsi="宋体"/>
                <w:color w:val="000000"/>
                <w:kern w:val="0"/>
                <w:sz w:val="18"/>
              </w:rPr>
            </w:pPr>
            <w:r w:rsidRPr="00D73315">
              <w:rPr>
                <w:rFonts w:ascii="宋体" w:hAnsi="宋体" w:hint="eastAsia"/>
                <w:sz w:val="24"/>
              </w:rPr>
              <w:t>契约型开放式</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基金合同生效日</w:t>
            </w:r>
          </w:p>
        </w:tc>
        <w:tc>
          <w:tcPr>
            <w:tcW w:w="4454" w:type="dxa"/>
          </w:tcPr>
          <w:p w:rsidR="005D07CC" w:rsidRPr="00D73315" w:rsidRDefault="005D07CC" w:rsidP="007A5DFC">
            <w:pPr>
              <w:spacing w:line="560" w:lineRule="exact"/>
              <w:rPr>
                <w:rFonts w:ascii="宋体" w:hAnsi="宋体"/>
                <w:color w:val="000000"/>
                <w:sz w:val="24"/>
              </w:rPr>
            </w:pPr>
            <w:r>
              <w:rPr>
                <w:rFonts w:ascii="宋体" w:hAnsiTheme="minorHAnsi" w:cs="宋体"/>
                <w:kern w:val="0"/>
                <w:sz w:val="24"/>
              </w:rPr>
              <w:t xml:space="preserve">2019 </w:t>
            </w:r>
            <w:r>
              <w:rPr>
                <w:rFonts w:ascii="宋体" w:hAnsiTheme="minorHAnsi" w:cs="宋体" w:hint="eastAsia"/>
                <w:kern w:val="0"/>
                <w:sz w:val="24"/>
              </w:rPr>
              <w:t>年</w:t>
            </w:r>
            <w:r>
              <w:rPr>
                <w:rFonts w:ascii="宋体" w:hAnsiTheme="minorHAnsi" w:cs="宋体"/>
                <w:kern w:val="0"/>
                <w:sz w:val="24"/>
              </w:rPr>
              <w:t xml:space="preserve">3 </w:t>
            </w:r>
            <w:r>
              <w:rPr>
                <w:rFonts w:ascii="宋体" w:hAnsiTheme="minorHAnsi" w:cs="宋体" w:hint="eastAsia"/>
                <w:kern w:val="0"/>
                <w:sz w:val="24"/>
              </w:rPr>
              <w:t>月</w:t>
            </w:r>
            <w:r>
              <w:rPr>
                <w:rFonts w:ascii="宋体" w:hAnsiTheme="minorHAnsi" w:cs="宋体"/>
                <w:kern w:val="0"/>
                <w:sz w:val="24"/>
              </w:rPr>
              <w:t xml:space="preserve">20 </w:t>
            </w:r>
            <w:r>
              <w:rPr>
                <w:rFonts w:ascii="宋体" w:hAnsiTheme="minorHAnsi" w:cs="宋体" w:hint="eastAsia"/>
                <w:kern w:val="0"/>
                <w:sz w:val="24"/>
              </w:rPr>
              <w:t>日</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基金管理人名称</w:t>
            </w:r>
          </w:p>
        </w:tc>
        <w:tc>
          <w:tcPr>
            <w:tcW w:w="4454" w:type="dxa"/>
            <w:vAlign w:val="center"/>
          </w:tcPr>
          <w:p w:rsidR="005D07CC" w:rsidRPr="00D73315" w:rsidRDefault="005D07CC" w:rsidP="00691C88">
            <w:pPr>
              <w:snapToGrid w:val="0"/>
              <w:spacing w:beforeLines="50" w:line="360" w:lineRule="auto"/>
              <w:rPr>
                <w:rFonts w:ascii="宋体" w:hAnsi="宋体"/>
                <w:color w:val="000000"/>
                <w:kern w:val="0"/>
                <w:sz w:val="24"/>
              </w:rPr>
            </w:pPr>
            <w:r w:rsidRPr="00D73315">
              <w:rPr>
                <w:rFonts w:ascii="宋体" w:hAnsi="宋体" w:hint="eastAsia"/>
                <w:sz w:val="24"/>
              </w:rPr>
              <w:t>汇丰晋信基金管理有限公司</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基金托管人名称</w:t>
            </w:r>
          </w:p>
        </w:tc>
        <w:tc>
          <w:tcPr>
            <w:tcW w:w="4454" w:type="dxa"/>
            <w:vAlign w:val="center"/>
          </w:tcPr>
          <w:p w:rsidR="005D07CC" w:rsidRPr="00594CEC" w:rsidRDefault="005D07CC" w:rsidP="00691C88">
            <w:pPr>
              <w:snapToGrid w:val="0"/>
              <w:spacing w:beforeLines="50" w:line="360" w:lineRule="auto"/>
              <w:rPr>
                <w:rFonts w:ascii="宋体" w:hAnsi="宋体"/>
                <w:color w:val="000000"/>
                <w:sz w:val="24"/>
              </w:rPr>
            </w:pPr>
            <w:r w:rsidRPr="00BB2468">
              <w:rPr>
                <w:rFonts w:ascii="宋体" w:hAnsi="宋体" w:hint="eastAsia"/>
                <w:color w:val="000000"/>
                <w:sz w:val="24"/>
              </w:rPr>
              <w:t>交通银行股份有限公司</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公告依据</w:t>
            </w:r>
          </w:p>
        </w:tc>
        <w:tc>
          <w:tcPr>
            <w:tcW w:w="4454" w:type="dxa"/>
          </w:tcPr>
          <w:p w:rsidR="005D07CC" w:rsidRPr="00672E54" w:rsidRDefault="005D07CC" w:rsidP="007A5DFC">
            <w:pPr>
              <w:spacing w:line="560" w:lineRule="exact"/>
              <w:rPr>
                <w:rFonts w:ascii="宋体" w:hAnsi="宋体"/>
                <w:color w:val="000000"/>
                <w:sz w:val="24"/>
              </w:rPr>
            </w:pPr>
            <w:r w:rsidRPr="00D73315">
              <w:rPr>
                <w:rFonts w:ascii="宋体" w:hAnsi="宋体" w:hint="eastAsia"/>
                <w:color w:val="000000"/>
                <w:sz w:val="24"/>
              </w:rPr>
              <w:t>《</w:t>
            </w:r>
            <w:r w:rsidRPr="00672E54">
              <w:rPr>
                <w:rFonts w:ascii="宋体" w:hAnsi="宋体" w:hint="eastAsia"/>
                <w:color w:val="000000"/>
                <w:sz w:val="24"/>
              </w:rPr>
              <w:t>汇丰晋信港股通精选股票型证券投资基金基金合同</w:t>
            </w:r>
            <w:r w:rsidRPr="00D73315">
              <w:rPr>
                <w:rFonts w:ascii="宋体" w:hAnsi="宋体" w:hint="eastAsia"/>
                <w:color w:val="000000"/>
                <w:sz w:val="24"/>
              </w:rPr>
              <w:t>》和《</w:t>
            </w:r>
            <w:r w:rsidRPr="00672E54">
              <w:rPr>
                <w:rFonts w:ascii="宋体" w:hAnsi="宋体" w:hint="eastAsia"/>
                <w:color w:val="000000"/>
                <w:sz w:val="24"/>
              </w:rPr>
              <w:t>汇丰晋信港股通精选股票型证券投资基金招募说明书</w:t>
            </w:r>
            <w:r w:rsidRPr="00D73315">
              <w:rPr>
                <w:rFonts w:ascii="宋体" w:hAnsi="宋体" w:hint="eastAsia"/>
                <w:color w:val="000000"/>
                <w:sz w:val="24"/>
              </w:rPr>
              <w:t>》</w:t>
            </w:r>
          </w:p>
        </w:tc>
      </w:tr>
      <w:tr w:rsidR="0038576B" w:rsidRPr="00BD204D" w:rsidTr="007A5DFC">
        <w:trPr>
          <w:trHeight w:val="386"/>
          <w:jc w:val="center"/>
        </w:trPr>
        <w:tc>
          <w:tcPr>
            <w:tcW w:w="2034" w:type="dxa"/>
            <w:vMerge w:val="restart"/>
            <w:vAlign w:val="center"/>
          </w:tcPr>
          <w:p w:rsidR="0038576B" w:rsidRPr="00BD204D" w:rsidRDefault="0038576B" w:rsidP="007A5DFC">
            <w:pPr>
              <w:spacing w:line="560" w:lineRule="exact"/>
              <w:rPr>
                <w:color w:val="000000"/>
                <w:sz w:val="24"/>
              </w:rPr>
            </w:pPr>
            <w:r w:rsidRPr="00BD204D">
              <w:rPr>
                <w:color w:val="000000"/>
                <w:sz w:val="24"/>
              </w:rPr>
              <w:t>暂停相关业务的起始日、金额及原因说明</w:t>
            </w:r>
          </w:p>
        </w:tc>
        <w:tc>
          <w:tcPr>
            <w:tcW w:w="2034" w:type="dxa"/>
          </w:tcPr>
          <w:p w:rsidR="0038576B" w:rsidRPr="00BD204D" w:rsidRDefault="0038576B" w:rsidP="007A5DFC">
            <w:pPr>
              <w:spacing w:line="560" w:lineRule="exact"/>
              <w:rPr>
                <w:color w:val="000000"/>
                <w:kern w:val="0"/>
                <w:sz w:val="18"/>
              </w:rPr>
            </w:pPr>
            <w:r w:rsidRPr="00BD204D">
              <w:rPr>
                <w:color w:val="000000"/>
                <w:sz w:val="24"/>
              </w:rPr>
              <w:t>暂停申购起始日</w:t>
            </w:r>
          </w:p>
        </w:tc>
        <w:tc>
          <w:tcPr>
            <w:tcW w:w="4454" w:type="dxa"/>
          </w:tcPr>
          <w:p w:rsidR="0038576B" w:rsidRPr="00BD204D" w:rsidRDefault="0038576B" w:rsidP="007A5DFC">
            <w:pPr>
              <w:spacing w:line="560" w:lineRule="exact"/>
              <w:rPr>
                <w:color w:val="000000"/>
                <w:kern w:val="0"/>
                <w:sz w:val="24"/>
              </w:rPr>
            </w:pPr>
            <w:r>
              <w:rPr>
                <w:rFonts w:hint="eastAsia"/>
                <w:color w:val="000000"/>
                <w:kern w:val="0"/>
                <w:sz w:val="24"/>
              </w:rPr>
              <w:t>2020</w:t>
            </w:r>
            <w:r>
              <w:rPr>
                <w:rFonts w:hint="eastAsia"/>
                <w:color w:val="000000"/>
                <w:kern w:val="0"/>
                <w:sz w:val="24"/>
              </w:rPr>
              <w:t>年</w:t>
            </w:r>
            <w:r>
              <w:rPr>
                <w:rFonts w:hint="eastAsia"/>
                <w:color w:val="000000"/>
                <w:kern w:val="0"/>
                <w:sz w:val="24"/>
              </w:rPr>
              <w:t>1</w:t>
            </w:r>
            <w:r w:rsidRPr="00BD204D">
              <w:rPr>
                <w:rFonts w:hint="eastAsia"/>
                <w:color w:val="000000"/>
                <w:kern w:val="0"/>
                <w:sz w:val="24"/>
              </w:rPr>
              <w:t>月</w:t>
            </w:r>
            <w:r>
              <w:rPr>
                <w:rFonts w:hint="eastAsia"/>
                <w:color w:val="000000"/>
                <w:kern w:val="0"/>
                <w:sz w:val="24"/>
              </w:rPr>
              <w:t>21</w:t>
            </w:r>
            <w:r w:rsidRPr="00BD204D">
              <w:rPr>
                <w:rFonts w:hint="eastAsia"/>
                <w:color w:val="000000"/>
                <w:kern w:val="0"/>
                <w:sz w:val="24"/>
              </w:rPr>
              <w:t>日</w:t>
            </w:r>
          </w:p>
        </w:tc>
      </w:tr>
      <w:tr w:rsidR="0038576B" w:rsidRPr="00BD204D" w:rsidTr="007A5DFC">
        <w:trPr>
          <w:trHeight w:val="386"/>
          <w:jc w:val="center"/>
        </w:trPr>
        <w:tc>
          <w:tcPr>
            <w:tcW w:w="2034" w:type="dxa"/>
            <w:vMerge/>
            <w:vAlign w:val="center"/>
          </w:tcPr>
          <w:p w:rsidR="0038576B" w:rsidRPr="00BD204D" w:rsidRDefault="0038576B" w:rsidP="007A5DFC">
            <w:pPr>
              <w:spacing w:line="560" w:lineRule="exact"/>
              <w:rPr>
                <w:color w:val="000000"/>
                <w:sz w:val="24"/>
              </w:rPr>
            </w:pPr>
          </w:p>
        </w:tc>
        <w:tc>
          <w:tcPr>
            <w:tcW w:w="2034" w:type="dxa"/>
          </w:tcPr>
          <w:p w:rsidR="0038576B" w:rsidRPr="00BD204D" w:rsidRDefault="0038576B" w:rsidP="007A5DFC">
            <w:pPr>
              <w:spacing w:line="560" w:lineRule="exact"/>
              <w:rPr>
                <w:color w:val="000000"/>
                <w:kern w:val="0"/>
                <w:sz w:val="18"/>
              </w:rPr>
            </w:pPr>
            <w:r w:rsidRPr="00BD204D">
              <w:rPr>
                <w:color w:val="000000"/>
                <w:sz w:val="24"/>
              </w:rPr>
              <w:t>暂停定期定额投资起始日</w:t>
            </w:r>
          </w:p>
        </w:tc>
        <w:tc>
          <w:tcPr>
            <w:tcW w:w="4454" w:type="dxa"/>
          </w:tcPr>
          <w:p w:rsidR="0038576B" w:rsidRPr="00BD204D" w:rsidRDefault="0038576B" w:rsidP="007A5DFC">
            <w:pPr>
              <w:spacing w:line="560" w:lineRule="exact"/>
              <w:rPr>
                <w:color w:val="000000"/>
                <w:kern w:val="0"/>
                <w:sz w:val="18"/>
              </w:rPr>
            </w:pPr>
            <w:r>
              <w:rPr>
                <w:rFonts w:hint="eastAsia"/>
                <w:color w:val="000000"/>
                <w:kern w:val="0"/>
                <w:sz w:val="24"/>
              </w:rPr>
              <w:t>2020</w:t>
            </w:r>
            <w:r>
              <w:rPr>
                <w:rFonts w:hint="eastAsia"/>
                <w:color w:val="000000"/>
                <w:kern w:val="0"/>
                <w:sz w:val="24"/>
              </w:rPr>
              <w:t>年</w:t>
            </w:r>
            <w:r>
              <w:rPr>
                <w:rFonts w:hint="eastAsia"/>
                <w:color w:val="000000"/>
                <w:kern w:val="0"/>
                <w:sz w:val="24"/>
              </w:rPr>
              <w:t>1</w:t>
            </w:r>
            <w:r w:rsidRPr="00BD204D">
              <w:rPr>
                <w:rFonts w:hint="eastAsia"/>
                <w:color w:val="000000"/>
                <w:kern w:val="0"/>
                <w:sz w:val="24"/>
              </w:rPr>
              <w:t>月</w:t>
            </w:r>
            <w:r>
              <w:rPr>
                <w:rFonts w:hint="eastAsia"/>
                <w:color w:val="000000"/>
                <w:kern w:val="0"/>
                <w:sz w:val="24"/>
              </w:rPr>
              <w:t>21</w:t>
            </w:r>
            <w:r w:rsidRPr="00BD204D">
              <w:rPr>
                <w:rFonts w:hint="eastAsia"/>
                <w:color w:val="000000"/>
                <w:kern w:val="0"/>
                <w:sz w:val="24"/>
              </w:rPr>
              <w:t>日</w:t>
            </w:r>
          </w:p>
        </w:tc>
      </w:tr>
      <w:tr w:rsidR="0038576B" w:rsidRPr="0038576B" w:rsidTr="007A5DFC">
        <w:trPr>
          <w:trHeight w:val="386"/>
          <w:jc w:val="center"/>
        </w:trPr>
        <w:tc>
          <w:tcPr>
            <w:tcW w:w="2034" w:type="dxa"/>
            <w:vMerge/>
            <w:vAlign w:val="center"/>
          </w:tcPr>
          <w:p w:rsidR="0038576B" w:rsidRPr="00BD204D" w:rsidRDefault="0038576B" w:rsidP="007A5DFC">
            <w:pPr>
              <w:spacing w:line="560" w:lineRule="exact"/>
              <w:rPr>
                <w:color w:val="000000"/>
                <w:sz w:val="24"/>
              </w:rPr>
            </w:pPr>
          </w:p>
        </w:tc>
        <w:tc>
          <w:tcPr>
            <w:tcW w:w="2034" w:type="dxa"/>
          </w:tcPr>
          <w:p w:rsidR="0038576B" w:rsidRPr="00BD204D" w:rsidRDefault="0038576B" w:rsidP="007A5DFC">
            <w:pPr>
              <w:spacing w:line="560" w:lineRule="exact"/>
              <w:rPr>
                <w:color w:val="000000"/>
                <w:sz w:val="24"/>
              </w:rPr>
            </w:pPr>
            <w:r w:rsidRPr="00BD204D">
              <w:rPr>
                <w:color w:val="000000"/>
                <w:sz w:val="24"/>
              </w:rPr>
              <w:t>暂停申购</w:t>
            </w:r>
            <w:r>
              <w:rPr>
                <w:rFonts w:hint="eastAsia"/>
                <w:color w:val="000000"/>
                <w:sz w:val="24"/>
              </w:rPr>
              <w:t>及</w:t>
            </w:r>
            <w:r w:rsidRPr="00BD204D">
              <w:rPr>
                <w:color w:val="000000"/>
                <w:sz w:val="24"/>
              </w:rPr>
              <w:t>定期定额投资的原因说明</w:t>
            </w:r>
          </w:p>
        </w:tc>
        <w:tc>
          <w:tcPr>
            <w:tcW w:w="4454" w:type="dxa"/>
          </w:tcPr>
          <w:p w:rsidR="0038576B" w:rsidRPr="0038576B" w:rsidRDefault="0038576B" w:rsidP="007A5DFC">
            <w:pPr>
              <w:spacing w:line="560" w:lineRule="exact"/>
              <w:rPr>
                <w:color w:val="000000"/>
                <w:kern w:val="0"/>
                <w:sz w:val="24"/>
              </w:rPr>
            </w:pPr>
            <w:r w:rsidRPr="00923C6B">
              <w:rPr>
                <w:rFonts w:hint="eastAsia"/>
                <w:color w:val="000000"/>
                <w:kern w:val="0"/>
                <w:sz w:val="24"/>
              </w:rPr>
              <w:t>为保护</w:t>
            </w:r>
            <w:r w:rsidR="001D0429" w:rsidRPr="001D0429">
              <w:rPr>
                <w:rFonts w:hint="eastAsia"/>
                <w:color w:val="000000"/>
                <w:kern w:val="0"/>
                <w:sz w:val="24"/>
              </w:rPr>
              <w:t>汇丰晋信港股通精选股票型证券投资基金</w:t>
            </w:r>
            <w:r w:rsidRPr="00923C6B">
              <w:rPr>
                <w:rFonts w:hint="eastAsia"/>
                <w:color w:val="000000"/>
                <w:kern w:val="0"/>
                <w:sz w:val="24"/>
              </w:rPr>
              <w:t>基金份额持有人的利益</w:t>
            </w:r>
          </w:p>
        </w:tc>
      </w:tr>
    </w:tbl>
    <w:p w:rsidR="005D07CC" w:rsidRPr="0038576B" w:rsidRDefault="005D07CC" w:rsidP="005D07CC"/>
    <w:p w:rsidR="0038576B" w:rsidRDefault="0038576B" w:rsidP="005D07CC"/>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4"/>
        <w:gridCol w:w="2034"/>
        <w:gridCol w:w="4454"/>
      </w:tblGrid>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基金名称</w:t>
            </w:r>
          </w:p>
        </w:tc>
        <w:tc>
          <w:tcPr>
            <w:tcW w:w="4454" w:type="dxa"/>
            <w:vAlign w:val="center"/>
          </w:tcPr>
          <w:p w:rsidR="005D07CC" w:rsidRPr="00594CEC" w:rsidRDefault="005D07CC" w:rsidP="00691C88">
            <w:pPr>
              <w:snapToGrid w:val="0"/>
              <w:spacing w:beforeLines="50" w:line="360" w:lineRule="auto"/>
              <w:rPr>
                <w:rFonts w:ascii="宋体" w:hAnsi="宋体"/>
                <w:color w:val="000000"/>
                <w:sz w:val="24"/>
              </w:rPr>
            </w:pPr>
            <w:r w:rsidRPr="000A4D7F">
              <w:rPr>
                <w:rFonts w:ascii="宋体" w:hAnsi="宋体" w:hint="eastAsia"/>
                <w:color w:val="000000"/>
                <w:sz w:val="24"/>
              </w:rPr>
              <w:t>汇丰晋信港股通双核策略混合型证券投</w:t>
            </w:r>
            <w:r w:rsidRPr="000A4D7F">
              <w:rPr>
                <w:rFonts w:ascii="宋体" w:hAnsi="宋体" w:hint="eastAsia"/>
                <w:color w:val="000000"/>
                <w:sz w:val="24"/>
              </w:rPr>
              <w:lastRenderedPageBreak/>
              <w:t>资基金</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lastRenderedPageBreak/>
              <w:t>基金简称</w:t>
            </w:r>
          </w:p>
        </w:tc>
        <w:tc>
          <w:tcPr>
            <w:tcW w:w="4454" w:type="dxa"/>
            <w:vAlign w:val="center"/>
          </w:tcPr>
          <w:p w:rsidR="005D07CC" w:rsidRPr="00BB2468" w:rsidRDefault="005D07CC" w:rsidP="00691C88">
            <w:pPr>
              <w:snapToGrid w:val="0"/>
              <w:spacing w:beforeLines="50" w:line="360" w:lineRule="auto"/>
              <w:rPr>
                <w:rFonts w:ascii="宋体" w:hAnsi="宋体"/>
                <w:color w:val="000000"/>
                <w:sz w:val="24"/>
              </w:rPr>
            </w:pPr>
            <w:r w:rsidRPr="000A4D7F">
              <w:rPr>
                <w:rFonts w:ascii="宋体" w:hAnsi="宋体" w:hint="eastAsia"/>
                <w:color w:val="000000"/>
                <w:sz w:val="24"/>
              </w:rPr>
              <w:t>汇丰晋信港股通双核混合</w:t>
            </w:r>
          </w:p>
        </w:tc>
      </w:tr>
      <w:tr w:rsidR="005D07CC" w:rsidRPr="00D73315" w:rsidTr="007A5DFC">
        <w:trPr>
          <w:trHeight w:val="386"/>
          <w:jc w:val="center"/>
        </w:trPr>
        <w:tc>
          <w:tcPr>
            <w:tcW w:w="4068" w:type="dxa"/>
            <w:gridSpan w:val="2"/>
            <w:vAlign w:val="center"/>
          </w:tcPr>
          <w:p w:rsidR="005D07CC" w:rsidRPr="00D73315" w:rsidRDefault="005D07CC" w:rsidP="007A5DFC">
            <w:pPr>
              <w:spacing w:line="560" w:lineRule="exact"/>
              <w:rPr>
                <w:rFonts w:ascii="宋体" w:hAnsi="宋体"/>
                <w:color w:val="000000"/>
                <w:sz w:val="24"/>
              </w:rPr>
            </w:pPr>
            <w:r w:rsidRPr="00D73315">
              <w:rPr>
                <w:rFonts w:ascii="宋体" w:hAnsi="宋体" w:hint="eastAsia"/>
                <w:color w:val="000000"/>
                <w:sz w:val="24"/>
              </w:rPr>
              <w:t>基金</w:t>
            </w:r>
            <w:r>
              <w:rPr>
                <w:rFonts w:ascii="宋体" w:hAnsi="宋体" w:hint="eastAsia"/>
                <w:color w:val="000000"/>
                <w:sz w:val="24"/>
              </w:rPr>
              <w:t>主</w:t>
            </w:r>
            <w:r w:rsidRPr="00D73315">
              <w:rPr>
                <w:rFonts w:ascii="宋体" w:hAnsi="宋体" w:hint="eastAsia"/>
                <w:color w:val="000000"/>
                <w:sz w:val="24"/>
              </w:rPr>
              <w:t>代码</w:t>
            </w:r>
          </w:p>
        </w:tc>
        <w:tc>
          <w:tcPr>
            <w:tcW w:w="4454" w:type="dxa"/>
            <w:vAlign w:val="center"/>
          </w:tcPr>
          <w:p w:rsidR="005D07CC" w:rsidRPr="00BB2468" w:rsidRDefault="005D07CC" w:rsidP="00691C88">
            <w:pPr>
              <w:snapToGrid w:val="0"/>
              <w:spacing w:beforeLines="50" w:line="360" w:lineRule="auto"/>
              <w:rPr>
                <w:rFonts w:ascii="宋体" w:hAnsi="宋体"/>
                <w:color w:val="000000"/>
                <w:sz w:val="24"/>
              </w:rPr>
            </w:pPr>
            <w:r w:rsidRPr="000A4D7F">
              <w:rPr>
                <w:rFonts w:ascii="宋体" w:hAnsi="宋体"/>
                <w:kern w:val="0"/>
                <w:sz w:val="24"/>
              </w:rPr>
              <w:t>007291</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基金运作方式</w:t>
            </w:r>
          </w:p>
        </w:tc>
        <w:tc>
          <w:tcPr>
            <w:tcW w:w="4454" w:type="dxa"/>
          </w:tcPr>
          <w:p w:rsidR="005D07CC" w:rsidRPr="00D73315" w:rsidRDefault="005D07CC" w:rsidP="007A5DFC">
            <w:pPr>
              <w:spacing w:line="560" w:lineRule="exact"/>
              <w:rPr>
                <w:rFonts w:ascii="宋体" w:hAnsi="宋体"/>
                <w:color w:val="000000"/>
                <w:kern w:val="0"/>
                <w:sz w:val="18"/>
              </w:rPr>
            </w:pPr>
            <w:r w:rsidRPr="00D73315">
              <w:rPr>
                <w:rFonts w:ascii="宋体" w:hAnsi="宋体" w:hint="eastAsia"/>
                <w:sz w:val="24"/>
              </w:rPr>
              <w:t>契约型开放式</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基金合同生效日</w:t>
            </w:r>
          </w:p>
        </w:tc>
        <w:tc>
          <w:tcPr>
            <w:tcW w:w="4454" w:type="dxa"/>
          </w:tcPr>
          <w:p w:rsidR="005D07CC" w:rsidRPr="00D73315" w:rsidRDefault="005D07CC" w:rsidP="007A5DFC">
            <w:pPr>
              <w:spacing w:line="560" w:lineRule="exact"/>
              <w:rPr>
                <w:rFonts w:ascii="宋体" w:hAnsi="宋体"/>
                <w:color w:val="000000"/>
                <w:sz w:val="24"/>
              </w:rPr>
            </w:pPr>
            <w:r w:rsidRPr="00D73315">
              <w:rPr>
                <w:rFonts w:ascii="宋体" w:hAnsi="宋体" w:hint="eastAsia"/>
                <w:color w:val="000000"/>
                <w:sz w:val="24"/>
              </w:rPr>
              <w:t>201</w:t>
            </w:r>
            <w:r>
              <w:rPr>
                <w:rFonts w:ascii="宋体" w:hAnsi="宋体" w:hint="eastAsia"/>
                <w:color w:val="000000"/>
                <w:sz w:val="24"/>
              </w:rPr>
              <w:t>9</w:t>
            </w:r>
            <w:r w:rsidRPr="00D73315">
              <w:rPr>
                <w:rFonts w:ascii="宋体" w:hAnsi="宋体"/>
                <w:color w:val="000000"/>
                <w:sz w:val="24"/>
              </w:rPr>
              <w:t>年</w:t>
            </w:r>
            <w:r>
              <w:rPr>
                <w:rFonts w:ascii="宋体" w:hAnsi="宋体" w:hint="eastAsia"/>
                <w:color w:val="000000"/>
                <w:sz w:val="24"/>
              </w:rPr>
              <w:t>8</w:t>
            </w:r>
            <w:r w:rsidRPr="00D73315">
              <w:rPr>
                <w:rFonts w:ascii="宋体" w:hAnsi="宋体"/>
                <w:color w:val="000000"/>
                <w:sz w:val="24"/>
              </w:rPr>
              <w:t>月</w:t>
            </w:r>
            <w:r>
              <w:rPr>
                <w:rFonts w:ascii="宋体" w:hAnsi="宋体" w:hint="eastAsia"/>
                <w:color w:val="000000"/>
                <w:sz w:val="24"/>
              </w:rPr>
              <w:t>2</w:t>
            </w:r>
            <w:r w:rsidRPr="00D73315">
              <w:rPr>
                <w:rFonts w:ascii="宋体" w:hAnsi="宋体"/>
                <w:color w:val="000000"/>
                <w:sz w:val="24"/>
              </w:rPr>
              <w:t>日</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基金管理人名称</w:t>
            </w:r>
          </w:p>
        </w:tc>
        <w:tc>
          <w:tcPr>
            <w:tcW w:w="4454" w:type="dxa"/>
            <w:vAlign w:val="center"/>
          </w:tcPr>
          <w:p w:rsidR="005D07CC" w:rsidRPr="00D73315" w:rsidRDefault="005D07CC" w:rsidP="00691C88">
            <w:pPr>
              <w:snapToGrid w:val="0"/>
              <w:spacing w:beforeLines="50" w:line="360" w:lineRule="auto"/>
              <w:rPr>
                <w:rFonts w:ascii="宋体" w:hAnsi="宋体"/>
                <w:color w:val="000000"/>
                <w:kern w:val="0"/>
                <w:sz w:val="24"/>
              </w:rPr>
            </w:pPr>
            <w:r w:rsidRPr="00D73315">
              <w:rPr>
                <w:rFonts w:ascii="宋体" w:hAnsi="宋体" w:hint="eastAsia"/>
                <w:sz w:val="24"/>
              </w:rPr>
              <w:t>汇丰晋信基金管理有限公司</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基金托管人名称</w:t>
            </w:r>
          </w:p>
        </w:tc>
        <w:tc>
          <w:tcPr>
            <w:tcW w:w="4454" w:type="dxa"/>
            <w:vAlign w:val="center"/>
          </w:tcPr>
          <w:p w:rsidR="005D07CC" w:rsidRPr="00594CEC" w:rsidRDefault="005D07CC" w:rsidP="00691C88">
            <w:pPr>
              <w:snapToGrid w:val="0"/>
              <w:spacing w:beforeLines="50" w:line="360" w:lineRule="auto"/>
              <w:rPr>
                <w:rFonts w:ascii="宋体" w:hAnsi="宋体"/>
                <w:color w:val="000000"/>
                <w:sz w:val="24"/>
              </w:rPr>
            </w:pPr>
            <w:r w:rsidRPr="000A4D7F">
              <w:rPr>
                <w:rFonts w:ascii="宋体" w:hAnsi="宋体" w:hint="eastAsia"/>
                <w:color w:val="000000"/>
                <w:sz w:val="24"/>
              </w:rPr>
              <w:t>招商银行股份有限公司</w:t>
            </w:r>
          </w:p>
        </w:tc>
      </w:tr>
      <w:tr w:rsidR="005D07CC" w:rsidRPr="00D73315" w:rsidTr="007A5DFC">
        <w:trPr>
          <w:trHeight w:val="386"/>
          <w:jc w:val="center"/>
        </w:trPr>
        <w:tc>
          <w:tcPr>
            <w:tcW w:w="4068" w:type="dxa"/>
            <w:gridSpan w:val="2"/>
          </w:tcPr>
          <w:p w:rsidR="005D07CC" w:rsidRPr="00D73315" w:rsidRDefault="005D07CC" w:rsidP="007A5DFC">
            <w:pPr>
              <w:spacing w:line="560" w:lineRule="exact"/>
              <w:rPr>
                <w:rFonts w:ascii="宋体" w:hAnsi="宋体"/>
                <w:color w:val="000000"/>
                <w:sz w:val="24"/>
              </w:rPr>
            </w:pPr>
            <w:r w:rsidRPr="00D73315">
              <w:rPr>
                <w:rFonts w:ascii="宋体" w:hAnsi="宋体"/>
                <w:color w:val="000000"/>
                <w:sz w:val="24"/>
              </w:rPr>
              <w:t>公告依据</w:t>
            </w:r>
          </w:p>
        </w:tc>
        <w:tc>
          <w:tcPr>
            <w:tcW w:w="4454" w:type="dxa"/>
          </w:tcPr>
          <w:p w:rsidR="005D07CC" w:rsidRPr="000A4D7F" w:rsidRDefault="005D07CC" w:rsidP="007A5DFC">
            <w:pPr>
              <w:spacing w:line="560" w:lineRule="exact"/>
              <w:rPr>
                <w:rFonts w:ascii="宋体" w:hAnsi="宋体"/>
                <w:color w:val="000000"/>
                <w:sz w:val="24"/>
              </w:rPr>
            </w:pPr>
            <w:r w:rsidRPr="00D73315">
              <w:rPr>
                <w:rFonts w:ascii="宋体" w:hAnsi="宋体" w:hint="eastAsia"/>
                <w:color w:val="000000"/>
                <w:sz w:val="24"/>
              </w:rPr>
              <w:t>《</w:t>
            </w:r>
            <w:r w:rsidRPr="000A4D7F">
              <w:rPr>
                <w:rFonts w:ascii="宋体" w:hAnsi="宋体" w:hint="eastAsia"/>
                <w:color w:val="000000"/>
                <w:sz w:val="24"/>
              </w:rPr>
              <w:t>汇丰晋信港股通双核策略混合型证券投资基金</w:t>
            </w:r>
            <w:r w:rsidRPr="00D73315">
              <w:rPr>
                <w:rFonts w:ascii="宋体" w:hAnsi="宋体" w:hint="eastAsia"/>
                <w:sz w:val="24"/>
              </w:rPr>
              <w:t>基金合同</w:t>
            </w:r>
            <w:r w:rsidRPr="00D73315">
              <w:rPr>
                <w:rFonts w:ascii="宋体" w:hAnsi="宋体" w:hint="eastAsia"/>
                <w:color w:val="000000"/>
                <w:sz w:val="24"/>
              </w:rPr>
              <w:t>》和《</w:t>
            </w:r>
            <w:r w:rsidRPr="000A4D7F">
              <w:rPr>
                <w:rFonts w:ascii="宋体" w:hAnsi="宋体" w:hint="eastAsia"/>
                <w:color w:val="000000"/>
                <w:sz w:val="24"/>
              </w:rPr>
              <w:t>汇丰晋信港股通双核策略混合型证券投资基金</w:t>
            </w:r>
            <w:r w:rsidRPr="00D73315">
              <w:rPr>
                <w:rFonts w:ascii="宋体" w:hAnsi="宋体" w:hint="eastAsia"/>
                <w:sz w:val="24"/>
              </w:rPr>
              <w:t>招募说明书</w:t>
            </w:r>
            <w:r w:rsidRPr="00D73315">
              <w:rPr>
                <w:rFonts w:ascii="宋体" w:hAnsi="宋体" w:hint="eastAsia"/>
                <w:color w:val="000000"/>
                <w:sz w:val="24"/>
              </w:rPr>
              <w:t>》</w:t>
            </w:r>
          </w:p>
        </w:tc>
      </w:tr>
      <w:bookmarkEnd w:id="1"/>
      <w:tr w:rsidR="0038576B" w:rsidRPr="00BD204D" w:rsidTr="007A5DFC">
        <w:trPr>
          <w:trHeight w:val="386"/>
          <w:jc w:val="center"/>
        </w:trPr>
        <w:tc>
          <w:tcPr>
            <w:tcW w:w="2034" w:type="dxa"/>
            <w:vMerge w:val="restart"/>
            <w:vAlign w:val="center"/>
          </w:tcPr>
          <w:p w:rsidR="0038576B" w:rsidRPr="00BD204D" w:rsidRDefault="0038576B" w:rsidP="007A5DFC">
            <w:pPr>
              <w:spacing w:line="560" w:lineRule="exact"/>
              <w:rPr>
                <w:color w:val="000000"/>
                <w:sz w:val="24"/>
              </w:rPr>
            </w:pPr>
            <w:r w:rsidRPr="00BD204D">
              <w:rPr>
                <w:color w:val="000000"/>
                <w:sz w:val="24"/>
              </w:rPr>
              <w:t>暂停相关业务的起始日、金额及原因说明</w:t>
            </w:r>
          </w:p>
        </w:tc>
        <w:tc>
          <w:tcPr>
            <w:tcW w:w="2034" w:type="dxa"/>
          </w:tcPr>
          <w:p w:rsidR="0038576B" w:rsidRPr="00BD204D" w:rsidRDefault="0038576B" w:rsidP="007A5DFC">
            <w:pPr>
              <w:spacing w:line="560" w:lineRule="exact"/>
              <w:rPr>
                <w:color w:val="000000"/>
                <w:kern w:val="0"/>
                <w:sz w:val="18"/>
              </w:rPr>
            </w:pPr>
            <w:r w:rsidRPr="00BD204D">
              <w:rPr>
                <w:color w:val="000000"/>
                <w:sz w:val="24"/>
              </w:rPr>
              <w:t>暂停申购起始日</w:t>
            </w:r>
          </w:p>
        </w:tc>
        <w:tc>
          <w:tcPr>
            <w:tcW w:w="4454" w:type="dxa"/>
          </w:tcPr>
          <w:p w:rsidR="0038576B" w:rsidRPr="00BD204D" w:rsidRDefault="0038576B" w:rsidP="007A5DFC">
            <w:pPr>
              <w:spacing w:line="560" w:lineRule="exact"/>
              <w:rPr>
                <w:color w:val="000000"/>
                <w:kern w:val="0"/>
                <w:sz w:val="24"/>
              </w:rPr>
            </w:pPr>
            <w:r>
              <w:rPr>
                <w:rFonts w:hint="eastAsia"/>
                <w:color w:val="000000"/>
                <w:kern w:val="0"/>
                <w:sz w:val="24"/>
              </w:rPr>
              <w:t>2020</w:t>
            </w:r>
            <w:r>
              <w:rPr>
                <w:rFonts w:hint="eastAsia"/>
                <w:color w:val="000000"/>
                <w:kern w:val="0"/>
                <w:sz w:val="24"/>
              </w:rPr>
              <w:t>年</w:t>
            </w:r>
            <w:r>
              <w:rPr>
                <w:rFonts w:hint="eastAsia"/>
                <w:color w:val="000000"/>
                <w:kern w:val="0"/>
                <w:sz w:val="24"/>
              </w:rPr>
              <w:t>1</w:t>
            </w:r>
            <w:r w:rsidRPr="00BD204D">
              <w:rPr>
                <w:rFonts w:hint="eastAsia"/>
                <w:color w:val="000000"/>
                <w:kern w:val="0"/>
                <w:sz w:val="24"/>
              </w:rPr>
              <w:t>月</w:t>
            </w:r>
            <w:r>
              <w:rPr>
                <w:rFonts w:hint="eastAsia"/>
                <w:color w:val="000000"/>
                <w:kern w:val="0"/>
                <w:sz w:val="24"/>
              </w:rPr>
              <w:t>21</w:t>
            </w:r>
            <w:r w:rsidRPr="00BD204D">
              <w:rPr>
                <w:rFonts w:hint="eastAsia"/>
                <w:color w:val="000000"/>
                <w:kern w:val="0"/>
                <w:sz w:val="24"/>
              </w:rPr>
              <w:t>日</w:t>
            </w:r>
          </w:p>
        </w:tc>
      </w:tr>
      <w:tr w:rsidR="0038576B" w:rsidRPr="00BD204D" w:rsidTr="007A5DFC">
        <w:trPr>
          <w:trHeight w:val="386"/>
          <w:jc w:val="center"/>
        </w:trPr>
        <w:tc>
          <w:tcPr>
            <w:tcW w:w="2034" w:type="dxa"/>
            <w:vMerge/>
            <w:vAlign w:val="center"/>
          </w:tcPr>
          <w:p w:rsidR="0038576B" w:rsidRPr="00BD204D" w:rsidRDefault="0038576B" w:rsidP="007A5DFC">
            <w:pPr>
              <w:spacing w:line="560" w:lineRule="exact"/>
              <w:rPr>
                <w:color w:val="000000"/>
                <w:sz w:val="24"/>
              </w:rPr>
            </w:pPr>
          </w:p>
        </w:tc>
        <w:tc>
          <w:tcPr>
            <w:tcW w:w="2034" w:type="dxa"/>
          </w:tcPr>
          <w:p w:rsidR="0038576B" w:rsidRPr="00BD204D" w:rsidRDefault="0038576B" w:rsidP="007A5DFC">
            <w:pPr>
              <w:spacing w:line="560" w:lineRule="exact"/>
              <w:rPr>
                <w:color w:val="000000"/>
                <w:kern w:val="0"/>
                <w:sz w:val="18"/>
              </w:rPr>
            </w:pPr>
            <w:r w:rsidRPr="00BD204D">
              <w:rPr>
                <w:color w:val="000000"/>
                <w:sz w:val="24"/>
              </w:rPr>
              <w:t>暂停定期定额投资起始日</w:t>
            </w:r>
          </w:p>
        </w:tc>
        <w:tc>
          <w:tcPr>
            <w:tcW w:w="4454" w:type="dxa"/>
          </w:tcPr>
          <w:p w:rsidR="0038576B" w:rsidRPr="00BD204D" w:rsidRDefault="0038576B" w:rsidP="007A5DFC">
            <w:pPr>
              <w:spacing w:line="560" w:lineRule="exact"/>
              <w:rPr>
                <w:color w:val="000000"/>
                <w:kern w:val="0"/>
                <w:sz w:val="18"/>
              </w:rPr>
            </w:pPr>
            <w:r>
              <w:rPr>
                <w:rFonts w:hint="eastAsia"/>
                <w:color w:val="000000"/>
                <w:kern w:val="0"/>
                <w:sz w:val="24"/>
              </w:rPr>
              <w:t>2020</w:t>
            </w:r>
            <w:r>
              <w:rPr>
                <w:rFonts w:hint="eastAsia"/>
                <w:color w:val="000000"/>
                <w:kern w:val="0"/>
                <w:sz w:val="24"/>
              </w:rPr>
              <w:t>年</w:t>
            </w:r>
            <w:r>
              <w:rPr>
                <w:rFonts w:hint="eastAsia"/>
                <w:color w:val="000000"/>
                <w:kern w:val="0"/>
                <w:sz w:val="24"/>
              </w:rPr>
              <w:t>1</w:t>
            </w:r>
            <w:r w:rsidRPr="00BD204D">
              <w:rPr>
                <w:rFonts w:hint="eastAsia"/>
                <w:color w:val="000000"/>
                <w:kern w:val="0"/>
                <w:sz w:val="24"/>
              </w:rPr>
              <w:t>月</w:t>
            </w:r>
            <w:r>
              <w:rPr>
                <w:rFonts w:hint="eastAsia"/>
                <w:color w:val="000000"/>
                <w:kern w:val="0"/>
                <w:sz w:val="24"/>
              </w:rPr>
              <w:t>21</w:t>
            </w:r>
            <w:r w:rsidRPr="00BD204D">
              <w:rPr>
                <w:rFonts w:hint="eastAsia"/>
                <w:color w:val="000000"/>
                <w:kern w:val="0"/>
                <w:sz w:val="24"/>
              </w:rPr>
              <w:t>日</w:t>
            </w:r>
          </w:p>
        </w:tc>
      </w:tr>
      <w:tr w:rsidR="0038576B" w:rsidRPr="0038576B" w:rsidTr="007A5DFC">
        <w:trPr>
          <w:trHeight w:val="386"/>
          <w:jc w:val="center"/>
        </w:trPr>
        <w:tc>
          <w:tcPr>
            <w:tcW w:w="2034" w:type="dxa"/>
            <w:vMerge/>
            <w:vAlign w:val="center"/>
          </w:tcPr>
          <w:p w:rsidR="0038576B" w:rsidRPr="00BD204D" w:rsidRDefault="0038576B" w:rsidP="007A5DFC">
            <w:pPr>
              <w:spacing w:line="560" w:lineRule="exact"/>
              <w:rPr>
                <w:color w:val="000000"/>
                <w:sz w:val="24"/>
              </w:rPr>
            </w:pPr>
          </w:p>
        </w:tc>
        <w:tc>
          <w:tcPr>
            <w:tcW w:w="2034" w:type="dxa"/>
          </w:tcPr>
          <w:p w:rsidR="0038576B" w:rsidRPr="00BD204D" w:rsidRDefault="0038576B" w:rsidP="007A5DFC">
            <w:pPr>
              <w:spacing w:line="560" w:lineRule="exact"/>
              <w:rPr>
                <w:color w:val="000000"/>
                <w:sz w:val="24"/>
              </w:rPr>
            </w:pPr>
            <w:r w:rsidRPr="00BD204D">
              <w:rPr>
                <w:color w:val="000000"/>
                <w:sz w:val="24"/>
              </w:rPr>
              <w:t>暂停申购</w:t>
            </w:r>
            <w:r>
              <w:rPr>
                <w:rFonts w:hint="eastAsia"/>
                <w:color w:val="000000"/>
                <w:sz w:val="24"/>
              </w:rPr>
              <w:t>及</w:t>
            </w:r>
            <w:r w:rsidRPr="00BD204D">
              <w:rPr>
                <w:color w:val="000000"/>
                <w:sz w:val="24"/>
              </w:rPr>
              <w:t>定期定额投资的原因说明</w:t>
            </w:r>
          </w:p>
        </w:tc>
        <w:tc>
          <w:tcPr>
            <w:tcW w:w="4454" w:type="dxa"/>
          </w:tcPr>
          <w:p w:rsidR="0038576B" w:rsidRPr="0038576B" w:rsidRDefault="0038576B" w:rsidP="007A5DFC">
            <w:pPr>
              <w:spacing w:line="560" w:lineRule="exact"/>
              <w:rPr>
                <w:color w:val="000000"/>
                <w:kern w:val="0"/>
                <w:sz w:val="24"/>
              </w:rPr>
            </w:pPr>
            <w:r w:rsidRPr="00923C6B">
              <w:rPr>
                <w:rFonts w:hint="eastAsia"/>
                <w:color w:val="000000"/>
                <w:kern w:val="0"/>
                <w:sz w:val="24"/>
              </w:rPr>
              <w:t>为保护</w:t>
            </w:r>
            <w:r w:rsidR="001D0429" w:rsidRPr="000A4D7F">
              <w:rPr>
                <w:rFonts w:ascii="宋体" w:hAnsi="宋体" w:hint="eastAsia"/>
                <w:color w:val="000000"/>
                <w:sz w:val="24"/>
              </w:rPr>
              <w:t>汇丰晋信港股通双核策略混合型证券投资基金</w:t>
            </w:r>
            <w:r w:rsidRPr="00923C6B">
              <w:rPr>
                <w:rFonts w:hint="eastAsia"/>
                <w:color w:val="000000"/>
                <w:kern w:val="0"/>
                <w:sz w:val="24"/>
              </w:rPr>
              <w:t>基金份额持有人的利益</w:t>
            </w:r>
          </w:p>
        </w:tc>
      </w:tr>
    </w:tbl>
    <w:p w:rsidR="00940149" w:rsidRDefault="00940149" w:rsidP="00691C88">
      <w:pPr>
        <w:snapToGrid w:val="0"/>
        <w:spacing w:beforeLines="50" w:afterLines="50" w:line="360" w:lineRule="auto"/>
        <w:rPr>
          <w:rFonts w:ascii="宋体" w:hAnsi="宋体"/>
          <w:sz w:val="24"/>
        </w:rPr>
      </w:pPr>
      <w:r w:rsidRPr="00BD204D">
        <w:rPr>
          <w:rFonts w:ascii="宋体" w:hAnsi="宋体" w:hint="eastAsia"/>
          <w:sz w:val="24"/>
        </w:rPr>
        <w:t xml:space="preserve">注： </w:t>
      </w:r>
      <w:r w:rsidR="00A70132">
        <w:rPr>
          <w:rFonts w:ascii="宋体" w:hAnsi="宋体" w:hint="eastAsia"/>
          <w:sz w:val="24"/>
        </w:rPr>
        <w:t>1</w:t>
      </w:r>
      <w:r w:rsidRPr="00BD204D">
        <w:rPr>
          <w:rFonts w:ascii="宋体" w:hAnsi="宋体" w:hint="eastAsia"/>
          <w:sz w:val="24"/>
        </w:rPr>
        <w:t>、</w:t>
      </w:r>
      <w:r w:rsidR="00FA0E8A">
        <w:rPr>
          <w:rFonts w:ascii="宋体" w:hAnsi="宋体" w:hint="eastAsia"/>
          <w:sz w:val="24"/>
        </w:rPr>
        <w:t>自2020年1月21日起，</w:t>
      </w:r>
      <w:r w:rsidRPr="00940149">
        <w:rPr>
          <w:rFonts w:ascii="宋体" w:hAnsi="宋体" w:hint="eastAsia"/>
          <w:sz w:val="24"/>
        </w:rPr>
        <w:t>汇丰晋信沪港深股票型证券投资基金、汇丰晋信港股通精选股票型证券投资基金、汇丰晋信港股通双核策略混合型证券投资基金</w:t>
      </w:r>
      <w:r w:rsidR="00FA0E8A">
        <w:rPr>
          <w:rFonts w:ascii="宋体" w:hAnsi="宋体" w:hint="eastAsia"/>
          <w:sz w:val="24"/>
        </w:rPr>
        <w:t>暂停</w:t>
      </w:r>
      <w:r w:rsidRPr="00BD204D">
        <w:rPr>
          <w:rFonts w:ascii="宋体" w:hAnsi="宋体" w:hint="eastAsia"/>
          <w:sz w:val="24"/>
        </w:rPr>
        <w:t>办理申购</w:t>
      </w:r>
      <w:r>
        <w:rPr>
          <w:rFonts w:ascii="宋体" w:hAnsi="宋体" w:hint="eastAsia"/>
          <w:sz w:val="24"/>
        </w:rPr>
        <w:t>及</w:t>
      </w:r>
      <w:r w:rsidRPr="00BD204D">
        <w:rPr>
          <w:rFonts w:ascii="宋体" w:hAnsi="宋体" w:hint="eastAsia"/>
          <w:sz w:val="24"/>
        </w:rPr>
        <w:t>定期定额投资业务。</w:t>
      </w:r>
    </w:p>
    <w:p w:rsidR="00FA0E8A" w:rsidRDefault="00FA0E8A" w:rsidP="00691C88">
      <w:pPr>
        <w:snapToGrid w:val="0"/>
        <w:spacing w:beforeLines="50" w:afterLines="50" w:line="360" w:lineRule="auto"/>
        <w:rPr>
          <w:rFonts w:ascii="宋体" w:hAnsi="宋体"/>
          <w:sz w:val="24"/>
        </w:rPr>
      </w:pPr>
      <w:r>
        <w:rPr>
          <w:rFonts w:ascii="宋体" w:hAnsi="宋体" w:hint="eastAsia"/>
          <w:sz w:val="24"/>
        </w:rPr>
        <w:t>2</w:t>
      </w:r>
      <w:r w:rsidRPr="00BD204D">
        <w:rPr>
          <w:rFonts w:ascii="宋体" w:hAnsi="宋体" w:hint="eastAsia"/>
          <w:sz w:val="24"/>
        </w:rPr>
        <w:t>、</w:t>
      </w:r>
      <w:r>
        <w:rPr>
          <w:rFonts w:ascii="宋体" w:hAnsi="宋体" w:hint="eastAsia"/>
          <w:sz w:val="24"/>
        </w:rPr>
        <w:t>自2020年1月22日起，</w:t>
      </w:r>
      <w:r w:rsidRPr="00940149">
        <w:rPr>
          <w:rFonts w:ascii="宋体" w:hAnsi="宋体" w:hint="eastAsia"/>
          <w:sz w:val="24"/>
        </w:rPr>
        <w:t>汇丰晋信沪港深股票型证券投资基金、汇丰晋信港股通精选股票型证券投资基金、汇丰晋信港股通双核策略混合型证券投资基金</w:t>
      </w:r>
      <w:r>
        <w:rPr>
          <w:rFonts w:ascii="宋体" w:hAnsi="宋体" w:hint="eastAsia"/>
          <w:sz w:val="24"/>
        </w:rPr>
        <w:t>暂停</w:t>
      </w:r>
      <w:r w:rsidRPr="00BD204D">
        <w:rPr>
          <w:rFonts w:ascii="宋体" w:hAnsi="宋体" w:hint="eastAsia"/>
          <w:sz w:val="24"/>
        </w:rPr>
        <w:t>办理</w:t>
      </w:r>
      <w:r>
        <w:rPr>
          <w:rFonts w:ascii="宋体" w:hAnsi="宋体" w:hint="eastAsia"/>
          <w:sz w:val="24"/>
        </w:rPr>
        <w:t>赎回</w:t>
      </w:r>
      <w:r w:rsidRPr="00BD204D">
        <w:rPr>
          <w:rFonts w:ascii="宋体" w:hAnsi="宋体" w:hint="eastAsia"/>
          <w:sz w:val="24"/>
        </w:rPr>
        <w:t>业务</w:t>
      </w:r>
      <w:r>
        <w:rPr>
          <w:rFonts w:ascii="宋体" w:hAnsi="宋体" w:hint="eastAsia"/>
          <w:sz w:val="24"/>
        </w:rPr>
        <w:t>（详见本基金管理人2019年12月27日发布于指定媒介的相关公告）</w:t>
      </w:r>
      <w:r w:rsidRPr="00BD204D">
        <w:rPr>
          <w:rFonts w:ascii="宋体" w:hAnsi="宋体" w:hint="eastAsia"/>
          <w:sz w:val="24"/>
        </w:rPr>
        <w:t>。</w:t>
      </w:r>
    </w:p>
    <w:p w:rsidR="00A70132" w:rsidRPr="00BE1369" w:rsidRDefault="00FA0E8A" w:rsidP="00691C88">
      <w:pPr>
        <w:snapToGrid w:val="0"/>
        <w:spacing w:beforeLines="50" w:afterLines="50" w:line="360" w:lineRule="auto"/>
        <w:rPr>
          <w:rFonts w:ascii="宋体" w:hAnsi="宋体"/>
          <w:sz w:val="24"/>
        </w:rPr>
      </w:pPr>
      <w:r>
        <w:rPr>
          <w:rFonts w:ascii="宋体" w:hAnsi="宋体" w:hint="eastAsia"/>
          <w:sz w:val="24"/>
        </w:rPr>
        <w:t>3</w:t>
      </w:r>
      <w:r w:rsidR="00ED4A0E" w:rsidRPr="00BD204D">
        <w:rPr>
          <w:rFonts w:ascii="宋体" w:hAnsi="宋体" w:hint="eastAsia"/>
          <w:sz w:val="24"/>
        </w:rPr>
        <w:t>、自</w:t>
      </w:r>
      <w:r w:rsidR="00ED4A0E">
        <w:rPr>
          <w:rFonts w:ascii="宋体" w:hAnsi="宋体" w:hint="eastAsia"/>
          <w:sz w:val="24"/>
        </w:rPr>
        <w:t>2020</w:t>
      </w:r>
      <w:r w:rsidR="00ED4A0E" w:rsidRPr="00BD204D">
        <w:rPr>
          <w:rFonts w:ascii="宋体" w:hAnsi="宋体" w:hint="eastAsia"/>
          <w:sz w:val="24"/>
        </w:rPr>
        <w:t>年</w:t>
      </w:r>
      <w:r w:rsidR="00ED4A0E">
        <w:rPr>
          <w:rFonts w:ascii="宋体" w:hAnsi="宋体" w:hint="eastAsia"/>
          <w:sz w:val="24"/>
        </w:rPr>
        <w:t>1</w:t>
      </w:r>
      <w:r w:rsidR="00ED4A0E" w:rsidRPr="00BD204D">
        <w:rPr>
          <w:rFonts w:ascii="宋体" w:hAnsi="宋体" w:hint="eastAsia"/>
          <w:sz w:val="24"/>
        </w:rPr>
        <w:t>月</w:t>
      </w:r>
      <w:r w:rsidR="00ED4A0E">
        <w:rPr>
          <w:rFonts w:ascii="宋体" w:hAnsi="宋体" w:hint="eastAsia"/>
          <w:sz w:val="24"/>
        </w:rPr>
        <w:t>31</w:t>
      </w:r>
      <w:r w:rsidR="00ED4A0E" w:rsidRPr="00BD204D">
        <w:rPr>
          <w:rFonts w:ascii="宋体" w:hAnsi="宋体" w:hint="eastAsia"/>
          <w:sz w:val="24"/>
        </w:rPr>
        <w:t>日起，</w:t>
      </w:r>
      <w:r w:rsidR="00ED4A0E" w:rsidRPr="00940149">
        <w:rPr>
          <w:rFonts w:ascii="宋体" w:hAnsi="宋体" w:hint="eastAsia"/>
          <w:sz w:val="24"/>
        </w:rPr>
        <w:t>汇丰晋信沪港深股票型证券投资基金、汇丰晋信港股通精选股票型证券投资基金、汇丰晋信港股通双核策略混合型证券投资基金</w:t>
      </w:r>
      <w:r w:rsidR="00ED4A0E" w:rsidRPr="00BD204D">
        <w:rPr>
          <w:rFonts w:ascii="宋体" w:hAnsi="宋体" w:hint="eastAsia"/>
          <w:sz w:val="24"/>
        </w:rPr>
        <w:t>将恢复办理申购</w:t>
      </w:r>
      <w:r w:rsidR="00ED4A0E">
        <w:rPr>
          <w:rFonts w:ascii="宋体" w:hAnsi="宋体" w:hint="eastAsia"/>
          <w:sz w:val="24"/>
        </w:rPr>
        <w:t>、</w:t>
      </w:r>
      <w:r w:rsidR="00ED4A0E" w:rsidRPr="00BD204D">
        <w:rPr>
          <w:rFonts w:ascii="宋体" w:hAnsi="宋体" w:hint="eastAsia"/>
          <w:sz w:val="24"/>
        </w:rPr>
        <w:t>定期定额投资</w:t>
      </w:r>
      <w:r w:rsidR="00ED4A0E">
        <w:rPr>
          <w:rFonts w:ascii="宋体" w:hAnsi="宋体" w:hint="eastAsia"/>
          <w:sz w:val="24"/>
        </w:rPr>
        <w:t>及赎回</w:t>
      </w:r>
      <w:r w:rsidR="00ED4A0E" w:rsidRPr="00BD204D">
        <w:rPr>
          <w:rFonts w:ascii="宋体" w:hAnsi="宋体" w:hint="eastAsia"/>
          <w:sz w:val="24"/>
        </w:rPr>
        <w:t>业务，届时将不再另行公告。</w:t>
      </w:r>
      <w:r w:rsidR="00A70132" w:rsidRPr="00BD204D">
        <w:rPr>
          <w:rFonts w:ascii="宋体" w:hAnsi="宋体" w:hint="eastAsia"/>
          <w:sz w:val="24"/>
        </w:rPr>
        <w:t>本公司管理的其他开放式基金的各项交易业务</w:t>
      </w:r>
      <w:r>
        <w:rPr>
          <w:rFonts w:ascii="宋体" w:hAnsi="宋体" w:hint="eastAsia"/>
          <w:sz w:val="24"/>
        </w:rPr>
        <w:t>在上述期间</w:t>
      </w:r>
      <w:r w:rsidR="00A70132" w:rsidRPr="00BD204D">
        <w:rPr>
          <w:rFonts w:ascii="宋体" w:hAnsi="宋体" w:hint="eastAsia"/>
          <w:sz w:val="24"/>
        </w:rPr>
        <w:t>仍照常办理。</w:t>
      </w:r>
    </w:p>
    <w:p w:rsidR="00993567" w:rsidRPr="00BD204D" w:rsidRDefault="00993567" w:rsidP="00993567">
      <w:pPr>
        <w:pStyle w:val="3"/>
        <w:keepNext w:val="0"/>
        <w:keepLines w:val="0"/>
        <w:spacing w:before="0" w:after="0" w:line="360" w:lineRule="auto"/>
        <w:rPr>
          <w:rFonts w:ascii="宋体" w:hAnsi="宋体"/>
          <w:bCs w:val="0"/>
          <w:sz w:val="24"/>
          <w:szCs w:val="24"/>
        </w:rPr>
      </w:pPr>
      <w:r w:rsidRPr="00BD204D">
        <w:rPr>
          <w:rFonts w:hint="eastAsia"/>
          <w:sz w:val="24"/>
          <w:szCs w:val="24"/>
        </w:rPr>
        <w:t>2.</w:t>
      </w:r>
      <w:r w:rsidRPr="00BD204D">
        <w:rPr>
          <w:rFonts w:hint="eastAsia"/>
          <w:sz w:val="24"/>
          <w:szCs w:val="24"/>
        </w:rPr>
        <w:t>其他需要提示的事项</w:t>
      </w:r>
    </w:p>
    <w:p w:rsidR="00993567" w:rsidRPr="00BD204D" w:rsidRDefault="00993567" w:rsidP="00691C88">
      <w:pPr>
        <w:snapToGrid w:val="0"/>
        <w:spacing w:beforeLines="50" w:afterLines="50" w:line="360" w:lineRule="auto"/>
        <w:ind w:firstLineChars="236" w:firstLine="566"/>
        <w:rPr>
          <w:rFonts w:ascii="宋体" w:hAnsi="宋体"/>
          <w:sz w:val="24"/>
        </w:rPr>
      </w:pPr>
      <w:r>
        <w:rPr>
          <w:rFonts w:ascii="宋体" w:hAnsi="宋体" w:hint="eastAsia"/>
          <w:sz w:val="24"/>
        </w:rPr>
        <w:t>1</w:t>
      </w:r>
      <w:r w:rsidRPr="00BD204D">
        <w:rPr>
          <w:rFonts w:ascii="宋体" w:hAnsi="宋体" w:hint="eastAsia"/>
          <w:sz w:val="24"/>
        </w:rPr>
        <w:t>、请投资人及早做好交易安排，避免因交易</w:t>
      </w:r>
      <w:r w:rsidR="0038576B">
        <w:rPr>
          <w:rFonts w:ascii="宋体" w:hAnsi="宋体" w:hint="eastAsia"/>
          <w:sz w:val="24"/>
        </w:rPr>
        <w:t>暂停</w:t>
      </w:r>
      <w:r w:rsidRPr="00BD204D">
        <w:rPr>
          <w:rFonts w:ascii="宋体" w:hAnsi="宋体" w:hint="eastAsia"/>
          <w:sz w:val="24"/>
        </w:rPr>
        <w:t>带来不便及资金在途导致的损失。如有其它疑问,请拨打本公司客户服务电话(021-</w:t>
      </w:r>
      <w:r>
        <w:rPr>
          <w:rFonts w:ascii="宋体" w:hAnsi="宋体" w:hint="eastAsia"/>
          <w:sz w:val="24"/>
        </w:rPr>
        <w:t>20376888</w:t>
      </w:r>
      <w:r w:rsidRPr="00BD204D">
        <w:rPr>
          <w:rFonts w:ascii="宋体" w:hAnsi="宋体" w:hint="eastAsia"/>
          <w:sz w:val="24"/>
        </w:rPr>
        <w:t>)或登陆本公司网站(</w:t>
      </w:r>
      <w:hyperlink r:id="rId8" w:history="1">
        <w:r w:rsidRPr="00BD204D">
          <w:rPr>
            <w:rStyle w:val="a3"/>
            <w:rFonts w:ascii="宋体" w:hAnsi="宋体" w:hint="eastAsia"/>
            <w:sz w:val="24"/>
          </w:rPr>
          <w:t>www.hsbcjt.cn</w:t>
        </w:r>
      </w:hyperlink>
      <w:r w:rsidRPr="00BD204D">
        <w:rPr>
          <w:rFonts w:ascii="宋体" w:hAnsi="宋体" w:hint="eastAsia"/>
          <w:sz w:val="24"/>
        </w:rPr>
        <w:t>) 获取相关信息。</w:t>
      </w:r>
    </w:p>
    <w:p w:rsidR="00993567" w:rsidRDefault="00993567" w:rsidP="00BD018F">
      <w:pPr>
        <w:spacing w:line="360" w:lineRule="auto"/>
        <w:ind w:firstLineChars="236" w:firstLine="566"/>
        <w:rPr>
          <w:color w:val="000000"/>
          <w:sz w:val="24"/>
        </w:rPr>
      </w:pPr>
      <w:r>
        <w:rPr>
          <w:rFonts w:ascii="宋体" w:hAnsi="宋体"/>
          <w:sz w:val="24"/>
        </w:rPr>
        <w:t>2</w:t>
      </w:r>
      <w:r w:rsidRPr="00BD204D">
        <w:rPr>
          <w:rFonts w:ascii="宋体" w:hAnsi="宋体" w:hint="eastAsia"/>
          <w:sz w:val="24"/>
        </w:rPr>
        <w:t>、风险提示</w:t>
      </w:r>
    </w:p>
    <w:p w:rsidR="00FB60D9" w:rsidRDefault="00FB60D9" w:rsidP="00FB60D9">
      <w:pPr>
        <w:spacing w:line="360" w:lineRule="auto"/>
        <w:ind w:firstLineChars="236" w:firstLine="566"/>
        <w:rPr>
          <w:color w:val="000000"/>
          <w:sz w:val="24"/>
        </w:rPr>
      </w:pPr>
      <w:r w:rsidRPr="007A2BA1">
        <w:rPr>
          <w:rFonts w:hint="eastAsia"/>
          <w:color w:val="000000"/>
          <w:sz w:val="24"/>
        </w:rPr>
        <w:t>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等基金法律文件，了解基金的风险收益特征，并根据自身的风险承受能力选择适合自己的基金产品。基金管理人提醒投资人基金投资的“买者自负”原则，在做出投资决策后，基金运营状况与基金净值变化引致的投资风险，由投资人自行负担。敬请投资人在购买基金前认真考虑、谨慎决策。</w:t>
      </w:r>
    </w:p>
    <w:p w:rsidR="00FB60D9" w:rsidRDefault="004D305B" w:rsidP="00FB60D9">
      <w:pPr>
        <w:spacing w:line="360" w:lineRule="auto"/>
        <w:ind w:firstLineChars="236" w:firstLine="566"/>
        <w:rPr>
          <w:color w:val="000000"/>
          <w:sz w:val="24"/>
        </w:rPr>
      </w:pPr>
      <w:r w:rsidRPr="004D305B">
        <w:rPr>
          <w:rFonts w:hint="eastAsia"/>
          <w:sz w:val="24"/>
        </w:rPr>
        <w:t>通过港股通机制参与香港股票市场交易的公募基金会面临港股通机制下因投资环境、投资标的、市场制度以及交易规则等差异带来的特有风险，包括港股</w:t>
      </w:r>
      <w:r w:rsidRPr="00A95F6B">
        <w:rPr>
          <w:rFonts w:hint="eastAsia"/>
          <w:color w:val="000000"/>
          <w:sz w:val="24"/>
        </w:rPr>
        <w:t>市场股价波动较大的风险（港股市场实行</w:t>
      </w:r>
      <w:r w:rsidRPr="00A95F6B">
        <w:rPr>
          <w:color w:val="000000"/>
          <w:sz w:val="24"/>
        </w:rPr>
        <w:t>T+0</w:t>
      </w:r>
      <w:r w:rsidRPr="00A95F6B">
        <w:rPr>
          <w:rFonts w:hint="eastAsia"/>
          <w:color w:val="000000"/>
          <w:sz w:val="24"/>
        </w:rPr>
        <w:t>回转交易，且对个股不设涨跌幅限制，港股股价可能表示出比</w:t>
      </w:r>
      <w:r w:rsidRPr="00A95F6B">
        <w:rPr>
          <w:color w:val="000000"/>
          <w:sz w:val="24"/>
        </w:rPr>
        <w:t>A</w:t>
      </w:r>
      <w:r w:rsidRPr="00A95F6B">
        <w:rPr>
          <w:rFonts w:hint="eastAsia"/>
          <w:color w:val="000000"/>
          <w:sz w:val="24"/>
        </w:rPr>
        <w:t>股更为剧烈的股价波动）、汇率风险</w:t>
      </w:r>
      <w:r w:rsidRPr="00A95F6B">
        <w:rPr>
          <w:color w:val="000000"/>
          <w:sz w:val="24"/>
        </w:rPr>
        <w:t>(</w:t>
      </w:r>
      <w:r w:rsidRPr="00A95F6B">
        <w:rPr>
          <w:rFonts w:hint="eastAsia"/>
          <w:color w:val="000000"/>
          <w:sz w:val="24"/>
        </w:rPr>
        <w:t>汇率波动可能对基金的投资收益造成损失</w:t>
      </w:r>
      <w:r w:rsidRPr="00A95F6B">
        <w:rPr>
          <w:color w:val="000000"/>
          <w:sz w:val="24"/>
        </w:rPr>
        <w:t>)</w:t>
      </w:r>
      <w:r w:rsidRPr="00A95F6B">
        <w:rPr>
          <w:rFonts w:hint="eastAsia"/>
          <w:color w:val="000000"/>
          <w:sz w:val="24"/>
        </w:rPr>
        <w:t>、港股通机制下交易日不连贯可能带来的风险（在内地开市香港休市的情形下，港股通不能正常交易，港股不能及时卖出，可能带来一定的流动风险）等。</w:t>
      </w:r>
    </w:p>
    <w:p w:rsidR="00FB60D9" w:rsidRPr="00A95F6B" w:rsidRDefault="00FB60D9" w:rsidP="00A95F6B">
      <w:pPr>
        <w:spacing w:line="360" w:lineRule="auto"/>
        <w:ind w:firstLineChars="236" w:firstLine="566"/>
        <w:rPr>
          <w:color w:val="000000"/>
          <w:sz w:val="24"/>
        </w:rPr>
      </w:pPr>
      <w:r w:rsidRPr="00050080">
        <w:rPr>
          <w:rFonts w:hint="eastAsia"/>
          <w:color w:val="00000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93567" w:rsidRPr="00FB60D9" w:rsidRDefault="00993567" w:rsidP="00993567">
      <w:pPr>
        <w:rPr>
          <w:sz w:val="24"/>
        </w:rPr>
      </w:pPr>
    </w:p>
    <w:p w:rsidR="00993567" w:rsidRPr="00BD204D" w:rsidRDefault="00993567" w:rsidP="00993567">
      <w:pPr>
        <w:jc w:val="right"/>
        <w:rPr>
          <w:sz w:val="24"/>
        </w:rPr>
      </w:pPr>
      <w:r w:rsidRPr="00BD204D">
        <w:rPr>
          <w:rFonts w:hint="eastAsia"/>
          <w:sz w:val="24"/>
        </w:rPr>
        <w:t>汇丰晋信基金管理有限公司</w:t>
      </w:r>
    </w:p>
    <w:p w:rsidR="00993567" w:rsidRPr="00BD204D" w:rsidRDefault="00993567" w:rsidP="00993567">
      <w:pPr>
        <w:jc w:val="right"/>
        <w:rPr>
          <w:sz w:val="24"/>
        </w:rPr>
      </w:pPr>
    </w:p>
    <w:p w:rsidR="00993567" w:rsidRPr="000258B4" w:rsidRDefault="00522BBC" w:rsidP="00993567">
      <w:pPr>
        <w:wordWrap w:val="0"/>
        <w:jc w:val="right"/>
        <w:rPr>
          <w:sz w:val="24"/>
        </w:rPr>
      </w:pPr>
      <w:r>
        <w:rPr>
          <w:rFonts w:ascii="宋体" w:hAnsi="宋体" w:hint="eastAsia"/>
          <w:kern w:val="0"/>
          <w:sz w:val="24"/>
        </w:rPr>
        <w:t>20</w:t>
      </w:r>
      <w:r w:rsidR="005D07CC">
        <w:rPr>
          <w:rFonts w:ascii="宋体" w:hAnsi="宋体" w:hint="eastAsia"/>
          <w:kern w:val="0"/>
          <w:sz w:val="24"/>
        </w:rPr>
        <w:t>20</w:t>
      </w:r>
      <w:r w:rsidR="00993567" w:rsidRPr="00BD204D">
        <w:rPr>
          <w:rFonts w:ascii="宋体" w:hAnsi="宋体" w:hint="eastAsia"/>
          <w:kern w:val="0"/>
          <w:sz w:val="24"/>
        </w:rPr>
        <w:t>年</w:t>
      </w:r>
      <w:r w:rsidR="005D07CC">
        <w:rPr>
          <w:rFonts w:ascii="宋体" w:hAnsi="宋体" w:hint="eastAsia"/>
          <w:kern w:val="0"/>
          <w:sz w:val="24"/>
        </w:rPr>
        <w:t>1</w:t>
      </w:r>
      <w:r w:rsidR="00993567" w:rsidRPr="00BD204D">
        <w:rPr>
          <w:rFonts w:ascii="宋体" w:hAnsi="宋体" w:hint="eastAsia"/>
          <w:kern w:val="0"/>
          <w:sz w:val="24"/>
        </w:rPr>
        <w:t>月</w:t>
      </w:r>
      <w:r w:rsidR="005D07CC">
        <w:rPr>
          <w:rFonts w:ascii="宋体" w:hAnsi="宋体" w:hint="eastAsia"/>
          <w:kern w:val="0"/>
          <w:sz w:val="24"/>
        </w:rPr>
        <w:t>18</w:t>
      </w:r>
      <w:r w:rsidR="00993567" w:rsidRPr="00BD204D">
        <w:rPr>
          <w:rFonts w:ascii="宋体" w:hAnsi="宋体" w:hint="eastAsia"/>
          <w:kern w:val="0"/>
          <w:sz w:val="24"/>
        </w:rPr>
        <w:t>日</w:t>
      </w:r>
    </w:p>
    <w:p w:rsidR="00993567" w:rsidRDefault="00993567" w:rsidP="00993567"/>
    <w:sectPr w:rsidR="00993567" w:rsidSect="00C314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3E1" w:rsidRDefault="001F53E1" w:rsidP="00E54F96">
      <w:r>
        <w:separator/>
      </w:r>
    </w:p>
  </w:endnote>
  <w:endnote w:type="continuationSeparator" w:id="1">
    <w:p w:rsidR="001F53E1" w:rsidRDefault="001F53E1" w:rsidP="00E54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3E1" w:rsidRDefault="001F53E1" w:rsidP="00E54F96">
      <w:r>
        <w:separator/>
      </w:r>
    </w:p>
  </w:footnote>
  <w:footnote w:type="continuationSeparator" w:id="1">
    <w:p w:rsidR="001F53E1" w:rsidRDefault="001F53E1" w:rsidP="00E54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C5B0E"/>
    <w:multiLevelType w:val="hybridMultilevel"/>
    <w:tmpl w:val="D85618B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3567"/>
    <w:rsid w:val="000173EB"/>
    <w:rsid w:val="00022888"/>
    <w:rsid w:val="0007295F"/>
    <w:rsid w:val="000C4E39"/>
    <w:rsid w:val="00194F01"/>
    <w:rsid w:val="001D0429"/>
    <w:rsid w:val="001D7CAC"/>
    <w:rsid w:val="001F53E1"/>
    <w:rsid w:val="0020747F"/>
    <w:rsid w:val="002229A6"/>
    <w:rsid w:val="00227F11"/>
    <w:rsid w:val="002929AC"/>
    <w:rsid w:val="002C7D76"/>
    <w:rsid w:val="00364025"/>
    <w:rsid w:val="0038576B"/>
    <w:rsid w:val="003E5DAE"/>
    <w:rsid w:val="003F02A2"/>
    <w:rsid w:val="004D305B"/>
    <w:rsid w:val="004D59ED"/>
    <w:rsid w:val="00522BBC"/>
    <w:rsid w:val="005331CF"/>
    <w:rsid w:val="00552405"/>
    <w:rsid w:val="005C731A"/>
    <w:rsid w:val="005D07CC"/>
    <w:rsid w:val="006207F5"/>
    <w:rsid w:val="00691C88"/>
    <w:rsid w:val="00702D2F"/>
    <w:rsid w:val="0072564B"/>
    <w:rsid w:val="007A2D57"/>
    <w:rsid w:val="00841418"/>
    <w:rsid w:val="0084264A"/>
    <w:rsid w:val="008E0681"/>
    <w:rsid w:val="00933EFD"/>
    <w:rsid w:val="00940149"/>
    <w:rsid w:val="00993567"/>
    <w:rsid w:val="00A22E64"/>
    <w:rsid w:val="00A70132"/>
    <w:rsid w:val="00A95F6B"/>
    <w:rsid w:val="00AB50ED"/>
    <w:rsid w:val="00B0165F"/>
    <w:rsid w:val="00B36823"/>
    <w:rsid w:val="00B73275"/>
    <w:rsid w:val="00BC1421"/>
    <w:rsid w:val="00BD018F"/>
    <w:rsid w:val="00BD6658"/>
    <w:rsid w:val="00C314F3"/>
    <w:rsid w:val="00CB17F0"/>
    <w:rsid w:val="00E54F96"/>
    <w:rsid w:val="00ED4A0E"/>
    <w:rsid w:val="00ED61B8"/>
    <w:rsid w:val="00F0640A"/>
    <w:rsid w:val="00F4575C"/>
    <w:rsid w:val="00F54BFD"/>
    <w:rsid w:val="00F82440"/>
    <w:rsid w:val="00FA0E8A"/>
    <w:rsid w:val="00FB60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67"/>
    <w:pPr>
      <w:widowControl w:val="0"/>
      <w:jc w:val="both"/>
    </w:pPr>
    <w:rPr>
      <w:rFonts w:ascii="Times New Roman" w:eastAsia="宋体" w:hAnsi="Times New Roman" w:cs="Times New Roman"/>
      <w:szCs w:val="24"/>
    </w:rPr>
  </w:style>
  <w:style w:type="paragraph" w:styleId="3">
    <w:name w:val="heading 3"/>
    <w:basedOn w:val="a"/>
    <w:next w:val="a"/>
    <w:link w:val="3Char"/>
    <w:qFormat/>
    <w:rsid w:val="009935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93567"/>
    <w:rPr>
      <w:rFonts w:ascii="Times New Roman" w:eastAsia="宋体" w:hAnsi="Times New Roman" w:cs="Times New Roman"/>
      <w:b/>
      <w:bCs/>
      <w:sz w:val="32"/>
      <w:szCs w:val="32"/>
    </w:rPr>
  </w:style>
  <w:style w:type="character" w:styleId="a3">
    <w:name w:val="Hyperlink"/>
    <w:rsid w:val="00993567"/>
    <w:rPr>
      <w:color w:val="0000FF"/>
      <w:u w:val="single"/>
    </w:rPr>
  </w:style>
  <w:style w:type="paragraph" w:styleId="a4">
    <w:name w:val="List Paragraph"/>
    <w:basedOn w:val="a"/>
    <w:uiPriority w:val="34"/>
    <w:qFormat/>
    <w:rsid w:val="00BD018F"/>
    <w:pPr>
      <w:ind w:firstLineChars="200" w:firstLine="420"/>
    </w:pPr>
  </w:style>
  <w:style w:type="paragraph" w:styleId="a5">
    <w:name w:val="header"/>
    <w:basedOn w:val="a"/>
    <w:link w:val="Char"/>
    <w:uiPriority w:val="99"/>
    <w:unhideWhenUsed/>
    <w:rsid w:val="00E54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54F96"/>
    <w:rPr>
      <w:rFonts w:ascii="Times New Roman" w:eastAsia="宋体" w:hAnsi="Times New Roman" w:cs="Times New Roman"/>
      <w:sz w:val="18"/>
      <w:szCs w:val="18"/>
    </w:rPr>
  </w:style>
  <w:style w:type="paragraph" w:styleId="a6">
    <w:name w:val="footer"/>
    <w:basedOn w:val="a"/>
    <w:link w:val="Char0"/>
    <w:uiPriority w:val="99"/>
    <w:unhideWhenUsed/>
    <w:rsid w:val="00E54F96"/>
    <w:pPr>
      <w:tabs>
        <w:tab w:val="center" w:pos="4153"/>
        <w:tab w:val="right" w:pos="8306"/>
      </w:tabs>
      <w:snapToGrid w:val="0"/>
      <w:jc w:val="left"/>
    </w:pPr>
    <w:rPr>
      <w:sz w:val="18"/>
      <w:szCs w:val="18"/>
    </w:rPr>
  </w:style>
  <w:style w:type="character" w:customStyle="1" w:styleId="Char0">
    <w:name w:val="页脚 Char"/>
    <w:basedOn w:val="a0"/>
    <w:link w:val="a6"/>
    <w:uiPriority w:val="99"/>
    <w:rsid w:val="00E54F96"/>
    <w:rPr>
      <w:rFonts w:ascii="Times New Roman" w:eastAsia="宋体" w:hAnsi="Times New Roman" w:cs="Times New Roman"/>
      <w:sz w:val="18"/>
      <w:szCs w:val="18"/>
    </w:rPr>
  </w:style>
  <w:style w:type="paragraph" w:styleId="a7">
    <w:name w:val="Balloon Text"/>
    <w:basedOn w:val="a"/>
    <w:link w:val="Char1"/>
    <w:uiPriority w:val="99"/>
    <w:semiHidden/>
    <w:unhideWhenUsed/>
    <w:rsid w:val="00B73275"/>
    <w:rPr>
      <w:sz w:val="18"/>
      <w:szCs w:val="18"/>
    </w:rPr>
  </w:style>
  <w:style w:type="character" w:customStyle="1" w:styleId="Char1">
    <w:name w:val="批注框文本 Char"/>
    <w:basedOn w:val="a0"/>
    <w:link w:val="a7"/>
    <w:uiPriority w:val="99"/>
    <w:semiHidden/>
    <w:rsid w:val="00B7327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44057477">
      <w:bodyDiv w:val="1"/>
      <w:marLeft w:val="0"/>
      <w:marRight w:val="0"/>
      <w:marTop w:val="645"/>
      <w:marBottom w:val="0"/>
      <w:divBdr>
        <w:top w:val="none" w:sz="0" w:space="0" w:color="auto"/>
        <w:left w:val="none" w:sz="0" w:space="0" w:color="auto"/>
        <w:bottom w:val="none" w:sz="0" w:space="0" w:color="auto"/>
        <w:right w:val="none" w:sz="0" w:space="0" w:color="auto"/>
      </w:divBdr>
      <w:divsChild>
        <w:div w:id="452137586">
          <w:marLeft w:val="0"/>
          <w:marRight w:val="0"/>
          <w:marTop w:val="0"/>
          <w:marBottom w:val="0"/>
          <w:divBdr>
            <w:top w:val="none" w:sz="0" w:space="0" w:color="auto"/>
            <w:left w:val="none" w:sz="0" w:space="0" w:color="auto"/>
            <w:bottom w:val="none" w:sz="0" w:space="0" w:color="auto"/>
            <w:right w:val="none" w:sz="0" w:space="0" w:color="auto"/>
          </w:divBdr>
          <w:divsChild>
            <w:div w:id="1921595850">
              <w:marLeft w:val="0"/>
              <w:marRight w:val="0"/>
              <w:marTop w:val="0"/>
              <w:marBottom w:val="0"/>
              <w:divBdr>
                <w:top w:val="none" w:sz="0" w:space="0" w:color="auto"/>
                <w:left w:val="none" w:sz="0" w:space="0" w:color="auto"/>
                <w:bottom w:val="none" w:sz="0" w:space="0" w:color="auto"/>
                <w:right w:val="none" w:sz="0" w:space="0" w:color="auto"/>
              </w:divBdr>
              <w:divsChild>
                <w:div w:id="971905209">
                  <w:marLeft w:val="0"/>
                  <w:marRight w:val="0"/>
                  <w:marTop w:val="0"/>
                  <w:marBottom w:val="0"/>
                  <w:divBdr>
                    <w:top w:val="none" w:sz="0" w:space="0" w:color="auto"/>
                    <w:left w:val="none" w:sz="0" w:space="0" w:color="auto"/>
                    <w:bottom w:val="none" w:sz="0" w:space="0" w:color="auto"/>
                    <w:right w:val="none" w:sz="0" w:space="0" w:color="auto"/>
                  </w:divBdr>
                  <w:divsChild>
                    <w:div w:id="527836701">
                      <w:marLeft w:val="0"/>
                      <w:marRight w:val="0"/>
                      <w:marTop w:val="0"/>
                      <w:marBottom w:val="0"/>
                      <w:divBdr>
                        <w:top w:val="none" w:sz="0" w:space="0" w:color="auto"/>
                        <w:left w:val="none" w:sz="0" w:space="0" w:color="auto"/>
                        <w:bottom w:val="none" w:sz="0" w:space="0" w:color="auto"/>
                        <w:right w:val="none" w:sz="0" w:space="0" w:color="auto"/>
                      </w:divBdr>
                      <w:divsChild>
                        <w:div w:id="181941035">
                          <w:marLeft w:val="0"/>
                          <w:marRight w:val="0"/>
                          <w:marTop w:val="0"/>
                          <w:marBottom w:val="0"/>
                          <w:divBdr>
                            <w:top w:val="none" w:sz="0" w:space="0" w:color="auto"/>
                            <w:left w:val="none" w:sz="0" w:space="0" w:color="auto"/>
                            <w:bottom w:val="none" w:sz="0" w:space="0" w:color="auto"/>
                            <w:right w:val="single" w:sz="6" w:space="0" w:color="E5E5E5"/>
                          </w:divBdr>
                          <w:divsChild>
                            <w:div w:id="416756343">
                              <w:marLeft w:val="0"/>
                              <w:marRight w:val="0"/>
                              <w:marTop w:val="0"/>
                              <w:marBottom w:val="0"/>
                              <w:divBdr>
                                <w:top w:val="none" w:sz="0" w:space="0" w:color="auto"/>
                                <w:left w:val="none" w:sz="0" w:space="0" w:color="auto"/>
                                <w:bottom w:val="none" w:sz="0" w:space="0" w:color="auto"/>
                                <w:right w:val="none" w:sz="0" w:space="0" w:color="auto"/>
                              </w:divBdr>
                              <w:divsChild>
                                <w:div w:id="15142274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08272">
      <w:bodyDiv w:val="1"/>
      <w:marLeft w:val="0"/>
      <w:marRight w:val="0"/>
      <w:marTop w:val="0"/>
      <w:marBottom w:val="0"/>
      <w:divBdr>
        <w:top w:val="none" w:sz="0" w:space="0" w:color="auto"/>
        <w:left w:val="none" w:sz="0" w:space="0" w:color="auto"/>
        <w:bottom w:val="none" w:sz="0" w:space="0" w:color="auto"/>
        <w:right w:val="none" w:sz="0" w:space="0" w:color="auto"/>
      </w:divBdr>
      <w:divsChild>
        <w:div w:id="1623000537">
          <w:marLeft w:val="0"/>
          <w:marRight w:val="0"/>
          <w:marTop w:val="100"/>
          <w:marBottom w:val="100"/>
          <w:divBdr>
            <w:top w:val="none" w:sz="0" w:space="0" w:color="auto"/>
            <w:left w:val="none" w:sz="0" w:space="0" w:color="auto"/>
            <w:bottom w:val="none" w:sz="0" w:space="0" w:color="auto"/>
            <w:right w:val="none" w:sz="0" w:space="0" w:color="auto"/>
          </w:divBdr>
          <w:divsChild>
            <w:div w:id="629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bcjt.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0A9F-83CE-4C28-B9E2-F01C1550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 Lin</dc:creator>
  <cp:keywords>NOT-APPL</cp:keywords>
  <dc:description>NOT-APPL</dc:description>
  <cp:lastModifiedBy>JonMMx 2000</cp:lastModifiedBy>
  <cp:revision>2</cp:revision>
  <cp:lastPrinted>2019-01-25T05:46:00Z</cp:lastPrinted>
  <dcterms:created xsi:type="dcterms:W3CDTF">2020-01-17T16:00:00Z</dcterms:created>
  <dcterms:modified xsi:type="dcterms:W3CDTF">2020-01-17T16:00:00Z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