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1AC" w:rsidRPr="003531AD" w:rsidRDefault="004061AC" w:rsidP="004061AC">
      <w:pPr>
        <w:autoSpaceDE w:val="0"/>
        <w:autoSpaceDN w:val="0"/>
        <w:adjustRightInd w:val="0"/>
        <w:spacing w:line="360" w:lineRule="auto"/>
        <w:rPr>
          <w:rFonts w:ascii="Times New Roman" w:hAnsi="Times New Roman" w:cs="Times New Roman"/>
          <w:color w:val="000000" w:themeColor="text1"/>
          <w:kern w:val="0"/>
          <w:sz w:val="24"/>
          <w:szCs w:val="24"/>
        </w:rPr>
      </w:pPr>
    </w:p>
    <w:p w:rsidR="004061AC" w:rsidRPr="003531AD" w:rsidRDefault="004061AC" w:rsidP="004061AC">
      <w:pPr>
        <w:autoSpaceDE w:val="0"/>
        <w:autoSpaceDN w:val="0"/>
        <w:adjustRightInd w:val="0"/>
        <w:spacing w:line="360" w:lineRule="auto"/>
        <w:rPr>
          <w:rFonts w:ascii="Times New Roman" w:hAnsi="Times New Roman" w:cs="Times New Roman"/>
          <w:color w:val="000000" w:themeColor="text1"/>
          <w:kern w:val="0"/>
          <w:sz w:val="24"/>
          <w:szCs w:val="24"/>
        </w:rPr>
      </w:pPr>
    </w:p>
    <w:p w:rsidR="004061AC" w:rsidRPr="003531AD" w:rsidRDefault="004061AC" w:rsidP="004061AC">
      <w:pPr>
        <w:autoSpaceDE w:val="0"/>
        <w:autoSpaceDN w:val="0"/>
        <w:adjustRightInd w:val="0"/>
        <w:spacing w:line="360" w:lineRule="auto"/>
        <w:rPr>
          <w:rFonts w:ascii="Times New Roman" w:hAnsi="Times New Roman" w:cs="Times New Roman"/>
          <w:color w:val="000000" w:themeColor="text1"/>
          <w:kern w:val="0"/>
          <w:sz w:val="24"/>
          <w:szCs w:val="24"/>
        </w:rPr>
      </w:pPr>
    </w:p>
    <w:p w:rsidR="000C1E17" w:rsidRPr="003531AD" w:rsidRDefault="000C1E17" w:rsidP="004061AC">
      <w:pPr>
        <w:autoSpaceDE w:val="0"/>
        <w:autoSpaceDN w:val="0"/>
        <w:adjustRightInd w:val="0"/>
        <w:spacing w:line="360" w:lineRule="auto"/>
        <w:rPr>
          <w:rFonts w:ascii="Times New Roman" w:hAnsi="Times New Roman" w:cs="Times New Roman"/>
          <w:color w:val="000000" w:themeColor="text1"/>
          <w:kern w:val="0"/>
          <w:sz w:val="52"/>
          <w:szCs w:val="52"/>
        </w:rPr>
      </w:pPr>
    </w:p>
    <w:p w:rsidR="002279D3" w:rsidRPr="003531AD" w:rsidRDefault="002279D3" w:rsidP="00CA6AE6">
      <w:pPr>
        <w:pStyle w:val="af8"/>
        <w:rPr>
          <w:rFonts w:ascii="Times New Roman" w:hAnsi="Times New Roman" w:cs="Times New Roman"/>
        </w:rPr>
      </w:pPr>
      <w:r w:rsidRPr="003531AD">
        <w:rPr>
          <w:rFonts w:ascii="Times New Roman" w:hAnsi="Times New Roman" w:cs="Times New Roman"/>
        </w:rPr>
        <w:t>博时富</w:t>
      </w:r>
      <w:proofErr w:type="gramStart"/>
      <w:r w:rsidRPr="003531AD">
        <w:rPr>
          <w:rFonts w:ascii="Times New Roman" w:hAnsi="Times New Roman" w:cs="Times New Roman"/>
        </w:rPr>
        <w:t>诚纯债</w:t>
      </w:r>
      <w:proofErr w:type="gramEnd"/>
      <w:r w:rsidRPr="003531AD">
        <w:rPr>
          <w:rFonts w:ascii="Times New Roman" w:hAnsi="Times New Roman" w:cs="Times New Roman"/>
        </w:rPr>
        <w:t>债券型证券投资基金</w:t>
      </w:r>
    </w:p>
    <w:p w:rsidR="002279D3" w:rsidRPr="003531AD" w:rsidRDefault="002279D3" w:rsidP="00CA6AE6">
      <w:pPr>
        <w:pStyle w:val="af8"/>
        <w:rPr>
          <w:rFonts w:ascii="Times New Roman" w:hAnsi="Times New Roman" w:cs="Times New Roman"/>
        </w:rPr>
      </w:pPr>
      <w:r w:rsidRPr="003531AD">
        <w:rPr>
          <w:rFonts w:ascii="Times New Roman" w:hAnsi="Times New Roman" w:cs="Times New Roman"/>
        </w:rPr>
        <w:t>2019</w:t>
      </w:r>
      <w:r w:rsidRPr="003531AD">
        <w:rPr>
          <w:rFonts w:ascii="Times New Roman" w:hAnsi="Times New Roman" w:cs="Times New Roman"/>
        </w:rPr>
        <w:t>年第</w:t>
      </w:r>
      <w:r w:rsidRPr="003531AD">
        <w:rPr>
          <w:rFonts w:ascii="Times New Roman" w:hAnsi="Times New Roman" w:cs="Times New Roman"/>
        </w:rPr>
        <w:t>4</w:t>
      </w:r>
      <w:r w:rsidRPr="003531AD">
        <w:rPr>
          <w:rFonts w:ascii="Times New Roman" w:hAnsi="Times New Roman" w:cs="Times New Roman"/>
        </w:rPr>
        <w:t>季度报告</w:t>
      </w:r>
    </w:p>
    <w:p w:rsidR="004061AC" w:rsidRPr="003531AD" w:rsidRDefault="00655CD8" w:rsidP="00CA6AE6">
      <w:pPr>
        <w:pStyle w:val="af8"/>
        <w:rPr>
          <w:rFonts w:ascii="Times New Roman" w:hAnsi="Times New Roman" w:cs="Times New Roman"/>
        </w:rPr>
      </w:pPr>
      <w:r w:rsidRPr="003531AD">
        <w:rPr>
          <w:rFonts w:ascii="Times New Roman" w:hAnsi="Times New Roman" w:cs="Times New Roman"/>
        </w:rPr>
        <w:t>2019</w:t>
      </w:r>
      <w:r w:rsidRPr="003531AD">
        <w:rPr>
          <w:rFonts w:ascii="Times New Roman" w:hAnsi="Times New Roman" w:cs="Times New Roman"/>
        </w:rPr>
        <w:t>年</w:t>
      </w:r>
      <w:r w:rsidRPr="003531AD">
        <w:rPr>
          <w:rFonts w:ascii="Times New Roman" w:hAnsi="Times New Roman" w:cs="Times New Roman"/>
        </w:rPr>
        <w:t>12</w:t>
      </w:r>
      <w:r w:rsidRPr="003531AD">
        <w:rPr>
          <w:rFonts w:ascii="Times New Roman" w:hAnsi="Times New Roman" w:cs="Times New Roman"/>
        </w:rPr>
        <w:t>月</w:t>
      </w:r>
      <w:r w:rsidRPr="003531AD">
        <w:rPr>
          <w:rFonts w:ascii="Times New Roman" w:hAnsi="Times New Roman" w:cs="Times New Roman"/>
        </w:rPr>
        <w:t>31</w:t>
      </w:r>
      <w:r w:rsidRPr="003531AD">
        <w:rPr>
          <w:rFonts w:ascii="Times New Roman" w:hAnsi="Times New Roman" w:cs="Times New Roman"/>
        </w:rPr>
        <w:t>日</w:t>
      </w:r>
    </w:p>
    <w:p w:rsidR="004061AC" w:rsidRPr="003531AD" w:rsidRDefault="004061AC" w:rsidP="004061AC">
      <w:pPr>
        <w:spacing w:line="360" w:lineRule="auto"/>
        <w:jc w:val="center"/>
        <w:rPr>
          <w:rFonts w:ascii="Times New Roman" w:hAnsi="Times New Roman" w:cs="Times New Roman"/>
          <w:b/>
          <w:bCs/>
          <w:color w:val="000000" w:themeColor="text1"/>
          <w:sz w:val="24"/>
          <w:szCs w:val="24"/>
        </w:rPr>
      </w:pPr>
    </w:p>
    <w:p w:rsidR="004061AC" w:rsidRPr="003531AD" w:rsidRDefault="004061AC" w:rsidP="004061AC">
      <w:pPr>
        <w:spacing w:line="360" w:lineRule="auto"/>
        <w:jc w:val="center"/>
        <w:rPr>
          <w:rFonts w:ascii="Times New Roman" w:hAnsi="Times New Roman" w:cs="Times New Roman"/>
          <w:b/>
          <w:bCs/>
          <w:color w:val="000000" w:themeColor="text1"/>
          <w:sz w:val="24"/>
          <w:szCs w:val="24"/>
        </w:rPr>
      </w:pPr>
    </w:p>
    <w:p w:rsidR="004061AC" w:rsidRPr="003531AD" w:rsidRDefault="004061AC" w:rsidP="004061AC">
      <w:pPr>
        <w:spacing w:line="360" w:lineRule="auto"/>
        <w:jc w:val="center"/>
        <w:rPr>
          <w:rFonts w:ascii="Times New Roman" w:hAnsi="Times New Roman" w:cs="Times New Roman"/>
          <w:b/>
          <w:bCs/>
          <w:color w:val="000000" w:themeColor="text1"/>
          <w:sz w:val="24"/>
          <w:szCs w:val="24"/>
        </w:rPr>
      </w:pPr>
    </w:p>
    <w:p w:rsidR="004061AC" w:rsidRPr="003531AD" w:rsidRDefault="004061AC" w:rsidP="004061AC">
      <w:pPr>
        <w:spacing w:line="360" w:lineRule="auto"/>
        <w:jc w:val="center"/>
        <w:rPr>
          <w:rFonts w:ascii="Times New Roman" w:hAnsi="Times New Roman" w:cs="Times New Roman"/>
          <w:b/>
          <w:bCs/>
          <w:color w:val="000000" w:themeColor="text1"/>
          <w:sz w:val="24"/>
          <w:szCs w:val="24"/>
        </w:rPr>
      </w:pPr>
    </w:p>
    <w:p w:rsidR="004061AC" w:rsidRPr="003531AD" w:rsidRDefault="004061AC" w:rsidP="004061AC">
      <w:pPr>
        <w:spacing w:line="360" w:lineRule="auto"/>
        <w:jc w:val="center"/>
        <w:rPr>
          <w:rFonts w:ascii="Times New Roman" w:hAnsi="Times New Roman" w:cs="Times New Roman"/>
          <w:b/>
          <w:bCs/>
          <w:color w:val="000000" w:themeColor="text1"/>
          <w:sz w:val="24"/>
          <w:szCs w:val="24"/>
        </w:rPr>
      </w:pPr>
    </w:p>
    <w:p w:rsidR="004061AC" w:rsidRPr="003531AD" w:rsidRDefault="004061AC" w:rsidP="004061AC">
      <w:pPr>
        <w:spacing w:line="360" w:lineRule="auto"/>
        <w:jc w:val="center"/>
        <w:rPr>
          <w:rFonts w:ascii="Times New Roman" w:hAnsi="Times New Roman" w:cs="Times New Roman"/>
          <w:b/>
          <w:bCs/>
          <w:color w:val="000000" w:themeColor="text1"/>
          <w:sz w:val="24"/>
          <w:szCs w:val="24"/>
        </w:rPr>
      </w:pPr>
    </w:p>
    <w:p w:rsidR="004061AC" w:rsidRPr="003531AD" w:rsidRDefault="004061AC" w:rsidP="002E5EEF">
      <w:pPr>
        <w:spacing w:line="360" w:lineRule="auto"/>
        <w:rPr>
          <w:rFonts w:ascii="Times New Roman" w:hAnsi="Times New Roman" w:cs="Times New Roman"/>
          <w:b/>
          <w:bCs/>
          <w:color w:val="000000" w:themeColor="text1"/>
          <w:sz w:val="24"/>
          <w:szCs w:val="24"/>
        </w:rPr>
      </w:pPr>
    </w:p>
    <w:p w:rsidR="004061AC" w:rsidRPr="003531AD" w:rsidRDefault="004061AC" w:rsidP="004061AC">
      <w:pPr>
        <w:spacing w:line="360" w:lineRule="auto"/>
        <w:rPr>
          <w:rFonts w:ascii="Times New Roman" w:hAnsi="Times New Roman" w:cs="Times New Roman"/>
          <w:b/>
          <w:bCs/>
          <w:color w:val="000000" w:themeColor="text1"/>
          <w:sz w:val="24"/>
          <w:szCs w:val="24"/>
        </w:rPr>
      </w:pPr>
    </w:p>
    <w:p w:rsidR="00CA6AE6" w:rsidRPr="003531AD" w:rsidRDefault="00CA6AE6" w:rsidP="004061AC">
      <w:pPr>
        <w:spacing w:line="360" w:lineRule="auto"/>
        <w:rPr>
          <w:rFonts w:ascii="Times New Roman" w:hAnsi="Times New Roman" w:cs="Times New Roman"/>
          <w:b/>
          <w:bCs/>
          <w:color w:val="000000" w:themeColor="text1"/>
          <w:sz w:val="24"/>
          <w:szCs w:val="24"/>
        </w:rPr>
      </w:pPr>
    </w:p>
    <w:p w:rsidR="00CA6AE6" w:rsidRPr="003531AD" w:rsidRDefault="00CA6AE6" w:rsidP="004061AC">
      <w:pPr>
        <w:spacing w:line="360" w:lineRule="auto"/>
        <w:rPr>
          <w:rFonts w:ascii="Times New Roman" w:hAnsi="Times New Roman" w:cs="Times New Roman"/>
          <w:b/>
          <w:bCs/>
          <w:color w:val="000000" w:themeColor="text1"/>
          <w:sz w:val="24"/>
          <w:szCs w:val="24"/>
        </w:rPr>
      </w:pPr>
    </w:p>
    <w:p w:rsidR="00CA6AE6" w:rsidRPr="003531AD" w:rsidRDefault="00CA6AE6" w:rsidP="004061AC">
      <w:pPr>
        <w:spacing w:line="360" w:lineRule="auto"/>
        <w:rPr>
          <w:rFonts w:ascii="Times New Roman" w:hAnsi="Times New Roman" w:cs="Times New Roman"/>
          <w:b/>
          <w:bCs/>
          <w:color w:val="000000" w:themeColor="text1"/>
          <w:sz w:val="24"/>
          <w:szCs w:val="24"/>
        </w:rPr>
      </w:pPr>
    </w:p>
    <w:p w:rsidR="004061AC" w:rsidRPr="003531AD" w:rsidRDefault="004061AC" w:rsidP="002E5EEF">
      <w:pPr>
        <w:spacing w:line="360" w:lineRule="auto"/>
        <w:jc w:val="center"/>
        <w:rPr>
          <w:rStyle w:val="afb"/>
          <w:rFonts w:ascii="Times New Roman" w:hAnsi="Times New Roman" w:cs="Times New Roman"/>
        </w:rPr>
      </w:pPr>
      <w:r w:rsidRPr="003531AD">
        <w:rPr>
          <w:rStyle w:val="afb"/>
          <w:rFonts w:ascii="Times New Roman" w:hAnsi="Times New Roman" w:cs="Times New Roman"/>
        </w:rPr>
        <w:t>基金管理人：博时基金管理有限公司</w:t>
      </w:r>
    </w:p>
    <w:p w:rsidR="004061AC" w:rsidRPr="003531AD" w:rsidRDefault="004061AC" w:rsidP="002E5EEF">
      <w:pPr>
        <w:spacing w:line="360" w:lineRule="auto"/>
        <w:jc w:val="center"/>
        <w:rPr>
          <w:rStyle w:val="afb"/>
          <w:rFonts w:ascii="Times New Roman" w:hAnsi="Times New Roman" w:cs="Times New Roman"/>
        </w:rPr>
      </w:pPr>
      <w:r w:rsidRPr="003531AD">
        <w:rPr>
          <w:rStyle w:val="afb"/>
          <w:rFonts w:ascii="Times New Roman" w:hAnsi="Times New Roman" w:cs="Times New Roman"/>
        </w:rPr>
        <w:t>基金托管人：浙商银行股份有限公司</w:t>
      </w:r>
    </w:p>
    <w:p w:rsidR="004061AC" w:rsidRPr="003531AD" w:rsidRDefault="004061AC" w:rsidP="002E5EEF">
      <w:pPr>
        <w:spacing w:line="360" w:lineRule="auto"/>
        <w:jc w:val="center"/>
        <w:rPr>
          <w:rFonts w:ascii="Times New Roman" w:hAnsi="Times New Roman" w:cs="Times New Roman"/>
          <w:b/>
          <w:color w:val="000000" w:themeColor="text1"/>
          <w:sz w:val="36"/>
          <w:szCs w:val="36"/>
        </w:rPr>
        <w:sectPr w:rsidR="004061AC" w:rsidRPr="003531AD" w:rsidSect="00CA6AE6">
          <w:headerReference w:type="default" r:id="rId9"/>
          <w:footerReference w:type="default" r:id="rId10"/>
          <w:pgSz w:w="11907" w:h="16839" w:code="9"/>
          <w:pgMar w:top="1236" w:right="1418" w:bottom="1418" w:left="1418" w:header="851" w:footer="992" w:gutter="0"/>
          <w:cols w:space="720"/>
          <w:noEndnote/>
          <w:docGrid w:linePitch="286"/>
        </w:sectPr>
      </w:pPr>
      <w:r w:rsidRPr="003531AD">
        <w:rPr>
          <w:rStyle w:val="afb"/>
          <w:rFonts w:ascii="Times New Roman" w:hAnsi="Times New Roman" w:cs="Times New Roman"/>
        </w:rPr>
        <w:t>报告送出日期：</w:t>
      </w:r>
      <w:r w:rsidR="00F16E3F" w:rsidRPr="003531AD">
        <w:rPr>
          <w:rStyle w:val="afb"/>
          <w:rFonts w:ascii="Times New Roman" w:hAnsi="Times New Roman" w:cs="Times New Roman"/>
        </w:rPr>
        <w:t>二〇二〇年一月十七日</w:t>
      </w:r>
    </w:p>
    <w:p w:rsidR="004061AC" w:rsidRPr="003531AD" w:rsidRDefault="004061AC" w:rsidP="00CA6AE6">
      <w:pPr>
        <w:pStyle w:val="2"/>
        <w:ind w:left="210" w:right="210"/>
        <w:rPr>
          <w:rFonts w:ascii="Times New Roman" w:hAnsi="Times New Roman" w:cs="Times New Roman"/>
        </w:rPr>
      </w:pPr>
      <w:r w:rsidRPr="003531AD">
        <w:rPr>
          <w:rFonts w:ascii="Times New Roman" w:hAnsi="Times New Roman" w:cs="Times New Roman"/>
        </w:rPr>
        <w:lastRenderedPageBreak/>
        <w:t xml:space="preserve">§1  </w:t>
      </w:r>
      <w:r w:rsidRPr="003531AD">
        <w:rPr>
          <w:rFonts w:ascii="Times New Roman" w:hAnsi="Times New Roman" w:cs="Times New Roman"/>
        </w:rPr>
        <w:t>重要提示</w:t>
      </w:r>
    </w:p>
    <w:p w:rsidR="008729F7" w:rsidRDefault="00DC7FED">
      <w:pPr>
        <w:pStyle w:val="new0"/>
        <w:rPr>
          <w:rFonts w:ascii="Times New Roman" w:hAnsi="Times New Roman" w:cs="Times New Roman"/>
        </w:rPr>
      </w:pPr>
      <w:r>
        <w:rPr>
          <w:rFonts w:ascii="Times New Roman" w:hAnsi="Times New Roman" w:cs="Times New Roman"/>
        </w:rPr>
        <w:t>基金管理人的董事会及董事保证本报告所载资料不存在虚假记载、误导性陈述或重大遗漏，并对其内容的真实性、准确性和完整性承担个别及连带责任。</w:t>
      </w:r>
      <w:r>
        <w:rPr>
          <w:rFonts w:ascii="Times New Roman" w:hAnsi="Times New Roman" w:cs="Times New Roman"/>
        </w:rPr>
        <w:t xml:space="preserve"> </w:t>
      </w:r>
    </w:p>
    <w:p w:rsidR="008729F7" w:rsidRDefault="00DC7FED">
      <w:pPr>
        <w:pStyle w:val="new0"/>
        <w:rPr>
          <w:rFonts w:ascii="Times New Roman" w:hAnsi="Times New Roman" w:cs="Times New Roman"/>
        </w:rPr>
      </w:pPr>
      <w:r>
        <w:rPr>
          <w:rFonts w:ascii="Times New Roman" w:hAnsi="Times New Roman" w:cs="Times New Roman"/>
        </w:rPr>
        <w:t>基金托管人浙商银行股份有限公司根据本基金合同规定，于</w:t>
      </w:r>
      <w:r>
        <w:rPr>
          <w:rFonts w:ascii="Times New Roman" w:hAnsi="Times New Roman" w:cs="Times New Roman"/>
        </w:rPr>
        <w:t>2020</w:t>
      </w:r>
      <w:r>
        <w:rPr>
          <w:rFonts w:ascii="Times New Roman" w:hAnsi="Times New Roman" w:cs="Times New Roman"/>
        </w:rPr>
        <w:t>年</w:t>
      </w:r>
      <w:r>
        <w:rPr>
          <w:rFonts w:ascii="Times New Roman" w:hAnsi="Times New Roman" w:cs="Times New Roman"/>
        </w:rPr>
        <w:t>1</w:t>
      </w:r>
      <w:r>
        <w:rPr>
          <w:rFonts w:ascii="Times New Roman" w:hAnsi="Times New Roman" w:cs="Times New Roman"/>
        </w:rPr>
        <w:t>月</w:t>
      </w:r>
      <w:r>
        <w:rPr>
          <w:rFonts w:ascii="Times New Roman" w:hAnsi="Times New Roman" w:cs="Times New Roman"/>
        </w:rPr>
        <w:t>15</w:t>
      </w:r>
      <w:r>
        <w:rPr>
          <w:rFonts w:ascii="Times New Roman" w:hAnsi="Times New Roman" w:cs="Times New Roman"/>
        </w:rPr>
        <w:t>日复核了本报告中的财务指标、净值表现和投资组合报告等内容，保证复核内容不存在虚假记载、误导性陈述或者重大遗漏。</w:t>
      </w:r>
      <w:r>
        <w:rPr>
          <w:rFonts w:ascii="Times New Roman" w:hAnsi="Times New Roman" w:cs="Times New Roman"/>
        </w:rPr>
        <w:t xml:space="preserve"> </w:t>
      </w:r>
    </w:p>
    <w:p w:rsidR="008729F7" w:rsidRDefault="00DC7FED">
      <w:pPr>
        <w:pStyle w:val="new0"/>
        <w:rPr>
          <w:rFonts w:ascii="Times New Roman" w:hAnsi="Times New Roman" w:cs="Times New Roman"/>
        </w:rPr>
      </w:pPr>
      <w:r>
        <w:rPr>
          <w:rFonts w:ascii="Times New Roman" w:hAnsi="Times New Roman" w:cs="Times New Roman"/>
        </w:rPr>
        <w:t>基金管理人承诺以诚实信用、勤勉尽责的原则管理和运用基金资产，但不保证基金一定盈利。</w:t>
      </w:r>
      <w:r>
        <w:rPr>
          <w:rFonts w:ascii="Times New Roman" w:hAnsi="Times New Roman" w:cs="Times New Roman"/>
        </w:rPr>
        <w:t xml:space="preserve"> </w:t>
      </w:r>
    </w:p>
    <w:p w:rsidR="008729F7" w:rsidRDefault="00DC7FED">
      <w:pPr>
        <w:pStyle w:val="new0"/>
        <w:rPr>
          <w:rFonts w:ascii="Times New Roman" w:hAnsi="Times New Roman" w:cs="Times New Roman"/>
        </w:rPr>
      </w:pPr>
      <w:r>
        <w:rPr>
          <w:rFonts w:ascii="Times New Roman" w:hAnsi="Times New Roman" w:cs="Times New Roman"/>
        </w:rPr>
        <w:t>基金的过往业绩并不代表其未来表现。投资有风险，投资者在作出投资决策前应仔细阅读本基金的招募说明书。</w:t>
      </w:r>
      <w:r>
        <w:rPr>
          <w:rFonts w:ascii="Times New Roman" w:hAnsi="Times New Roman" w:cs="Times New Roman"/>
        </w:rPr>
        <w:t xml:space="preserve"> </w:t>
      </w:r>
    </w:p>
    <w:p w:rsidR="008729F7" w:rsidRDefault="00DC7FED">
      <w:pPr>
        <w:pStyle w:val="new0"/>
        <w:rPr>
          <w:rFonts w:ascii="Times New Roman" w:hAnsi="Times New Roman" w:cs="Times New Roman"/>
        </w:rPr>
      </w:pPr>
      <w:r>
        <w:rPr>
          <w:rFonts w:ascii="Times New Roman" w:hAnsi="Times New Roman" w:cs="Times New Roman"/>
        </w:rPr>
        <w:t>本报告中财务资料未经审计。</w:t>
      </w:r>
    </w:p>
    <w:p w:rsidR="004061AC" w:rsidRPr="003531AD" w:rsidRDefault="004061AC" w:rsidP="00CA6AE6">
      <w:pPr>
        <w:pStyle w:val="new0"/>
        <w:rPr>
          <w:rFonts w:ascii="Times New Roman" w:hAnsi="Times New Roman" w:cs="Times New Roman"/>
        </w:rPr>
      </w:pPr>
      <w:r w:rsidRPr="003531AD">
        <w:rPr>
          <w:rFonts w:ascii="Times New Roman" w:hAnsi="Times New Roman" w:cs="Times New Roman"/>
        </w:rPr>
        <w:t>本报告期自</w:t>
      </w:r>
      <w:r w:rsidRPr="003531AD">
        <w:rPr>
          <w:rFonts w:ascii="Times New Roman" w:hAnsi="Times New Roman" w:cs="Times New Roman"/>
        </w:rPr>
        <w:t>2019</w:t>
      </w:r>
      <w:r w:rsidRPr="003531AD">
        <w:rPr>
          <w:rFonts w:ascii="Times New Roman" w:hAnsi="Times New Roman" w:cs="Times New Roman"/>
        </w:rPr>
        <w:t>年</w:t>
      </w:r>
      <w:r w:rsidRPr="003531AD">
        <w:rPr>
          <w:rFonts w:ascii="Times New Roman" w:hAnsi="Times New Roman" w:cs="Times New Roman"/>
        </w:rPr>
        <w:t>10</w:t>
      </w:r>
      <w:r w:rsidRPr="003531AD">
        <w:rPr>
          <w:rFonts w:ascii="Times New Roman" w:hAnsi="Times New Roman" w:cs="Times New Roman"/>
        </w:rPr>
        <w:t>月</w:t>
      </w:r>
      <w:r w:rsidRPr="003531AD">
        <w:rPr>
          <w:rFonts w:ascii="Times New Roman" w:hAnsi="Times New Roman" w:cs="Times New Roman"/>
        </w:rPr>
        <w:t>1</w:t>
      </w:r>
      <w:r w:rsidRPr="003531AD">
        <w:rPr>
          <w:rFonts w:ascii="Times New Roman" w:hAnsi="Times New Roman" w:cs="Times New Roman"/>
        </w:rPr>
        <w:t>日起至</w:t>
      </w:r>
      <w:r w:rsidRPr="003531AD">
        <w:rPr>
          <w:rFonts w:ascii="Times New Roman" w:hAnsi="Times New Roman" w:cs="Times New Roman"/>
        </w:rPr>
        <w:t>12</w:t>
      </w:r>
      <w:r w:rsidRPr="003531AD">
        <w:rPr>
          <w:rFonts w:ascii="Times New Roman" w:hAnsi="Times New Roman" w:cs="Times New Roman"/>
        </w:rPr>
        <w:t>月</w:t>
      </w:r>
      <w:r w:rsidRPr="003531AD">
        <w:rPr>
          <w:rFonts w:ascii="Times New Roman" w:hAnsi="Times New Roman" w:cs="Times New Roman"/>
        </w:rPr>
        <w:t>31</w:t>
      </w:r>
      <w:r w:rsidRPr="003531AD">
        <w:rPr>
          <w:rFonts w:ascii="Times New Roman" w:hAnsi="Times New Roman" w:cs="Times New Roman"/>
        </w:rPr>
        <w:t>日止。</w:t>
      </w:r>
    </w:p>
    <w:p w:rsidR="004061AC" w:rsidRPr="003531AD" w:rsidRDefault="004061AC" w:rsidP="00CA6AE6">
      <w:pPr>
        <w:pStyle w:val="2"/>
        <w:ind w:left="210" w:right="210"/>
        <w:rPr>
          <w:rFonts w:ascii="Times New Roman" w:hAnsi="Times New Roman" w:cs="Times New Roman"/>
        </w:rPr>
      </w:pPr>
      <w:r w:rsidRPr="003531AD">
        <w:rPr>
          <w:rFonts w:ascii="Times New Roman" w:hAnsi="Times New Roman" w:cs="Times New Roman"/>
        </w:rPr>
        <w:t xml:space="preserve">§2  </w:t>
      </w:r>
      <w:r w:rsidRPr="003531AD">
        <w:rPr>
          <w:rFonts w:ascii="Times New Roman" w:hAnsi="Times New Roman" w:cs="Times New Roman"/>
        </w:rPr>
        <w:t>基金产品概况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2"/>
        <w:gridCol w:w="6674"/>
      </w:tblGrid>
      <w:tr w:rsidR="00220C32" w:rsidRPr="003531AD" w:rsidTr="005E0774">
        <w:trPr>
          <w:jc w:val="center"/>
        </w:trPr>
        <w:tc>
          <w:tcPr>
            <w:tcW w:w="2552" w:type="dxa"/>
            <w:vAlign w:val="center"/>
          </w:tcPr>
          <w:p w:rsidR="004061AC" w:rsidRPr="003531AD" w:rsidRDefault="004061AC" w:rsidP="005E0774">
            <w:pPr>
              <w:pStyle w:val="af9"/>
              <w:rPr>
                <w:rFonts w:ascii="Times New Roman" w:hAnsi="Times New Roman" w:cs="Times New Roman"/>
              </w:rPr>
            </w:pPr>
            <w:r w:rsidRPr="003531AD">
              <w:rPr>
                <w:rFonts w:ascii="Times New Roman" w:hAnsi="Times New Roman" w:cs="Times New Roman"/>
              </w:rPr>
              <w:t>基金简称</w:t>
            </w:r>
          </w:p>
        </w:tc>
        <w:tc>
          <w:tcPr>
            <w:tcW w:w="6520" w:type="dxa"/>
            <w:vAlign w:val="center"/>
          </w:tcPr>
          <w:p w:rsidR="004061AC" w:rsidRPr="00F93912" w:rsidRDefault="004061AC" w:rsidP="00F93912">
            <w:pPr>
              <w:ind w:firstLine="0"/>
            </w:pPr>
            <w:r w:rsidRPr="00F93912">
              <w:t>博时富</w:t>
            </w:r>
            <w:proofErr w:type="gramStart"/>
            <w:r w:rsidRPr="00F93912">
              <w:t>诚纯债</w:t>
            </w:r>
            <w:proofErr w:type="gramEnd"/>
            <w:r w:rsidRPr="00F93912">
              <w:t>债券</w:t>
            </w:r>
          </w:p>
        </w:tc>
      </w:tr>
      <w:tr w:rsidR="00220C32" w:rsidRPr="003531AD" w:rsidTr="005E0774">
        <w:trPr>
          <w:jc w:val="center"/>
        </w:trPr>
        <w:tc>
          <w:tcPr>
            <w:tcW w:w="2552" w:type="dxa"/>
            <w:tcBorders>
              <w:top w:val="single" w:sz="4" w:space="0" w:color="auto"/>
              <w:left w:val="single" w:sz="4" w:space="0" w:color="auto"/>
              <w:bottom w:val="single" w:sz="4" w:space="0" w:color="auto"/>
              <w:right w:val="single" w:sz="4" w:space="0" w:color="auto"/>
            </w:tcBorders>
            <w:vAlign w:val="center"/>
            <w:hideMark/>
          </w:tcPr>
          <w:p w:rsidR="00D94B8D" w:rsidRPr="003531AD" w:rsidRDefault="00D94B8D" w:rsidP="005E0774">
            <w:pPr>
              <w:pStyle w:val="af9"/>
              <w:rPr>
                <w:rFonts w:ascii="Times New Roman" w:hAnsi="Times New Roman" w:cs="Times New Roman"/>
              </w:rPr>
            </w:pPr>
            <w:r w:rsidRPr="003531AD">
              <w:rPr>
                <w:rFonts w:ascii="Times New Roman" w:hAnsi="Times New Roman" w:cs="Times New Roman"/>
              </w:rPr>
              <w:t>基金主代码</w:t>
            </w:r>
          </w:p>
        </w:tc>
        <w:tc>
          <w:tcPr>
            <w:tcW w:w="6520" w:type="dxa"/>
            <w:tcBorders>
              <w:top w:val="single" w:sz="4" w:space="0" w:color="auto"/>
              <w:left w:val="single" w:sz="4" w:space="0" w:color="auto"/>
              <w:bottom w:val="single" w:sz="4" w:space="0" w:color="auto"/>
              <w:right w:val="single" w:sz="4" w:space="0" w:color="auto"/>
            </w:tcBorders>
            <w:vAlign w:val="center"/>
            <w:hideMark/>
          </w:tcPr>
          <w:p w:rsidR="00D94B8D" w:rsidRPr="00F93912" w:rsidRDefault="00D94B8D" w:rsidP="00F93912">
            <w:pPr>
              <w:ind w:firstLine="0"/>
            </w:pPr>
            <w:r w:rsidRPr="00F93912">
              <w:t>003866</w:t>
            </w:r>
          </w:p>
        </w:tc>
      </w:tr>
      <w:tr w:rsidR="00220C32" w:rsidRPr="003531AD" w:rsidTr="005E0774">
        <w:trPr>
          <w:jc w:val="center"/>
        </w:trPr>
        <w:tc>
          <w:tcPr>
            <w:tcW w:w="2552" w:type="dxa"/>
            <w:tcBorders>
              <w:top w:val="single" w:sz="4" w:space="0" w:color="auto"/>
              <w:left w:val="single" w:sz="4" w:space="0" w:color="auto"/>
              <w:bottom w:val="single" w:sz="4" w:space="0" w:color="auto"/>
              <w:right w:val="single" w:sz="4" w:space="0" w:color="auto"/>
            </w:tcBorders>
            <w:vAlign w:val="center"/>
          </w:tcPr>
          <w:p w:rsidR="001B2F35" w:rsidRPr="003531AD" w:rsidRDefault="001B2F35" w:rsidP="005E0774">
            <w:pPr>
              <w:pStyle w:val="af9"/>
              <w:rPr>
                <w:rFonts w:ascii="Times New Roman" w:hAnsi="Times New Roman" w:cs="Times New Roman"/>
              </w:rPr>
            </w:pPr>
            <w:r w:rsidRPr="003531AD">
              <w:rPr>
                <w:rFonts w:ascii="Times New Roman" w:hAnsi="Times New Roman" w:cs="Times New Roman"/>
              </w:rPr>
              <w:t>交易代码</w:t>
            </w:r>
          </w:p>
        </w:tc>
        <w:tc>
          <w:tcPr>
            <w:tcW w:w="6520" w:type="dxa"/>
            <w:tcBorders>
              <w:top w:val="single" w:sz="4" w:space="0" w:color="auto"/>
              <w:left w:val="single" w:sz="4" w:space="0" w:color="auto"/>
              <w:bottom w:val="single" w:sz="4" w:space="0" w:color="auto"/>
              <w:right w:val="single" w:sz="4" w:space="0" w:color="auto"/>
            </w:tcBorders>
            <w:vAlign w:val="center"/>
          </w:tcPr>
          <w:p w:rsidR="001B2F35" w:rsidRPr="00F93912" w:rsidRDefault="00C5218C" w:rsidP="00F93912">
            <w:pPr>
              <w:ind w:firstLine="0"/>
            </w:pPr>
            <w:r w:rsidRPr="00F93912">
              <w:t>003866</w:t>
            </w:r>
          </w:p>
        </w:tc>
      </w:tr>
      <w:tr w:rsidR="00220C32" w:rsidRPr="003531AD" w:rsidTr="005E0774">
        <w:trPr>
          <w:jc w:val="center"/>
        </w:trPr>
        <w:tc>
          <w:tcPr>
            <w:tcW w:w="2552" w:type="dxa"/>
            <w:vAlign w:val="center"/>
          </w:tcPr>
          <w:p w:rsidR="001B2F35" w:rsidRPr="003531AD" w:rsidRDefault="001B2F35" w:rsidP="005E0774">
            <w:pPr>
              <w:pStyle w:val="af9"/>
              <w:rPr>
                <w:rFonts w:ascii="Times New Roman" w:hAnsi="Times New Roman" w:cs="Times New Roman"/>
              </w:rPr>
            </w:pPr>
            <w:r w:rsidRPr="003531AD">
              <w:rPr>
                <w:rFonts w:ascii="Times New Roman" w:hAnsi="Times New Roman" w:cs="Times New Roman"/>
              </w:rPr>
              <w:t>基金运作方式</w:t>
            </w:r>
          </w:p>
        </w:tc>
        <w:tc>
          <w:tcPr>
            <w:tcW w:w="6520" w:type="dxa"/>
            <w:vAlign w:val="center"/>
          </w:tcPr>
          <w:p w:rsidR="001B2F35" w:rsidRPr="00F93912" w:rsidRDefault="001B2F35" w:rsidP="00F93912">
            <w:pPr>
              <w:ind w:firstLine="0"/>
            </w:pPr>
            <w:r w:rsidRPr="00F93912">
              <w:t>契约型开放式</w:t>
            </w:r>
          </w:p>
        </w:tc>
      </w:tr>
      <w:tr w:rsidR="00220C32" w:rsidRPr="003531AD" w:rsidTr="005E0774">
        <w:trPr>
          <w:jc w:val="center"/>
        </w:trPr>
        <w:tc>
          <w:tcPr>
            <w:tcW w:w="2552" w:type="dxa"/>
            <w:vAlign w:val="center"/>
          </w:tcPr>
          <w:p w:rsidR="001B2F35" w:rsidRPr="003531AD" w:rsidRDefault="001B2F35" w:rsidP="005E0774">
            <w:pPr>
              <w:pStyle w:val="af9"/>
              <w:rPr>
                <w:rFonts w:ascii="Times New Roman" w:hAnsi="Times New Roman" w:cs="Times New Roman"/>
              </w:rPr>
            </w:pPr>
            <w:r w:rsidRPr="003531AD">
              <w:rPr>
                <w:rFonts w:ascii="Times New Roman" w:hAnsi="Times New Roman" w:cs="Times New Roman"/>
              </w:rPr>
              <w:t>基金合同生效日</w:t>
            </w:r>
          </w:p>
        </w:tc>
        <w:tc>
          <w:tcPr>
            <w:tcW w:w="6520" w:type="dxa"/>
            <w:vAlign w:val="center"/>
          </w:tcPr>
          <w:p w:rsidR="001B2F35" w:rsidRPr="00F93912" w:rsidRDefault="001B2F35" w:rsidP="00F93912">
            <w:pPr>
              <w:ind w:firstLine="0"/>
            </w:pPr>
            <w:r w:rsidRPr="00F93912">
              <w:t>2017</w:t>
            </w:r>
            <w:r w:rsidRPr="00F93912">
              <w:t>年</w:t>
            </w:r>
            <w:r w:rsidRPr="00F93912">
              <w:t>3</w:t>
            </w:r>
            <w:r w:rsidRPr="00F93912">
              <w:t>月</w:t>
            </w:r>
            <w:r w:rsidRPr="00F93912">
              <w:t>17</w:t>
            </w:r>
            <w:r w:rsidRPr="00F93912">
              <w:t>日</w:t>
            </w:r>
          </w:p>
        </w:tc>
      </w:tr>
      <w:tr w:rsidR="00220C32" w:rsidRPr="003531AD" w:rsidTr="005E0774">
        <w:trPr>
          <w:jc w:val="center"/>
        </w:trPr>
        <w:tc>
          <w:tcPr>
            <w:tcW w:w="2552" w:type="dxa"/>
            <w:vAlign w:val="center"/>
          </w:tcPr>
          <w:p w:rsidR="001B2F35" w:rsidRPr="003531AD" w:rsidRDefault="001B2F35" w:rsidP="005E0774">
            <w:pPr>
              <w:pStyle w:val="af9"/>
              <w:rPr>
                <w:rFonts w:ascii="Times New Roman" w:hAnsi="Times New Roman" w:cs="Times New Roman"/>
              </w:rPr>
            </w:pPr>
            <w:r w:rsidRPr="003531AD">
              <w:rPr>
                <w:rFonts w:ascii="Times New Roman" w:hAnsi="Times New Roman" w:cs="Times New Roman"/>
              </w:rPr>
              <w:t>报告期末基金份额总额</w:t>
            </w:r>
          </w:p>
        </w:tc>
        <w:tc>
          <w:tcPr>
            <w:tcW w:w="6520" w:type="dxa"/>
            <w:vAlign w:val="center"/>
          </w:tcPr>
          <w:p w:rsidR="001B2F35" w:rsidRPr="00F93912" w:rsidRDefault="001B2F35" w:rsidP="00F93912">
            <w:pPr>
              <w:ind w:firstLine="0"/>
            </w:pPr>
            <w:r w:rsidRPr="00F93912">
              <w:t>500,293,532.61</w:t>
            </w:r>
            <w:r w:rsidRPr="00F93912">
              <w:t>份</w:t>
            </w:r>
          </w:p>
        </w:tc>
      </w:tr>
      <w:tr w:rsidR="00220C32" w:rsidRPr="003531AD" w:rsidTr="005E0774">
        <w:trPr>
          <w:jc w:val="center"/>
        </w:trPr>
        <w:tc>
          <w:tcPr>
            <w:tcW w:w="2552" w:type="dxa"/>
            <w:vAlign w:val="center"/>
          </w:tcPr>
          <w:p w:rsidR="001B2F35" w:rsidRPr="003531AD" w:rsidRDefault="001B2F35" w:rsidP="005E0774">
            <w:pPr>
              <w:pStyle w:val="af9"/>
              <w:rPr>
                <w:rFonts w:ascii="Times New Roman" w:hAnsi="Times New Roman" w:cs="Times New Roman"/>
              </w:rPr>
            </w:pPr>
            <w:r w:rsidRPr="003531AD">
              <w:rPr>
                <w:rFonts w:ascii="Times New Roman" w:hAnsi="Times New Roman" w:cs="Times New Roman"/>
              </w:rPr>
              <w:t>投资目标</w:t>
            </w:r>
          </w:p>
        </w:tc>
        <w:tc>
          <w:tcPr>
            <w:tcW w:w="6520" w:type="dxa"/>
            <w:vAlign w:val="center"/>
          </w:tcPr>
          <w:p w:rsidR="001B2F35" w:rsidRPr="00F93912" w:rsidRDefault="001B2F35" w:rsidP="00F93912">
            <w:pPr>
              <w:ind w:firstLine="0"/>
            </w:pPr>
            <w:r w:rsidRPr="00F93912">
              <w:t>在严格控制投资组合风险的前提下，力争长期内实现超越业绩比较基准的投资回报。</w:t>
            </w:r>
          </w:p>
        </w:tc>
      </w:tr>
      <w:tr w:rsidR="00220C32" w:rsidRPr="003531AD" w:rsidTr="005E0774">
        <w:trPr>
          <w:jc w:val="center"/>
        </w:trPr>
        <w:tc>
          <w:tcPr>
            <w:tcW w:w="2552" w:type="dxa"/>
            <w:vAlign w:val="center"/>
          </w:tcPr>
          <w:p w:rsidR="001B2F35" w:rsidRPr="003531AD" w:rsidRDefault="001B2F35" w:rsidP="005E0774">
            <w:pPr>
              <w:pStyle w:val="af9"/>
              <w:rPr>
                <w:rFonts w:ascii="Times New Roman" w:hAnsi="Times New Roman" w:cs="Times New Roman"/>
              </w:rPr>
            </w:pPr>
            <w:r w:rsidRPr="003531AD">
              <w:rPr>
                <w:rFonts w:ascii="Times New Roman" w:hAnsi="Times New Roman" w:cs="Times New Roman"/>
              </w:rPr>
              <w:t>投资策略</w:t>
            </w:r>
          </w:p>
        </w:tc>
        <w:tc>
          <w:tcPr>
            <w:tcW w:w="6520" w:type="dxa"/>
            <w:vAlign w:val="center"/>
          </w:tcPr>
          <w:p w:rsidR="001B2F35" w:rsidRPr="00F93912" w:rsidRDefault="001B2F35" w:rsidP="00F93912">
            <w:pPr>
              <w:ind w:firstLine="0"/>
            </w:pPr>
            <w:r w:rsidRPr="00F93912">
              <w:t>本基金通过自上而下和自下而上相结合、定性分析和定量分析相补充的方法，确定资产在非信用类固定收益类证券和信用类固定收益类证券之间的配置比例。充分发挥基金管理人长期积累的信用研究成果，利用自主开发的信用分析系统，深入挖掘价值被低估的标的券种，以获取最大化的信用溢价。本基金采用的投资策略包括：期限结构策略、信用策略、互换策略、息差策略等。在谨慎投资的前提下，力争获取高于业绩比较基准的投资收益。</w:t>
            </w:r>
          </w:p>
        </w:tc>
      </w:tr>
      <w:tr w:rsidR="00220C32" w:rsidRPr="003531AD" w:rsidTr="005E0774">
        <w:trPr>
          <w:jc w:val="center"/>
        </w:trPr>
        <w:tc>
          <w:tcPr>
            <w:tcW w:w="2552" w:type="dxa"/>
            <w:vAlign w:val="center"/>
          </w:tcPr>
          <w:p w:rsidR="001B2F35" w:rsidRPr="003531AD" w:rsidRDefault="001B2F35" w:rsidP="005E0774">
            <w:pPr>
              <w:pStyle w:val="af9"/>
              <w:rPr>
                <w:rFonts w:ascii="Times New Roman" w:hAnsi="Times New Roman" w:cs="Times New Roman"/>
              </w:rPr>
            </w:pPr>
            <w:r w:rsidRPr="003531AD">
              <w:rPr>
                <w:rFonts w:ascii="Times New Roman" w:hAnsi="Times New Roman" w:cs="Times New Roman"/>
              </w:rPr>
              <w:t>业绩比较基准</w:t>
            </w:r>
          </w:p>
        </w:tc>
        <w:tc>
          <w:tcPr>
            <w:tcW w:w="6520" w:type="dxa"/>
            <w:vAlign w:val="center"/>
          </w:tcPr>
          <w:p w:rsidR="001B2F35" w:rsidRPr="00F93912" w:rsidRDefault="001B2F35" w:rsidP="00F93912">
            <w:pPr>
              <w:ind w:firstLine="0"/>
            </w:pPr>
            <w:r w:rsidRPr="00F93912">
              <w:t>中</w:t>
            </w:r>
            <w:proofErr w:type="gramStart"/>
            <w:r w:rsidRPr="00F93912">
              <w:t>债综合</w:t>
            </w:r>
            <w:proofErr w:type="gramEnd"/>
            <w:r w:rsidRPr="00F93912">
              <w:t>财富（总值）指数收益率</w:t>
            </w:r>
            <w:r w:rsidRPr="00F93912">
              <w:t>×90%+1</w:t>
            </w:r>
            <w:r w:rsidRPr="00F93912">
              <w:t>年期定期存款利率（税后）</w:t>
            </w:r>
            <w:r w:rsidRPr="00F93912">
              <w:t>×10%</w:t>
            </w:r>
            <w:r w:rsidRPr="00F93912">
              <w:t>。</w:t>
            </w:r>
          </w:p>
        </w:tc>
      </w:tr>
      <w:tr w:rsidR="00220C32" w:rsidRPr="003531AD" w:rsidTr="005E0774">
        <w:trPr>
          <w:jc w:val="center"/>
        </w:trPr>
        <w:tc>
          <w:tcPr>
            <w:tcW w:w="2552" w:type="dxa"/>
            <w:vAlign w:val="center"/>
          </w:tcPr>
          <w:p w:rsidR="001B2F35" w:rsidRPr="003531AD" w:rsidRDefault="001B2F35" w:rsidP="005E0774">
            <w:pPr>
              <w:pStyle w:val="af9"/>
              <w:rPr>
                <w:rFonts w:ascii="Times New Roman" w:hAnsi="Times New Roman" w:cs="Times New Roman"/>
              </w:rPr>
            </w:pPr>
            <w:r w:rsidRPr="003531AD">
              <w:rPr>
                <w:rFonts w:ascii="Times New Roman" w:hAnsi="Times New Roman" w:cs="Times New Roman"/>
              </w:rPr>
              <w:t>风险收益特征</w:t>
            </w:r>
          </w:p>
        </w:tc>
        <w:tc>
          <w:tcPr>
            <w:tcW w:w="6520" w:type="dxa"/>
            <w:vAlign w:val="center"/>
          </w:tcPr>
          <w:p w:rsidR="001B2F35" w:rsidRPr="00F93912" w:rsidRDefault="001B2F35" w:rsidP="00F93912">
            <w:pPr>
              <w:ind w:firstLine="0"/>
            </w:pPr>
            <w:r w:rsidRPr="00F93912">
              <w:t>本基金为债券型基金，预期收益和预期风险高于货币市场基金，但低于混合型基金、股票型基金，属于中低风险</w:t>
            </w:r>
            <w:r w:rsidRPr="00F93912">
              <w:t>/</w:t>
            </w:r>
            <w:r w:rsidRPr="00F93912">
              <w:t>收益的产品。</w:t>
            </w:r>
          </w:p>
        </w:tc>
      </w:tr>
      <w:tr w:rsidR="00220C32" w:rsidRPr="003531AD" w:rsidTr="005E0774">
        <w:trPr>
          <w:jc w:val="center"/>
        </w:trPr>
        <w:tc>
          <w:tcPr>
            <w:tcW w:w="2552" w:type="dxa"/>
            <w:vAlign w:val="center"/>
          </w:tcPr>
          <w:p w:rsidR="001B2F35" w:rsidRPr="003531AD" w:rsidRDefault="001B2F35" w:rsidP="005E0774">
            <w:pPr>
              <w:pStyle w:val="af9"/>
              <w:rPr>
                <w:rFonts w:ascii="Times New Roman" w:hAnsi="Times New Roman" w:cs="Times New Roman"/>
              </w:rPr>
            </w:pPr>
            <w:r w:rsidRPr="003531AD">
              <w:rPr>
                <w:rFonts w:ascii="Times New Roman" w:hAnsi="Times New Roman" w:cs="Times New Roman"/>
              </w:rPr>
              <w:t>基金管理人</w:t>
            </w:r>
          </w:p>
        </w:tc>
        <w:tc>
          <w:tcPr>
            <w:tcW w:w="6520" w:type="dxa"/>
            <w:vAlign w:val="center"/>
          </w:tcPr>
          <w:p w:rsidR="001B2F35" w:rsidRPr="00F93912" w:rsidRDefault="001B2F35" w:rsidP="00F93912">
            <w:pPr>
              <w:ind w:firstLine="0"/>
            </w:pPr>
            <w:r w:rsidRPr="00F93912">
              <w:t>博时基金管理有限公司</w:t>
            </w:r>
          </w:p>
        </w:tc>
      </w:tr>
      <w:tr w:rsidR="00220C32" w:rsidRPr="003531AD" w:rsidTr="005E0774">
        <w:trPr>
          <w:jc w:val="center"/>
        </w:trPr>
        <w:tc>
          <w:tcPr>
            <w:tcW w:w="2552" w:type="dxa"/>
            <w:vAlign w:val="center"/>
          </w:tcPr>
          <w:p w:rsidR="001B2F35" w:rsidRPr="003531AD" w:rsidRDefault="001B2F35" w:rsidP="005E0774">
            <w:pPr>
              <w:pStyle w:val="af9"/>
              <w:rPr>
                <w:rFonts w:ascii="Times New Roman" w:hAnsi="Times New Roman" w:cs="Times New Roman"/>
              </w:rPr>
            </w:pPr>
            <w:r w:rsidRPr="003531AD">
              <w:rPr>
                <w:rFonts w:ascii="Times New Roman" w:hAnsi="Times New Roman" w:cs="Times New Roman"/>
              </w:rPr>
              <w:t>基金托管人</w:t>
            </w:r>
          </w:p>
        </w:tc>
        <w:tc>
          <w:tcPr>
            <w:tcW w:w="6520" w:type="dxa"/>
            <w:vAlign w:val="center"/>
          </w:tcPr>
          <w:p w:rsidR="001B2F35" w:rsidRPr="00F93912" w:rsidRDefault="001B2F35" w:rsidP="00F93912">
            <w:pPr>
              <w:ind w:firstLine="0"/>
            </w:pPr>
            <w:proofErr w:type="gramStart"/>
            <w:r w:rsidRPr="00F93912">
              <w:t>浙商银行</w:t>
            </w:r>
            <w:proofErr w:type="gramEnd"/>
            <w:r w:rsidRPr="00F93912">
              <w:t>股份有限公司</w:t>
            </w:r>
          </w:p>
        </w:tc>
      </w:tr>
    </w:tbl>
    <w:p w:rsidR="004061AC" w:rsidRPr="003531AD" w:rsidRDefault="004061AC" w:rsidP="00CA6AE6">
      <w:pPr>
        <w:pStyle w:val="2"/>
        <w:ind w:left="210" w:right="210"/>
        <w:rPr>
          <w:rFonts w:ascii="Times New Roman" w:hAnsi="Times New Roman" w:cs="Times New Roman"/>
        </w:rPr>
      </w:pPr>
      <w:r w:rsidRPr="003531AD">
        <w:rPr>
          <w:rFonts w:ascii="Times New Roman" w:hAnsi="Times New Roman" w:cs="Times New Roman"/>
        </w:rPr>
        <w:t xml:space="preserve">§3  </w:t>
      </w:r>
      <w:r w:rsidRPr="003531AD">
        <w:rPr>
          <w:rFonts w:ascii="Times New Roman" w:hAnsi="Times New Roman" w:cs="Times New Roman"/>
        </w:rPr>
        <w:t>主要财务指标和基金净值表现</w:t>
      </w:r>
    </w:p>
    <w:p w:rsidR="004061AC" w:rsidRPr="003531AD" w:rsidRDefault="004061AC" w:rsidP="00CA6AE6">
      <w:pPr>
        <w:pStyle w:val="xx"/>
        <w:rPr>
          <w:rFonts w:ascii="Times New Roman" w:hAnsi="Times New Roman" w:cs="Times New Roman"/>
        </w:rPr>
      </w:pPr>
      <w:r w:rsidRPr="003531AD">
        <w:rPr>
          <w:rFonts w:ascii="Times New Roman" w:hAnsi="Times New Roman" w:cs="Times New Roman"/>
        </w:rPr>
        <w:t xml:space="preserve">3.1 </w:t>
      </w:r>
      <w:r w:rsidRPr="003531AD">
        <w:rPr>
          <w:rFonts w:ascii="Times New Roman" w:hAnsi="Times New Roman" w:cs="Times New Roman"/>
        </w:rPr>
        <w:t>主要财务指标</w:t>
      </w:r>
    </w:p>
    <w:p w:rsidR="004061AC" w:rsidRPr="003531AD" w:rsidRDefault="004061AC" w:rsidP="00CA6AE6">
      <w:pPr>
        <w:pStyle w:val="af9"/>
        <w:jc w:val="right"/>
        <w:rPr>
          <w:rFonts w:ascii="Times New Roman" w:hAnsi="Times New Roman" w:cs="Times New Roman"/>
        </w:rPr>
      </w:pPr>
      <w:r w:rsidRPr="003531AD">
        <w:rPr>
          <w:rFonts w:ascii="Times New Roman" w:hAnsi="Times New Roman" w:cs="Times New Roman"/>
        </w:rPr>
        <w:t>单位：人民币元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89"/>
        <w:gridCol w:w="4697"/>
      </w:tblGrid>
      <w:tr w:rsidR="00376E86" w:rsidRPr="00F93912" w:rsidTr="00376E86">
        <w:trPr>
          <w:trHeight w:val="20"/>
          <w:jc w:val="center"/>
        </w:trPr>
        <w:tc>
          <w:tcPr>
            <w:tcW w:w="2977" w:type="dxa"/>
            <w:vAlign w:val="center"/>
          </w:tcPr>
          <w:p w:rsidR="00C21520" w:rsidRPr="00F93912" w:rsidRDefault="00C21520" w:rsidP="00F93912">
            <w:pPr>
              <w:ind w:firstLine="0"/>
              <w:jc w:val="center"/>
            </w:pPr>
            <w:r w:rsidRPr="00F93912">
              <w:lastRenderedPageBreak/>
              <w:t>主要财务指标</w:t>
            </w:r>
          </w:p>
        </w:tc>
        <w:tc>
          <w:tcPr>
            <w:tcW w:w="3047" w:type="dxa"/>
            <w:vAlign w:val="center"/>
          </w:tcPr>
          <w:p w:rsidR="009C60F7" w:rsidRPr="00F93912" w:rsidRDefault="009C60F7" w:rsidP="00F93912">
            <w:pPr>
              <w:ind w:firstLine="0"/>
              <w:jc w:val="center"/>
            </w:pPr>
            <w:r w:rsidRPr="00F93912">
              <w:t>报告期</w:t>
            </w:r>
          </w:p>
          <w:p w:rsidR="00C21520" w:rsidRPr="00F93912" w:rsidRDefault="009C60F7" w:rsidP="00F93912">
            <w:pPr>
              <w:ind w:firstLine="0"/>
              <w:jc w:val="center"/>
            </w:pPr>
            <w:r w:rsidRPr="00F93912">
              <w:t>(2019</w:t>
            </w:r>
            <w:r w:rsidRPr="00F93912">
              <w:t>年</w:t>
            </w:r>
            <w:r w:rsidRPr="00F93912">
              <w:t>10</w:t>
            </w:r>
            <w:r w:rsidRPr="00F93912">
              <w:t>月</w:t>
            </w:r>
            <w:r w:rsidRPr="00F93912">
              <w:t>1</w:t>
            </w:r>
            <w:r w:rsidRPr="00F93912">
              <w:t>日</w:t>
            </w:r>
            <w:r w:rsidRPr="00F93912">
              <w:t>-2019</w:t>
            </w:r>
            <w:r w:rsidRPr="00F93912">
              <w:t>年</w:t>
            </w:r>
            <w:r w:rsidRPr="00F93912">
              <w:t>12</w:t>
            </w:r>
            <w:r w:rsidRPr="00F93912">
              <w:t>月</w:t>
            </w:r>
            <w:r w:rsidRPr="00F93912">
              <w:t>31</w:t>
            </w:r>
            <w:r w:rsidRPr="00F93912">
              <w:t>日</w:t>
            </w:r>
            <w:r w:rsidRPr="00F93912">
              <w:t>)</w:t>
            </w:r>
          </w:p>
        </w:tc>
      </w:tr>
      <w:tr w:rsidR="00376E86" w:rsidRPr="00F93912" w:rsidTr="00376E86">
        <w:trPr>
          <w:trHeight w:val="20"/>
          <w:jc w:val="center"/>
        </w:trPr>
        <w:tc>
          <w:tcPr>
            <w:tcW w:w="2977" w:type="dxa"/>
            <w:vAlign w:val="center"/>
          </w:tcPr>
          <w:p w:rsidR="00C21520" w:rsidRPr="00F93912" w:rsidRDefault="00C21520" w:rsidP="00F93912">
            <w:pPr>
              <w:ind w:firstLine="0"/>
            </w:pPr>
            <w:r w:rsidRPr="00F93912">
              <w:t>1.</w:t>
            </w:r>
            <w:r w:rsidRPr="00F93912">
              <w:t>本期已实现收益</w:t>
            </w:r>
          </w:p>
        </w:tc>
        <w:tc>
          <w:tcPr>
            <w:tcW w:w="3047" w:type="dxa"/>
            <w:vAlign w:val="center"/>
          </w:tcPr>
          <w:p w:rsidR="00C21520" w:rsidRPr="00F93912" w:rsidRDefault="00C21520" w:rsidP="00F93912">
            <w:pPr>
              <w:ind w:firstLine="0"/>
              <w:jc w:val="right"/>
            </w:pPr>
            <w:r w:rsidRPr="00F93912">
              <w:t>5,039,180.03</w:t>
            </w:r>
          </w:p>
        </w:tc>
      </w:tr>
      <w:tr w:rsidR="00376E86" w:rsidRPr="00F93912" w:rsidTr="00376E86">
        <w:trPr>
          <w:trHeight w:val="20"/>
          <w:jc w:val="center"/>
        </w:trPr>
        <w:tc>
          <w:tcPr>
            <w:tcW w:w="2977" w:type="dxa"/>
            <w:vAlign w:val="center"/>
          </w:tcPr>
          <w:p w:rsidR="00C21520" w:rsidRPr="00F93912" w:rsidRDefault="00C21520" w:rsidP="00F93912">
            <w:pPr>
              <w:ind w:firstLine="0"/>
            </w:pPr>
            <w:r w:rsidRPr="00F93912">
              <w:t>2.</w:t>
            </w:r>
            <w:r w:rsidRPr="00F93912">
              <w:t>本期利润</w:t>
            </w:r>
          </w:p>
        </w:tc>
        <w:tc>
          <w:tcPr>
            <w:tcW w:w="3047" w:type="dxa"/>
            <w:vAlign w:val="center"/>
          </w:tcPr>
          <w:p w:rsidR="00C21520" w:rsidRPr="00F93912" w:rsidRDefault="00C21520" w:rsidP="00F93912">
            <w:pPr>
              <w:ind w:firstLine="0"/>
              <w:jc w:val="right"/>
            </w:pPr>
            <w:r w:rsidRPr="00F93912">
              <w:t>5,912,566.89</w:t>
            </w:r>
          </w:p>
        </w:tc>
      </w:tr>
      <w:tr w:rsidR="00376E86" w:rsidRPr="00F93912" w:rsidTr="00376E86">
        <w:trPr>
          <w:trHeight w:val="20"/>
          <w:jc w:val="center"/>
        </w:trPr>
        <w:tc>
          <w:tcPr>
            <w:tcW w:w="2977" w:type="dxa"/>
            <w:vAlign w:val="center"/>
          </w:tcPr>
          <w:p w:rsidR="00C21520" w:rsidRPr="00F93912" w:rsidRDefault="00C21520" w:rsidP="00F93912">
            <w:pPr>
              <w:ind w:firstLine="0"/>
            </w:pPr>
            <w:r w:rsidRPr="00F93912">
              <w:t>3.</w:t>
            </w:r>
            <w:r w:rsidRPr="00F93912">
              <w:t>加权平均基金份额本期利润</w:t>
            </w:r>
          </w:p>
        </w:tc>
        <w:tc>
          <w:tcPr>
            <w:tcW w:w="3047" w:type="dxa"/>
            <w:vAlign w:val="center"/>
          </w:tcPr>
          <w:p w:rsidR="00C21520" w:rsidRPr="00F93912" w:rsidRDefault="00C21520" w:rsidP="00F93912">
            <w:pPr>
              <w:ind w:firstLine="0"/>
              <w:jc w:val="right"/>
            </w:pPr>
            <w:r w:rsidRPr="00F93912">
              <w:t>0.0118</w:t>
            </w:r>
          </w:p>
        </w:tc>
      </w:tr>
      <w:tr w:rsidR="00376E86" w:rsidRPr="00F93912" w:rsidTr="00376E86">
        <w:trPr>
          <w:trHeight w:val="20"/>
          <w:jc w:val="center"/>
        </w:trPr>
        <w:tc>
          <w:tcPr>
            <w:tcW w:w="2977" w:type="dxa"/>
            <w:vAlign w:val="center"/>
          </w:tcPr>
          <w:p w:rsidR="00C21520" w:rsidRPr="00F93912" w:rsidRDefault="00C21520" w:rsidP="00F93912">
            <w:pPr>
              <w:ind w:firstLine="0"/>
            </w:pPr>
            <w:r w:rsidRPr="00F93912">
              <w:t>4.</w:t>
            </w:r>
            <w:r w:rsidRPr="00F93912">
              <w:t>期末基金资产净值</w:t>
            </w:r>
          </w:p>
        </w:tc>
        <w:tc>
          <w:tcPr>
            <w:tcW w:w="3047" w:type="dxa"/>
            <w:vAlign w:val="center"/>
          </w:tcPr>
          <w:p w:rsidR="00C21520" w:rsidRPr="00F93912" w:rsidRDefault="00C21520" w:rsidP="00F93912">
            <w:pPr>
              <w:ind w:firstLine="0"/>
              <w:jc w:val="right"/>
            </w:pPr>
            <w:r w:rsidRPr="00F93912">
              <w:t>523,748,683.40</w:t>
            </w:r>
          </w:p>
        </w:tc>
      </w:tr>
      <w:tr w:rsidR="00376E86" w:rsidRPr="00F93912" w:rsidTr="00376E86">
        <w:trPr>
          <w:trHeight w:val="20"/>
          <w:jc w:val="center"/>
        </w:trPr>
        <w:tc>
          <w:tcPr>
            <w:tcW w:w="2977" w:type="dxa"/>
            <w:vAlign w:val="center"/>
          </w:tcPr>
          <w:p w:rsidR="00C21520" w:rsidRPr="00F93912" w:rsidRDefault="00C21520" w:rsidP="00F93912">
            <w:pPr>
              <w:ind w:firstLine="0"/>
            </w:pPr>
            <w:r w:rsidRPr="00F93912">
              <w:t>5.</w:t>
            </w:r>
            <w:r w:rsidRPr="00F93912">
              <w:t>期末基金份额净值</w:t>
            </w:r>
          </w:p>
        </w:tc>
        <w:tc>
          <w:tcPr>
            <w:tcW w:w="3047" w:type="dxa"/>
            <w:vAlign w:val="center"/>
          </w:tcPr>
          <w:p w:rsidR="00C21520" w:rsidRPr="00F93912" w:rsidRDefault="00C21520" w:rsidP="00F93912">
            <w:pPr>
              <w:ind w:firstLine="0"/>
              <w:jc w:val="right"/>
            </w:pPr>
            <w:r w:rsidRPr="00F93912">
              <w:t>1.0469</w:t>
            </w:r>
          </w:p>
        </w:tc>
      </w:tr>
    </w:tbl>
    <w:p w:rsidR="008729F7" w:rsidRDefault="00DC7FED">
      <w:pPr>
        <w:pStyle w:val="aff5"/>
        <w:rPr>
          <w:rFonts w:ascii="Times New Roman" w:hAnsi="Times New Roman" w:cs="Times New Roman"/>
        </w:rPr>
      </w:pPr>
      <w:r>
        <w:rPr>
          <w:rFonts w:ascii="Times New Roman" w:hAnsi="Times New Roman" w:cs="Times New Roman"/>
        </w:rPr>
        <w:t>注：本期已实现收益指基金本期利息收入、投资收益、其他收入（不含公允价值变动收益）扣除相关费用后的余额，本期利润为本期已实现收益加上本期公允价值变动收益。</w:t>
      </w:r>
    </w:p>
    <w:p w:rsidR="00D50E87" w:rsidRPr="003531AD" w:rsidRDefault="004061AC" w:rsidP="00D50E87">
      <w:pPr>
        <w:pStyle w:val="aff5"/>
        <w:rPr>
          <w:rFonts w:ascii="Times New Roman" w:hAnsi="Times New Roman" w:cs="Times New Roman"/>
        </w:rPr>
      </w:pPr>
      <w:r w:rsidRPr="003531AD">
        <w:rPr>
          <w:rFonts w:ascii="Times New Roman" w:hAnsi="Times New Roman" w:cs="Times New Roman"/>
        </w:rPr>
        <w:t>上述基金业绩指标不包括持有人交易基金的各项费用，计入费用后投资人的实际收益水平要低于所列数字。</w:t>
      </w:r>
    </w:p>
    <w:p w:rsidR="004061AC" w:rsidRPr="003531AD" w:rsidRDefault="004061AC" w:rsidP="00CA6AE6">
      <w:pPr>
        <w:pStyle w:val="xx"/>
        <w:rPr>
          <w:rFonts w:ascii="Times New Roman" w:hAnsi="Times New Roman" w:cs="Times New Roman"/>
        </w:rPr>
      </w:pPr>
      <w:r w:rsidRPr="003531AD">
        <w:rPr>
          <w:rFonts w:ascii="Times New Roman" w:hAnsi="Times New Roman" w:cs="Times New Roman"/>
        </w:rPr>
        <w:t xml:space="preserve">3.2 </w:t>
      </w:r>
      <w:r w:rsidRPr="003531AD">
        <w:rPr>
          <w:rFonts w:ascii="Times New Roman" w:hAnsi="Times New Roman" w:cs="Times New Roman"/>
        </w:rPr>
        <w:t>基金净值表现</w:t>
      </w:r>
    </w:p>
    <w:p w:rsidR="00CF6572" w:rsidRPr="003531AD" w:rsidRDefault="004061AC" w:rsidP="00CA6AE6">
      <w:pPr>
        <w:pStyle w:val="41"/>
        <w:rPr>
          <w:rFonts w:ascii="Times New Roman" w:hAnsi="Times New Roman" w:cs="Times New Roman"/>
        </w:rPr>
      </w:pPr>
      <w:r w:rsidRPr="003531AD">
        <w:rPr>
          <w:rFonts w:ascii="Times New Roman" w:hAnsi="Times New Roman" w:cs="Times New Roman"/>
        </w:rPr>
        <w:t xml:space="preserve">3.2.1 </w:t>
      </w:r>
      <w:r w:rsidRPr="003531AD">
        <w:rPr>
          <w:rFonts w:ascii="Times New Roman" w:hAnsi="Times New Roman" w:cs="Times New Roman"/>
        </w:rPr>
        <w:t>本报告</w:t>
      </w:r>
      <w:proofErr w:type="gramStart"/>
      <w:r w:rsidRPr="003531AD">
        <w:rPr>
          <w:rFonts w:ascii="Times New Roman" w:hAnsi="Times New Roman" w:cs="Times New Roman"/>
        </w:rPr>
        <w:t>期基金</w:t>
      </w:r>
      <w:proofErr w:type="gramEnd"/>
      <w:r w:rsidRPr="003531AD">
        <w:rPr>
          <w:rFonts w:ascii="Times New Roman" w:hAnsi="Times New Roman" w:cs="Times New Roman"/>
        </w:rPr>
        <w:t>份额净值增长率及其与同期业绩比较基准收益率的比较</w:t>
      </w:r>
    </w:p>
    <w:tbl>
      <w:tblPr>
        <w:tblStyle w:val="af7"/>
        <w:tblW w:w="4914" w:type="pct"/>
        <w:jc w:val="center"/>
        <w:tblLayout w:type="fixed"/>
        <w:tblLook w:val="04A0" w:firstRow="1" w:lastRow="0" w:firstColumn="1" w:lastColumn="0" w:noHBand="0" w:noVBand="1"/>
      </w:tblPr>
      <w:tblGrid>
        <w:gridCol w:w="1437"/>
        <w:gridCol w:w="1218"/>
        <w:gridCol w:w="1442"/>
        <w:gridCol w:w="1419"/>
        <w:gridCol w:w="1447"/>
        <w:gridCol w:w="1161"/>
        <w:gridCol w:w="1002"/>
      </w:tblGrid>
      <w:tr w:rsidR="00220C32" w:rsidRPr="002100F7" w:rsidTr="002100F7">
        <w:trPr>
          <w:jc w:val="center"/>
        </w:trPr>
        <w:tc>
          <w:tcPr>
            <w:tcW w:w="1438" w:type="dxa"/>
            <w:vAlign w:val="center"/>
          </w:tcPr>
          <w:p w:rsidR="00154BE1" w:rsidRPr="002100F7" w:rsidRDefault="00154BE1" w:rsidP="002100F7">
            <w:pPr>
              <w:autoSpaceDE w:val="0"/>
              <w:autoSpaceDN w:val="0"/>
              <w:adjustRightInd w:val="0"/>
              <w:spacing w:before="29" w:line="360" w:lineRule="auto"/>
              <w:ind w:left="17" w:firstLine="0"/>
              <w:jc w:val="center"/>
              <w:rPr>
                <w:rFonts w:ascii="Times New Roman" w:eastAsia="宋体" w:hAnsi="Times New Roman" w:cs="Times New Roman"/>
                <w:color w:val="000000" w:themeColor="text1"/>
                <w:kern w:val="0"/>
              </w:rPr>
            </w:pPr>
            <w:r w:rsidRPr="002100F7">
              <w:rPr>
                <w:rFonts w:ascii="Times New Roman" w:eastAsia="宋体" w:hAnsi="Times New Roman" w:cs="Times New Roman"/>
                <w:color w:val="000000" w:themeColor="text1"/>
                <w:kern w:val="0"/>
              </w:rPr>
              <w:t>阶段</w:t>
            </w:r>
          </w:p>
        </w:tc>
        <w:tc>
          <w:tcPr>
            <w:tcW w:w="1218" w:type="dxa"/>
            <w:vAlign w:val="center"/>
          </w:tcPr>
          <w:p w:rsidR="00154BE1" w:rsidRPr="002100F7" w:rsidRDefault="00154BE1" w:rsidP="002100F7">
            <w:pPr>
              <w:autoSpaceDE w:val="0"/>
              <w:autoSpaceDN w:val="0"/>
              <w:adjustRightInd w:val="0"/>
              <w:spacing w:before="29" w:line="360" w:lineRule="auto"/>
              <w:ind w:left="17" w:firstLine="0"/>
              <w:jc w:val="center"/>
              <w:rPr>
                <w:rFonts w:ascii="Times New Roman" w:eastAsia="宋体" w:hAnsi="Times New Roman" w:cs="Times New Roman"/>
                <w:color w:val="000000" w:themeColor="text1"/>
                <w:kern w:val="0"/>
              </w:rPr>
            </w:pPr>
            <w:r w:rsidRPr="002100F7">
              <w:rPr>
                <w:rFonts w:ascii="Times New Roman" w:eastAsia="宋体" w:hAnsi="Times New Roman" w:cs="Times New Roman"/>
                <w:color w:val="000000" w:themeColor="text1"/>
                <w:kern w:val="0"/>
              </w:rPr>
              <w:t>净值增长率</w:t>
            </w:r>
            <w:r w:rsidRPr="002100F7">
              <w:rPr>
                <w:rFonts w:ascii="Times New Roman" w:eastAsia="宋体" w:hAnsi="Times New Roman" w:cs="Times New Roman" w:hint="eastAsia"/>
                <w:color w:val="000000" w:themeColor="text1"/>
                <w:kern w:val="0"/>
              </w:rPr>
              <w:t>①</w:t>
            </w:r>
          </w:p>
        </w:tc>
        <w:tc>
          <w:tcPr>
            <w:tcW w:w="1442" w:type="dxa"/>
            <w:vAlign w:val="center"/>
          </w:tcPr>
          <w:p w:rsidR="00154BE1" w:rsidRPr="002100F7" w:rsidRDefault="00154BE1" w:rsidP="002100F7">
            <w:pPr>
              <w:autoSpaceDE w:val="0"/>
              <w:autoSpaceDN w:val="0"/>
              <w:adjustRightInd w:val="0"/>
              <w:spacing w:before="29" w:line="360" w:lineRule="auto"/>
              <w:ind w:left="17" w:firstLine="0"/>
              <w:jc w:val="center"/>
              <w:rPr>
                <w:rFonts w:ascii="Times New Roman" w:eastAsia="宋体" w:hAnsi="Times New Roman" w:cs="Times New Roman"/>
                <w:color w:val="000000" w:themeColor="text1"/>
                <w:kern w:val="0"/>
              </w:rPr>
            </w:pPr>
            <w:r w:rsidRPr="002100F7">
              <w:rPr>
                <w:rFonts w:ascii="Times New Roman" w:eastAsia="宋体" w:hAnsi="Times New Roman" w:cs="Times New Roman"/>
                <w:color w:val="000000" w:themeColor="text1"/>
                <w:kern w:val="0"/>
              </w:rPr>
              <w:t>净值增长率标准差</w:t>
            </w:r>
            <w:r w:rsidRPr="002100F7">
              <w:rPr>
                <w:rFonts w:ascii="Times New Roman" w:eastAsia="宋体" w:hAnsi="Times New Roman" w:cs="Times New Roman" w:hint="eastAsia"/>
                <w:color w:val="000000" w:themeColor="text1"/>
                <w:kern w:val="0"/>
              </w:rPr>
              <w:t>②</w:t>
            </w:r>
          </w:p>
        </w:tc>
        <w:tc>
          <w:tcPr>
            <w:tcW w:w="1419" w:type="dxa"/>
            <w:vAlign w:val="center"/>
          </w:tcPr>
          <w:p w:rsidR="00154BE1" w:rsidRPr="002100F7" w:rsidRDefault="00154BE1" w:rsidP="002100F7">
            <w:pPr>
              <w:autoSpaceDE w:val="0"/>
              <w:autoSpaceDN w:val="0"/>
              <w:adjustRightInd w:val="0"/>
              <w:spacing w:before="29" w:line="360" w:lineRule="auto"/>
              <w:ind w:left="17" w:firstLine="0"/>
              <w:jc w:val="center"/>
              <w:rPr>
                <w:rFonts w:ascii="Times New Roman" w:eastAsia="宋体" w:hAnsi="Times New Roman" w:cs="Times New Roman"/>
                <w:color w:val="000000" w:themeColor="text1"/>
                <w:kern w:val="0"/>
              </w:rPr>
            </w:pPr>
            <w:r w:rsidRPr="002100F7">
              <w:rPr>
                <w:rFonts w:ascii="Times New Roman" w:eastAsia="宋体" w:hAnsi="Times New Roman" w:cs="Times New Roman"/>
                <w:color w:val="000000" w:themeColor="text1"/>
                <w:kern w:val="0"/>
              </w:rPr>
              <w:t>业绩比较基准收益率</w:t>
            </w:r>
            <w:r w:rsidRPr="002100F7">
              <w:rPr>
                <w:rFonts w:ascii="Times New Roman" w:eastAsia="宋体" w:hAnsi="Times New Roman" w:cs="Times New Roman" w:hint="eastAsia"/>
                <w:color w:val="000000" w:themeColor="text1"/>
                <w:kern w:val="0"/>
              </w:rPr>
              <w:t>③</w:t>
            </w:r>
          </w:p>
        </w:tc>
        <w:tc>
          <w:tcPr>
            <w:tcW w:w="1447" w:type="dxa"/>
            <w:vAlign w:val="center"/>
          </w:tcPr>
          <w:p w:rsidR="00154BE1" w:rsidRPr="002100F7" w:rsidRDefault="00154BE1" w:rsidP="002100F7">
            <w:pPr>
              <w:autoSpaceDE w:val="0"/>
              <w:autoSpaceDN w:val="0"/>
              <w:adjustRightInd w:val="0"/>
              <w:spacing w:before="29" w:line="360" w:lineRule="auto"/>
              <w:ind w:left="17" w:firstLine="0"/>
              <w:jc w:val="center"/>
              <w:rPr>
                <w:rFonts w:ascii="Times New Roman" w:eastAsia="宋体" w:hAnsi="Times New Roman" w:cs="Times New Roman"/>
                <w:color w:val="000000" w:themeColor="text1"/>
                <w:kern w:val="0"/>
              </w:rPr>
            </w:pPr>
            <w:r w:rsidRPr="002100F7">
              <w:rPr>
                <w:rFonts w:ascii="Times New Roman" w:eastAsia="宋体" w:hAnsi="Times New Roman" w:cs="Times New Roman"/>
                <w:color w:val="000000" w:themeColor="text1"/>
                <w:kern w:val="0"/>
              </w:rPr>
              <w:t>业绩比较基准收益率标准差</w:t>
            </w:r>
            <w:r w:rsidRPr="002100F7">
              <w:rPr>
                <w:rFonts w:ascii="Times New Roman" w:eastAsia="宋体" w:hAnsi="Times New Roman" w:cs="Times New Roman" w:hint="eastAsia"/>
                <w:color w:val="000000" w:themeColor="text1"/>
                <w:kern w:val="0"/>
              </w:rPr>
              <w:t>④</w:t>
            </w:r>
          </w:p>
        </w:tc>
        <w:tc>
          <w:tcPr>
            <w:tcW w:w="1161" w:type="dxa"/>
            <w:vAlign w:val="center"/>
          </w:tcPr>
          <w:p w:rsidR="00154BE1" w:rsidRPr="002100F7" w:rsidRDefault="00154BE1" w:rsidP="002100F7">
            <w:pPr>
              <w:autoSpaceDE w:val="0"/>
              <w:autoSpaceDN w:val="0"/>
              <w:adjustRightInd w:val="0"/>
              <w:spacing w:before="29" w:line="360" w:lineRule="auto"/>
              <w:ind w:left="17" w:firstLine="0"/>
              <w:jc w:val="center"/>
              <w:rPr>
                <w:rFonts w:ascii="Times New Roman" w:eastAsia="宋体" w:hAnsi="Times New Roman" w:cs="Times New Roman"/>
                <w:color w:val="000000" w:themeColor="text1"/>
                <w:kern w:val="0"/>
              </w:rPr>
            </w:pPr>
            <w:r w:rsidRPr="002100F7">
              <w:rPr>
                <w:rFonts w:ascii="Times New Roman" w:eastAsia="宋体" w:hAnsi="Times New Roman" w:cs="Times New Roman" w:hint="eastAsia"/>
                <w:color w:val="000000" w:themeColor="text1"/>
                <w:kern w:val="0"/>
              </w:rPr>
              <w:t>①</w:t>
            </w:r>
            <w:r w:rsidRPr="002100F7">
              <w:rPr>
                <w:rFonts w:ascii="Times New Roman" w:eastAsia="宋体" w:hAnsi="Times New Roman" w:cs="Times New Roman"/>
                <w:color w:val="000000" w:themeColor="text1"/>
                <w:kern w:val="0"/>
              </w:rPr>
              <w:t>-</w:t>
            </w:r>
            <w:r w:rsidRPr="002100F7">
              <w:rPr>
                <w:rFonts w:ascii="Times New Roman" w:eastAsia="宋体" w:hAnsi="Times New Roman" w:cs="Times New Roman" w:hint="eastAsia"/>
                <w:color w:val="000000" w:themeColor="text1"/>
                <w:kern w:val="0"/>
              </w:rPr>
              <w:t>③</w:t>
            </w:r>
          </w:p>
        </w:tc>
        <w:tc>
          <w:tcPr>
            <w:tcW w:w="1002" w:type="dxa"/>
            <w:vAlign w:val="center"/>
          </w:tcPr>
          <w:p w:rsidR="00154BE1" w:rsidRPr="002100F7" w:rsidRDefault="00154BE1" w:rsidP="002100F7">
            <w:pPr>
              <w:autoSpaceDE w:val="0"/>
              <w:autoSpaceDN w:val="0"/>
              <w:adjustRightInd w:val="0"/>
              <w:spacing w:before="29" w:line="360" w:lineRule="auto"/>
              <w:ind w:left="17" w:firstLine="0"/>
              <w:jc w:val="center"/>
              <w:rPr>
                <w:rFonts w:ascii="Times New Roman" w:eastAsia="宋体" w:hAnsi="Times New Roman" w:cs="Times New Roman"/>
                <w:color w:val="000000" w:themeColor="text1"/>
                <w:kern w:val="0"/>
              </w:rPr>
            </w:pPr>
            <w:r w:rsidRPr="002100F7">
              <w:rPr>
                <w:rFonts w:ascii="Times New Roman" w:eastAsia="宋体" w:hAnsi="Times New Roman" w:cs="Times New Roman" w:hint="eastAsia"/>
                <w:color w:val="000000" w:themeColor="text1"/>
                <w:kern w:val="0"/>
              </w:rPr>
              <w:t>②</w:t>
            </w:r>
            <w:r w:rsidRPr="002100F7">
              <w:rPr>
                <w:rFonts w:ascii="Times New Roman" w:eastAsia="宋体" w:hAnsi="Times New Roman" w:cs="Times New Roman"/>
                <w:color w:val="000000" w:themeColor="text1"/>
                <w:kern w:val="0"/>
              </w:rPr>
              <w:t>-</w:t>
            </w:r>
            <w:r w:rsidRPr="002100F7">
              <w:rPr>
                <w:rFonts w:ascii="Times New Roman" w:eastAsia="宋体" w:hAnsi="Times New Roman" w:cs="Times New Roman" w:hint="eastAsia"/>
                <w:color w:val="000000" w:themeColor="text1"/>
                <w:kern w:val="0"/>
              </w:rPr>
              <w:t>④</w:t>
            </w:r>
          </w:p>
        </w:tc>
      </w:tr>
      <w:tr w:rsidR="008729F7">
        <w:trPr>
          <w:jc w:val="center"/>
        </w:trPr>
        <w:tc>
          <w:tcPr>
            <w:tcW w:w="1437" w:type="dxa"/>
            <w:vAlign w:val="center"/>
          </w:tcPr>
          <w:p w:rsidR="008729F7" w:rsidRDefault="00DC7FED" w:rsidP="00376E86">
            <w:pPr>
              <w:ind w:firstLine="0"/>
              <w:jc w:val="left"/>
            </w:pPr>
            <w:r>
              <w:rPr>
                <w:rFonts w:ascii="Times New Roman" w:eastAsia="宋体" w:hAnsi="Times New Roman" w:cs="Times New Roman"/>
                <w:color w:val="000000" w:themeColor="text1"/>
                <w:kern w:val="0"/>
              </w:rPr>
              <w:t>过去三个月</w:t>
            </w:r>
          </w:p>
        </w:tc>
        <w:tc>
          <w:tcPr>
            <w:tcW w:w="1218" w:type="dxa"/>
            <w:vAlign w:val="center"/>
          </w:tcPr>
          <w:p w:rsidR="008729F7" w:rsidRDefault="00DC7FED">
            <w:pPr>
              <w:jc w:val="right"/>
            </w:pPr>
            <w:r>
              <w:rPr>
                <w:rFonts w:ascii="Times New Roman" w:eastAsia="宋体" w:hAnsi="Times New Roman" w:cs="Times New Roman"/>
                <w:color w:val="000000" w:themeColor="text1"/>
                <w:kern w:val="0"/>
              </w:rPr>
              <w:t>1.14%</w:t>
            </w:r>
          </w:p>
        </w:tc>
        <w:tc>
          <w:tcPr>
            <w:tcW w:w="1442" w:type="dxa"/>
            <w:vAlign w:val="center"/>
          </w:tcPr>
          <w:p w:rsidR="008729F7" w:rsidRDefault="00DC7FED">
            <w:pPr>
              <w:jc w:val="right"/>
            </w:pPr>
            <w:r>
              <w:rPr>
                <w:rFonts w:ascii="Times New Roman" w:eastAsia="宋体" w:hAnsi="Times New Roman" w:cs="Times New Roman"/>
                <w:color w:val="000000" w:themeColor="text1"/>
                <w:kern w:val="0"/>
              </w:rPr>
              <w:t>0.03%</w:t>
            </w:r>
          </w:p>
        </w:tc>
        <w:tc>
          <w:tcPr>
            <w:tcW w:w="1419" w:type="dxa"/>
            <w:vAlign w:val="center"/>
          </w:tcPr>
          <w:p w:rsidR="008729F7" w:rsidRDefault="00DC7FED">
            <w:pPr>
              <w:jc w:val="right"/>
            </w:pPr>
            <w:r>
              <w:rPr>
                <w:rFonts w:ascii="Times New Roman" w:eastAsia="宋体" w:hAnsi="Times New Roman" w:cs="Times New Roman"/>
                <w:color w:val="000000" w:themeColor="text1"/>
                <w:kern w:val="0"/>
              </w:rPr>
              <w:t>1.21%</w:t>
            </w:r>
          </w:p>
        </w:tc>
        <w:tc>
          <w:tcPr>
            <w:tcW w:w="1447" w:type="dxa"/>
            <w:vAlign w:val="center"/>
          </w:tcPr>
          <w:p w:rsidR="008729F7" w:rsidRDefault="00DC7FED">
            <w:pPr>
              <w:jc w:val="right"/>
            </w:pPr>
            <w:r>
              <w:rPr>
                <w:rFonts w:ascii="Times New Roman" w:eastAsia="宋体" w:hAnsi="Times New Roman" w:cs="Times New Roman"/>
                <w:color w:val="000000" w:themeColor="text1"/>
                <w:kern w:val="0"/>
              </w:rPr>
              <w:t>0.04%</w:t>
            </w:r>
          </w:p>
        </w:tc>
        <w:tc>
          <w:tcPr>
            <w:tcW w:w="1161" w:type="dxa"/>
            <w:vAlign w:val="center"/>
          </w:tcPr>
          <w:p w:rsidR="008729F7" w:rsidRDefault="00DC7FED" w:rsidP="00376E86">
            <w:pPr>
              <w:ind w:firstLine="0"/>
              <w:jc w:val="right"/>
            </w:pPr>
            <w:r>
              <w:rPr>
                <w:rFonts w:ascii="Times New Roman" w:eastAsia="宋体" w:hAnsi="Times New Roman" w:cs="Times New Roman"/>
                <w:color w:val="000000" w:themeColor="text1"/>
                <w:kern w:val="0"/>
              </w:rPr>
              <w:t>-0.07%</w:t>
            </w:r>
          </w:p>
        </w:tc>
        <w:tc>
          <w:tcPr>
            <w:tcW w:w="1002" w:type="dxa"/>
            <w:vAlign w:val="center"/>
          </w:tcPr>
          <w:p w:rsidR="008729F7" w:rsidRDefault="00DC7FED" w:rsidP="00376E86">
            <w:pPr>
              <w:ind w:firstLine="0"/>
              <w:jc w:val="right"/>
            </w:pPr>
            <w:r>
              <w:rPr>
                <w:rFonts w:ascii="Times New Roman" w:eastAsia="宋体" w:hAnsi="Times New Roman" w:cs="Times New Roman"/>
                <w:color w:val="000000" w:themeColor="text1"/>
                <w:kern w:val="0"/>
              </w:rPr>
              <w:t>-0.01%</w:t>
            </w:r>
          </w:p>
        </w:tc>
      </w:tr>
    </w:tbl>
    <w:p w:rsidR="004061AC" w:rsidRPr="0023786F" w:rsidRDefault="004061AC" w:rsidP="0023786F">
      <w:pPr>
        <w:pStyle w:val="41"/>
        <w:rPr>
          <w:rFonts w:ascii="Times New Roman" w:hAnsi="Times New Roman" w:cs="Times New Roman"/>
        </w:rPr>
      </w:pPr>
      <w:r w:rsidRPr="0023786F">
        <w:rPr>
          <w:rFonts w:ascii="Times New Roman" w:hAnsi="Times New Roman" w:cs="Times New Roman"/>
        </w:rPr>
        <w:t>3.2.2</w:t>
      </w:r>
      <w:r w:rsidR="007B4D7A" w:rsidRPr="0023786F">
        <w:rPr>
          <w:rFonts w:ascii="Times New Roman" w:hAnsi="Times New Roman" w:cs="Times New Roman"/>
        </w:rPr>
        <w:t>自基金合同生效以来</w:t>
      </w:r>
      <w:r w:rsidR="00FB0BC9" w:rsidRPr="0023786F">
        <w:rPr>
          <w:rFonts w:ascii="Times New Roman" w:hAnsi="Times New Roman" w:cs="Times New Roman"/>
        </w:rPr>
        <w:t>基金累计</w:t>
      </w:r>
      <w:r w:rsidRPr="0023786F">
        <w:rPr>
          <w:rFonts w:ascii="Times New Roman" w:hAnsi="Times New Roman" w:cs="Times New Roman"/>
        </w:rPr>
        <w:t>净值增长率变动及其与同期业绩比较基准收益率变动的比较</w:t>
      </w:r>
    </w:p>
    <w:p w:rsidR="004061AC" w:rsidRPr="003531AD" w:rsidRDefault="00866CF2" w:rsidP="001E7C6C">
      <w:pPr>
        <w:pStyle w:val="a5"/>
        <w:snapToGrid w:val="0"/>
        <w:spacing w:before="50" w:afterLines="50" w:after="120"/>
        <w:ind w:firstLine="200"/>
        <w:jc w:val="center"/>
        <w:rPr>
          <w:rFonts w:ascii="Times New Roman" w:hAnsi="Times New Roman" w:cs="Times New Roman"/>
          <w:color w:val="000000"/>
          <w:sz w:val="24"/>
          <w:szCs w:val="24"/>
        </w:rPr>
      </w:pPr>
      <w:r w:rsidRPr="003531AD">
        <w:rPr>
          <w:rFonts w:ascii="Times New Roman" w:hAnsi="Times New Roman" w:cs="Times New Roman"/>
          <w:noProof/>
          <w:color w:val="000000"/>
          <w:sz w:val="24"/>
          <w:szCs w:val="24"/>
        </w:rPr>
        <w:drawing>
          <wp:inline distT="0" distB="0" distL="0" distR="0" wp14:anchorId="56FCB625" wp14:editId="37E49377">
            <wp:extent cx="5410800" cy="2077200"/>
            <wp:effectExtent l="0" t="0" r="0" b="0"/>
            <wp:docPr id="1" name="图片 1"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浏览器下载\走势图柱状图\走势图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10800" cy="2077200"/>
                    </a:xfrm>
                    <a:prstGeom prst="rect">
                      <a:avLst/>
                    </a:prstGeom>
                    <a:noFill/>
                    <a:ln>
                      <a:noFill/>
                    </a:ln>
                  </pic:spPr>
                </pic:pic>
              </a:graphicData>
            </a:graphic>
          </wp:inline>
        </w:drawing>
      </w:r>
    </w:p>
    <w:p w:rsidR="004061AC" w:rsidRPr="003531AD" w:rsidRDefault="004061AC" w:rsidP="00CA6AE6">
      <w:pPr>
        <w:pStyle w:val="2"/>
        <w:ind w:left="210" w:right="210"/>
        <w:rPr>
          <w:rFonts w:ascii="Times New Roman" w:hAnsi="Times New Roman" w:cs="Times New Roman"/>
        </w:rPr>
      </w:pPr>
      <w:r w:rsidRPr="003531AD">
        <w:rPr>
          <w:rFonts w:ascii="Times New Roman" w:hAnsi="Times New Roman" w:cs="Times New Roman"/>
        </w:rPr>
        <w:t xml:space="preserve">§4  </w:t>
      </w:r>
      <w:r w:rsidRPr="003531AD">
        <w:rPr>
          <w:rFonts w:ascii="Times New Roman" w:hAnsi="Times New Roman" w:cs="Times New Roman"/>
        </w:rPr>
        <w:t>管理人报告</w:t>
      </w:r>
    </w:p>
    <w:p w:rsidR="00B12B7D" w:rsidRPr="003531AD" w:rsidRDefault="004061AC" w:rsidP="00CA6AE6">
      <w:pPr>
        <w:pStyle w:val="xx"/>
        <w:rPr>
          <w:rFonts w:ascii="Times New Roman" w:hAnsi="Times New Roman" w:cs="Times New Roman"/>
        </w:rPr>
      </w:pPr>
      <w:r w:rsidRPr="003531AD">
        <w:rPr>
          <w:rFonts w:ascii="Times New Roman" w:hAnsi="Times New Roman" w:cs="Times New Roman"/>
        </w:rPr>
        <w:t xml:space="preserve">4.1 </w:t>
      </w:r>
      <w:r w:rsidRPr="003531AD">
        <w:rPr>
          <w:rFonts w:ascii="Times New Roman" w:hAnsi="Times New Roman" w:cs="Times New Roman"/>
        </w:rPr>
        <w:t>基金经理</w:t>
      </w:r>
      <w:r w:rsidR="00D57B7C" w:rsidRPr="003531AD">
        <w:rPr>
          <w:rFonts w:ascii="Times New Roman" w:hAnsi="Times New Roman" w:cs="Times New Roman"/>
        </w:rPr>
        <w:t>(</w:t>
      </w:r>
      <w:r w:rsidRPr="003531AD">
        <w:rPr>
          <w:rFonts w:ascii="Times New Roman" w:hAnsi="Times New Roman" w:cs="Times New Roman"/>
        </w:rPr>
        <w:t>或基金经理小组</w:t>
      </w:r>
      <w:r w:rsidR="00D57B7C" w:rsidRPr="003531AD">
        <w:rPr>
          <w:rFonts w:ascii="Times New Roman" w:hAnsi="Times New Roman" w:cs="Times New Roman"/>
        </w:rPr>
        <w:t>)</w:t>
      </w:r>
      <w:r w:rsidRPr="003531AD">
        <w:rPr>
          <w:rFonts w:ascii="Times New Roman" w:hAnsi="Times New Roman" w:cs="Times New Roman"/>
        </w:rPr>
        <w:t>简介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61"/>
        <w:gridCol w:w="1306"/>
        <w:gridCol w:w="1741"/>
        <w:gridCol w:w="1741"/>
        <w:gridCol w:w="726"/>
        <w:gridCol w:w="2611"/>
      </w:tblGrid>
      <w:tr w:rsidR="00220C32" w:rsidRPr="003531AD" w:rsidTr="005E0774">
        <w:trPr>
          <w:trHeight w:val="20"/>
          <w:jc w:val="center"/>
        </w:trPr>
        <w:tc>
          <w:tcPr>
            <w:tcW w:w="1134" w:type="dxa"/>
            <w:vMerge w:val="restart"/>
            <w:vAlign w:val="center"/>
          </w:tcPr>
          <w:p w:rsidR="004061AC" w:rsidRPr="00F93912" w:rsidRDefault="004061AC" w:rsidP="00F93912">
            <w:pPr>
              <w:ind w:firstLine="0"/>
              <w:jc w:val="center"/>
            </w:pPr>
            <w:r w:rsidRPr="00F93912">
              <w:t>姓名</w:t>
            </w:r>
          </w:p>
        </w:tc>
        <w:tc>
          <w:tcPr>
            <w:tcW w:w="1276" w:type="dxa"/>
            <w:vMerge w:val="restart"/>
            <w:vAlign w:val="center"/>
          </w:tcPr>
          <w:p w:rsidR="004061AC" w:rsidRPr="00F93912" w:rsidRDefault="004061AC" w:rsidP="00F93912">
            <w:pPr>
              <w:ind w:firstLine="0"/>
              <w:jc w:val="center"/>
            </w:pPr>
            <w:r w:rsidRPr="00F93912">
              <w:t>职务</w:t>
            </w:r>
          </w:p>
        </w:tc>
        <w:tc>
          <w:tcPr>
            <w:tcW w:w="3402" w:type="dxa"/>
            <w:gridSpan w:val="2"/>
            <w:vAlign w:val="center"/>
          </w:tcPr>
          <w:p w:rsidR="004061AC" w:rsidRPr="00F93912" w:rsidRDefault="004061AC" w:rsidP="00F93912">
            <w:pPr>
              <w:ind w:firstLine="0"/>
              <w:jc w:val="center"/>
            </w:pPr>
            <w:proofErr w:type="gramStart"/>
            <w:r w:rsidRPr="00F93912">
              <w:t>任本基金</w:t>
            </w:r>
            <w:proofErr w:type="gramEnd"/>
            <w:r w:rsidRPr="00F93912">
              <w:t>的基金经理期限</w:t>
            </w:r>
          </w:p>
        </w:tc>
        <w:tc>
          <w:tcPr>
            <w:tcW w:w="709" w:type="dxa"/>
            <w:vMerge w:val="restart"/>
            <w:vAlign w:val="center"/>
          </w:tcPr>
          <w:p w:rsidR="004061AC" w:rsidRPr="00F93912" w:rsidRDefault="004061AC" w:rsidP="00F93912">
            <w:pPr>
              <w:ind w:firstLine="0"/>
              <w:jc w:val="center"/>
            </w:pPr>
            <w:r w:rsidRPr="00F93912">
              <w:t>证券从业年限</w:t>
            </w:r>
          </w:p>
        </w:tc>
        <w:tc>
          <w:tcPr>
            <w:tcW w:w="2551" w:type="dxa"/>
            <w:vMerge w:val="restart"/>
            <w:vAlign w:val="center"/>
          </w:tcPr>
          <w:p w:rsidR="004061AC" w:rsidRPr="00F93912" w:rsidRDefault="004061AC" w:rsidP="00F93912">
            <w:pPr>
              <w:ind w:firstLine="0"/>
              <w:jc w:val="center"/>
            </w:pPr>
            <w:r w:rsidRPr="00F93912">
              <w:t>说明</w:t>
            </w:r>
          </w:p>
        </w:tc>
      </w:tr>
      <w:tr w:rsidR="00220C32" w:rsidRPr="003531AD" w:rsidTr="005E0774">
        <w:trPr>
          <w:trHeight w:val="20"/>
          <w:jc w:val="center"/>
        </w:trPr>
        <w:tc>
          <w:tcPr>
            <w:tcW w:w="1134" w:type="dxa"/>
            <w:vMerge/>
            <w:vAlign w:val="center"/>
          </w:tcPr>
          <w:p w:rsidR="004061AC" w:rsidRPr="00F93912" w:rsidRDefault="004061AC" w:rsidP="00F93912">
            <w:pPr>
              <w:ind w:firstLine="0"/>
            </w:pPr>
          </w:p>
        </w:tc>
        <w:tc>
          <w:tcPr>
            <w:tcW w:w="1276" w:type="dxa"/>
            <w:vMerge/>
            <w:vAlign w:val="center"/>
          </w:tcPr>
          <w:p w:rsidR="004061AC" w:rsidRPr="00F93912" w:rsidRDefault="004061AC" w:rsidP="00F93912">
            <w:pPr>
              <w:ind w:firstLine="0"/>
            </w:pPr>
          </w:p>
        </w:tc>
        <w:tc>
          <w:tcPr>
            <w:tcW w:w="1701" w:type="dxa"/>
            <w:vAlign w:val="center"/>
          </w:tcPr>
          <w:p w:rsidR="004061AC" w:rsidRPr="00F93912" w:rsidRDefault="004061AC" w:rsidP="00F93912">
            <w:pPr>
              <w:ind w:firstLine="0"/>
              <w:jc w:val="center"/>
            </w:pPr>
            <w:r w:rsidRPr="00F93912">
              <w:t>任职日期</w:t>
            </w:r>
          </w:p>
        </w:tc>
        <w:tc>
          <w:tcPr>
            <w:tcW w:w="1701" w:type="dxa"/>
            <w:vAlign w:val="center"/>
          </w:tcPr>
          <w:p w:rsidR="004061AC" w:rsidRPr="00F93912" w:rsidRDefault="004061AC" w:rsidP="00F93912">
            <w:pPr>
              <w:ind w:firstLine="0"/>
              <w:jc w:val="center"/>
            </w:pPr>
            <w:r w:rsidRPr="00F93912">
              <w:t>离任日期</w:t>
            </w:r>
          </w:p>
        </w:tc>
        <w:tc>
          <w:tcPr>
            <w:tcW w:w="709" w:type="dxa"/>
            <w:vMerge/>
            <w:vAlign w:val="center"/>
          </w:tcPr>
          <w:p w:rsidR="004061AC" w:rsidRPr="00F93912" w:rsidRDefault="004061AC" w:rsidP="00F93912">
            <w:pPr>
              <w:ind w:firstLine="0"/>
            </w:pPr>
          </w:p>
        </w:tc>
        <w:tc>
          <w:tcPr>
            <w:tcW w:w="2551" w:type="dxa"/>
            <w:vMerge/>
            <w:vAlign w:val="center"/>
          </w:tcPr>
          <w:p w:rsidR="004061AC" w:rsidRPr="00F93912" w:rsidRDefault="004061AC" w:rsidP="00F93912">
            <w:pPr>
              <w:ind w:firstLine="0"/>
            </w:pPr>
          </w:p>
        </w:tc>
      </w:tr>
      <w:tr w:rsidR="008729F7">
        <w:trPr>
          <w:jc w:val="center"/>
        </w:trPr>
        <w:tc>
          <w:tcPr>
            <w:tcW w:w="1161" w:type="dxa"/>
            <w:vAlign w:val="center"/>
          </w:tcPr>
          <w:p w:rsidR="008729F7" w:rsidRDefault="00DC7FED" w:rsidP="00DF69A9">
            <w:pPr>
              <w:ind w:firstLine="0"/>
              <w:jc w:val="center"/>
            </w:pPr>
            <w:r>
              <w:t>程卓</w:t>
            </w:r>
          </w:p>
        </w:tc>
        <w:tc>
          <w:tcPr>
            <w:tcW w:w="1306" w:type="dxa"/>
            <w:vAlign w:val="center"/>
          </w:tcPr>
          <w:p w:rsidR="008729F7" w:rsidRDefault="00DC7FED" w:rsidP="00DF69A9">
            <w:pPr>
              <w:ind w:firstLine="0"/>
              <w:jc w:val="center"/>
            </w:pPr>
            <w:r>
              <w:t>基金经理</w:t>
            </w:r>
          </w:p>
        </w:tc>
        <w:tc>
          <w:tcPr>
            <w:tcW w:w="1741" w:type="dxa"/>
            <w:vAlign w:val="center"/>
          </w:tcPr>
          <w:p w:rsidR="008729F7" w:rsidRDefault="00DC7FED" w:rsidP="00DF69A9">
            <w:pPr>
              <w:ind w:firstLine="0"/>
              <w:jc w:val="center"/>
            </w:pPr>
            <w:r>
              <w:t>2019-03-04</w:t>
            </w:r>
          </w:p>
        </w:tc>
        <w:tc>
          <w:tcPr>
            <w:tcW w:w="1741" w:type="dxa"/>
            <w:vAlign w:val="center"/>
          </w:tcPr>
          <w:p w:rsidR="008729F7" w:rsidRDefault="00DC7FED" w:rsidP="00DF69A9">
            <w:pPr>
              <w:jc w:val="center"/>
            </w:pPr>
            <w:r>
              <w:t>-</w:t>
            </w:r>
          </w:p>
        </w:tc>
        <w:tc>
          <w:tcPr>
            <w:tcW w:w="726" w:type="dxa"/>
            <w:vAlign w:val="center"/>
          </w:tcPr>
          <w:p w:rsidR="008729F7" w:rsidRDefault="00DC7FED" w:rsidP="00DF69A9">
            <w:pPr>
              <w:ind w:firstLine="0"/>
              <w:jc w:val="center"/>
            </w:pPr>
            <w:r>
              <w:t>7.4</w:t>
            </w:r>
          </w:p>
        </w:tc>
        <w:tc>
          <w:tcPr>
            <w:tcW w:w="2611" w:type="dxa"/>
            <w:vAlign w:val="center"/>
          </w:tcPr>
          <w:p w:rsidR="008729F7" w:rsidRDefault="00DC7FED" w:rsidP="00DB2857">
            <w:pPr>
              <w:ind w:firstLine="0"/>
              <w:jc w:val="both"/>
            </w:pPr>
            <w:r>
              <w:t>程卓先生，硕士。</w:t>
            </w:r>
            <w:r>
              <w:t>2008</w:t>
            </w:r>
            <w:r>
              <w:t>年起先后在招商银行总行、诺安基金工作。</w:t>
            </w:r>
            <w:r>
              <w:t>2017</w:t>
            </w:r>
            <w:r>
              <w:t>年加入博时基金管理有限公司。历任博</w:t>
            </w:r>
            <w:proofErr w:type="gramStart"/>
            <w:r>
              <w:t>时安恒</w:t>
            </w:r>
            <w:r>
              <w:t>18</w:t>
            </w:r>
            <w:r>
              <w:t>个月</w:t>
            </w:r>
            <w:proofErr w:type="gramEnd"/>
            <w:r>
              <w:t>定期开放债券型证券投资基金</w:t>
            </w:r>
            <w:r>
              <w:t>(2018</w:t>
            </w:r>
            <w:r>
              <w:t>年</w:t>
            </w:r>
            <w:r>
              <w:t>4</w:t>
            </w:r>
            <w:r>
              <w:t>月</w:t>
            </w:r>
            <w:r>
              <w:t>2</w:t>
            </w:r>
            <w:r>
              <w:t>日</w:t>
            </w:r>
            <w:r>
              <w:t>-2018</w:t>
            </w:r>
            <w:r>
              <w:lastRenderedPageBreak/>
              <w:t>年</w:t>
            </w:r>
            <w:r>
              <w:t>6</w:t>
            </w:r>
            <w:r>
              <w:t>月</w:t>
            </w:r>
            <w:r>
              <w:t>16</w:t>
            </w:r>
            <w:r>
              <w:t>日</w:t>
            </w:r>
            <w:r>
              <w:t>)</w:t>
            </w:r>
            <w:r>
              <w:t>、博时安诚</w:t>
            </w:r>
            <w:r>
              <w:t>18</w:t>
            </w:r>
            <w:r>
              <w:t>个月定期开放债券型证券投资基金</w:t>
            </w:r>
            <w:r>
              <w:t>(2018</w:t>
            </w:r>
            <w:r>
              <w:t>年</w:t>
            </w:r>
            <w:r>
              <w:t>5</w:t>
            </w:r>
            <w:r>
              <w:t>月</w:t>
            </w:r>
            <w:r>
              <w:t>28</w:t>
            </w:r>
            <w:r>
              <w:t>日</w:t>
            </w:r>
            <w:r>
              <w:t>-2019</w:t>
            </w:r>
            <w:r>
              <w:t>年</w:t>
            </w:r>
            <w:r>
              <w:t>1</w:t>
            </w:r>
            <w:r>
              <w:t>月</w:t>
            </w:r>
            <w:r>
              <w:t>23</w:t>
            </w:r>
            <w:r>
              <w:t>日</w:t>
            </w:r>
            <w:r>
              <w:t>)</w:t>
            </w:r>
            <w:r>
              <w:t>、博时聚</w:t>
            </w:r>
            <w:proofErr w:type="gramStart"/>
            <w:r>
              <w:t>源纯债债券</w:t>
            </w:r>
            <w:proofErr w:type="gramEnd"/>
            <w:r>
              <w:t>型证券投资基金</w:t>
            </w:r>
            <w:r>
              <w:t>(2018</w:t>
            </w:r>
            <w:r>
              <w:t>年</w:t>
            </w:r>
            <w:r>
              <w:t>3</w:t>
            </w:r>
            <w:r>
              <w:t>月</w:t>
            </w:r>
            <w:r>
              <w:t>15</w:t>
            </w:r>
            <w:r>
              <w:t>日</w:t>
            </w:r>
            <w:r>
              <w:t>-2019</w:t>
            </w:r>
            <w:r>
              <w:t>年</w:t>
            </w:r>
            <w:r>
              <w:t>3</w:t>
            </w:r>
            <w:r>
              <w:t>月</w:t>
            </w:r>
            <w:r>
              <w:t>19</w:t>
            </w:r>
            <w:r>
              <w:t>日</w:t>
            </w:r>
            <w:r>
              <w:t>)</w:t>
            </w:r>
            <w:r>
              <w:t>、博</w:t>
            </w:r>
            <w:proofErr w:type="gramStart"/>
            <w:r>
              <w:t>时汇享纯债</w:t>
            </w:r>
            <w:proofErr w:type="gramEnd"/>
            <w:r>
              <w:t>债券型证券投资基金</w:t>
            </w:r>
            <w:r>
              <w:t>(2018</w:t>
            </w:r>
            <w:r>
              <w:t>年</w:t>
            </w:r>
            <w:r>
              <w:t>3</w:t>
            </w:r>
            <w:r>
              <w:t>月</w:t>
            </w:r>
            <w:r>
              <w:t>15</w:t>
            </w:r>
            <w:r>
              <w:t>日</w:t>
            </w:r>
            <w:r>
              <w:t>-2019</w:t>
            </w:r>
            <w:r>
              <w:t>年</w:t>
            </w:r>
            <w:r>
              <w:t>3</w:t>
            </w:r>
            <w:r>
              <w:t>月</w:t>
            </w:r>
            <w:r>
              <w:t>19</w:t>
            </w:r>
            <w:r>
              <w:t>日</w:t>
            </w:r>
            <w:r>
              <w:t>)</w:t>
            </w:r>
            <w:r>
              <w:t>、博时安祺一年定期开放债券型证券投资基金</w:t>
            </w:r>
            <w:r>
              <w:t>(2018</w:t>
            </w:r>
            <w:r>
              <w:t>年</w:t>
            </w:r>
            <w:r>
              <w:t>3</w:t>
            </w:r>
            <w:r>
              <w:t>月</w:t>
            </w:r>
            <w:r>
              <w:t>15</w:t>
            </w:r>
            <w:r>
              <w:t>日</w:t>
            </w:r>
            <w:r>
              <w:t>-2019</w:t>
            </w:r>
            <w:r>
              <w:t>年</w:t>
            </w:r>
            <w:r>
              <w:t>8</w:t>
            </w:r>
            <w:r>
              <w:t>月</w:t>
            </w:r>
            <w:r>
              <w:t>22</w:t>
            </w:r>
            <w:r>
              <w:t>日</w:t>
            </w:r>
            <w:r>
              <w:t>)</w:t>
            </w:r>
            <w:r>
              <w:t>的基金经理。现任博</w:t>
            </w:r>
            <w:proofErr w:type="gramStart"/>
            <w:r>
              <w:t>时景兴纯债</w:t>
            </w:r>
            <w:proofErr w:type="gramEnd"/>
            <w:r>
              <w:t>债券型证券投资基金</w:t>
            </w:r>
            <w:r>
              <w:t>(2018</w:t>
            </w:r>
            <w:r>
              <w:t>年</w:t>
            </w:r>
            <w:r>
              <w:t>3</w:t>
            </w:r>
            <w:r>
              <w:t>月</w:t>
            </w:r>
            <w:r>
              <w:t>15</w:t>
            </w:r>
            <w:r>
              <w:t>日</w:t>
            </w:r>
            <w:proofErr w:type="gramStart"/>
            <w:r>
              <w:t>—</w:t>
            </w:r>
            <w:r>
              <w:t>至今</w:t>
            </w:r>
            <w:proofErr w:type="gramEnd"/>
            <w:r>
              <w:t>)</w:t>
            </w:r>
            <w:r>
              <w:t>、博</w:t>
            </w:r>
            <w:proofErr w:type="gramStart"/>
            <w:r>
              <w:t>时安誉</w:t>
            </w:r>
            <w:r>
              <w:t>18</w:t>
            </w:r>
            <w:r>
              <w:t>个月</w:t>
            </w:r>
            <w:proofErr w:type="gramEnd"/>
            <w:r>
              <w:t>定期开放债券型证券投资基金</w:t>
            </w:r>
            <w:r>
              <w:t>(2018</w:t>
            </w:r>
            <w:r>
              <w:t>年</w:t>
            </w:r>
            <w:r>
              <w:t>3</w:t>
            </w:r>
            <w:r>
              <w:t>月</w:t>
            </w:r>
            <w:r>
              <w:t>15</w:t>
            </w:r>
            <w:r>
              <w:t>日</w:t>
            </w:r>
            <w:proofErr w:type="gramStart"/>
            <w:r>
              <w:t>—</w:t>
            </w:r>
            <w:r>
              <w:t>至今</w:t>
            </w:r>
            <w:proofErr w:type="gramEnd"/>
            <w:r>
              <w:t>)</w:t>
            </w:r>
            <w:r>
              <w:t>、</w:t>
            </w:r>
            <w:proofErr w:type="gramStart"/>
            <w:r>
              <w:t>博时富嘉纯债债券</w:t>
            </w:r>
            <w:proofErr w:type="gramEnd"/>
            <w:r>
              <w:t>型证券投资基金</w:t>
            </w:r>
            <w:r>
              <w:t>(2018</w:t>
            </w:r>
            <w:r>
              <w:t>年</w:t>
            </w:r>
            <w:r>
              <w:t>3</w:t>
            </w:r>
            <w:r>
              <w:t>月</w:t>
            </w:r>
            <w:r>
              <w:t>15</w:t>
            </w:r>
            <w:r>
              <w:t>日</w:t>
            </w:r>
            <w:proofErr w:type="gramStart"/>
            <w:r>
              <w:t>—</w:t>
            </w:r>
            <w:r>
              <w:t>至今</w:t>
            </w:r>
            <w:proofErr w:type="gramEnd"/>
            <w:r>
              <w:t>)</w:t>
            </w:r>
            <w:r>
              <w:t>、博时</w:t>
            </w:r>
            <w:proofErr w:type="gramStart"/>
            <w:r>
              <w:t>民泽纯债</w:t>
            </w:r>
            <w:proofErr w:type="gramEnd"/>
            <w:r>
              <w:t>债券型证券投资基金</w:t>
            </w:r>
            <w:r>
              <w:t>(2018</w:t>
            </w:r>
            <w:r>
              <w:t>年</w:t>
            </w:r>
            <w:r>
              <w:t>3</w:t>
            </w:r>
            <w:r>
              <w:t>月</w:t>
            </w:r>
            <w:r>
              <w:t>15</w:t>
            </w:r>
            <w:r>
              <w:t>日</w:t>
            </w:r>
            <w:proofErr w:type="gramStart"/>
            <w:r>
              <w:t>—</w:t>
            </w:r>
            <w:r>
              <w:t>至今</w:t>
            </w:r>
            <w:proofErr w:type="gramEnd"/>
            <w:r>
              <w:t>)</w:t>
            </w:r>
            <w:r>
              <w:t>、博时</w:t>
            </w:r>
            <w:proofErr w:type="gramStart"/>
            <w:r>
              <w:t>臻选纯债</w:t>
            </w:r>
            <w:proofErr w:type="gramEnd"/>
            <w:r>
              <w:t>债券型证券投资基金</w:t>
            </w:r>
            <w:r>
              <w:t>(2018</w:t>
            </w:r>
            <w:r>
              <w:t>年</w:t>
            </w:r>
            <w:r>
              <w:t>3</w:t>
            </w:r>
            <w:r>
              <w:t>月</w:t>
            </w:r>
            <w:r>
              <w:t>15</w:t>
            </w:r>
            <w:r>
              <w:t>日</w:t>
            </w:r>
            <w:proofErr w:type="gramStart"/>
            <w:r>
              <w:t>—</w:t>
            </w:r>
            <w:r>
              <w:t>至今</w:t>
            </w:r>
            <w:proofErr w:type="gramEnd"/>
            <w:r>
              <w:t>)</w:t>
            </w:r>
            <w:r>
              <w:t>、博时智</w:t>
            </w:r>
            <w:proofErr w:type="gramStart"/>
            <w:r>
              <w:t>臻纯债</w:t>
            </w:r>
            <w:proofErr w:type="gramEnd"/>
            <w:r>
              <w:t>债券型证券投资基金</w:t>
            </w:r>
            <w:r>
              <w:t>(2018</w:t>
            </w:r>
            <w:r>
              <w:t>年</w:t>
            </w:r>
            <w:r>
              <w:t>3</w:t>
            </w:r>
            <w:r>
              <w:t>月</w:t>
            </w:r>
            <w:r>
              <w:t>15</w:t>
            </w:r>
            <w:r>
              <w:t>日</w:t>
            </w:r>
            <w:proofErr w:type="gramStart"/>
            <w:r>
              <w:t>—</w:t>
            </w:r>
            <w:r>
              <w:t>至今</w:t>
            </w:r>
            <w:proofErr w:type="gramEnd"/>
            <w:r>
              <w:t>)</w:t>
            </w:r>
            <w:r>
              <w:t>、</w:t>
            </w:r>
            <w:proofErr w:type="gramStart"/>
            <w:r>
              <w:t>博时富宁纯债债券</w:t>
            </w:r>
            <w:proofErr w:type="gramEnd"/>
            <w:r>
              <w:t>型证券投资基金</w:t>
            </w:r>
            <w:r>
              <w:t>(2018</w:t>
            </w:r>
            <w:r>
              <w:t>年</w:t>
            </w:r>
            <w:r>
              <w:t>3</w:t>
            </w:r>
            <w:r>
              <w:t>月</w:t>
            </w:r>
            <w:r>
              <w:t>15</w:t>
            </w:r>
            <w:r>
              <w:t>日</w:t>
            </w:r>
            <w:proofErr w:type="gramStart"/>
            <w:r>
              <w:t>—</w:t>
            </w:r>
            <w:r>
              <w:t>至今</w:t>
            </w:r>
            <w:proofErr w:type="gramEnd"/>
            <w:r>
              <w:t>)</w:t>
            </w:r>
            <w:r>
              <w:t>、博时安泰</w:t>
            </w:r>
            <w:r>
              <w:t>18</w:t>
            </w:r>
            <w:r>
              <w:t>个月定期开放债券型证券投资基金</w:t>
            </w:r>
            <w:r>
              <w:t>(2018</w:t>
            </w:r>
            <w:r>
              <w:t>年</w:t>
            </w:r>
            <w:r>
              <w:t>3</w:t>
            </w:r>
            <w:r>
              <w:t>月</w:t>
            </w:r>
            <w:r>
              <w:t>15</w:t>
            </w:r>
            <w:r>
              <w:t>日</w:t>
            </w:r>
            <w:proofErr w:type="gramStart"/>
            <w:r>
              <w:t>—</w:t>
            </w:r>
            <w:r>
              <w:t>至今</w:t>
            </w:r>
            <w:proofErr w:type="gramEnd"/>
            <w:r>
              <w:t>)</w:t>
            </w:r>
            <w:r>
              <w:t>、博时安丰</w:t>
            </w:r>
            <w:r>
              <w:t>18</w:t>
            </w:r>
            <w:r>
              <w:t>个月定期开放债券型证券投资基金（</w:t>
            </w:r>
            <w:r>
              <w:t>LOF</w:t>
            </w:r>
            <w:r>
              <w:t>）</w:t>
            </w:r>
            <w:r>
              <w:t>(2018</w:t>
            </w:r>
            <w:r>
              <w:t>年</w:t>
            </w:r>
            <w:r>
              <w:t>4</w:t>
            </w:r>
            <w:r>
              <w:t>月</w:t>
            </w:r>
            <w:r>
              <w:t>23</w:t>
            </w:r>
            <w:r>
              <w:t>日</w:t>
            </w:r>
            <w:proofErr w:type="gramStart"/>
            <w:r>
              <w:t>—</w:t>
            </w:r>
            <w:r>
              <w:t>至今</w:t>
            </w:r>
            <w:proofErr w:type="gramEnd"/>
            <w:r>
              <w:t>)</w:t>
            </w:r>
            <w:r>
              <w:t>、</w:t>
            </w:r>
            <w:proofErr w:type="gramStart"/>
            <w:r>
              <w:t>博时丰达纯债</w:t>
            </w:r>
            <w:r>
              <w:t>6</w:t>
            </w:r>
            <w:r>
              <w:t>个月</w:t>
            </w:r>
            <w:proofErr w:type="gramEnd"/>
            <w:r>
              <w:t>定期开放债券型发起式证券投资基金</w:t>
            </w:r>
            <w:r>
              <w:t>(2018</w:t>
            </w:r>
            <w:r>
              <w:t>年</w:t>
            </w:r>
            <w:r>
              <w:t>4</w:t>
            </w:r>
            <w:r>
              <w:t>月</w:t>
            </w:r>
            <w:r>
              <w:t>23</w:t>
            </w:r>
            <w:r>
              <w:t>日</w:t>
            </w:r>
            <w:proofErr w:type="gramStart"/>
            <w:r>
              <w:t>—</w:t>
            </w:r>
            <w:r>
              <w:t>至今</w:t>
            </w:r>
            <w:proofErr w:type="gramEnd"/>
            <w:r>
              <w:t>)</w:t>
            </w:r>
            <w:r>
              <w:t>、博时</w:t>
            </w:r>
            <w:proofErr w:type="gramStart"/>
            <w:r>
              <w:t>富永纯债</w:t>
            </w:r>
            <w:proofErr w:type="gramEnd"/>
            <w:r>
              <w:t>3</w:t>
            </w:r>
            <w:r>
              <w:t>个月定期开放债券型发起式证券投资基金</w:t>
            </w:r>
            <w:r>
              <w:t>(2018</w:t>
            </w:r>
            <w:r>
              <w:t>年</w:t>
            </w:r>
            <w:r>
              <w:t>12</w:t>
            </w:r>
            <w:r>
              <w:t>月</w:t>
            </w:r>
            <w:r>
              <w:t>19</w:t>
            </w:r>
            <w:r>
              <w:t>日</w:t>
            </w:r>
            <w:proofErr w:type="gramStart"/>
            <w:r>
              <w:t>—</w:t>
            </w:r>
            <w:r>
              <w:t>至今</w:t>
            </w:r>
            <w:proofErr w:type="gramEnd"/>
            <w:r>
              <w:t>)</w:t>
            </w:r>
            <w:r>
              <w:t>、博时安诚</w:t>
            </w:r>
            <w:r>
              <w:t>3</w:t>
            </w:r>
            <w:r>
              <w:t>个月定期开放债券型证券投资基金</w:t>
            </w:r>
            <w:r>
              <w:t>(2019</w:t>
            </w:r>
            <w:r>
              <w:t>年</w:t>
            </w:r>
            <w:r>
              <w:t>1</w:t>
            </w:r>
            <w:r>
              <w:t>月</w:t>
            </w:r>
            <w:r>
              <w:t>23</w:t>
            </w:r>
            <w:r>
              <w:t>日</w:t>
            </w:r>
            <w:proofErr w:type="gramStart"/>
            <w:r>
              <w:t>—</w:t>
            </w:r>
            <w:r>
              <w:t>至今</w:t>
            </w:r>
            <w:proofErr w:type="gramEnd"/>
            <w:r>
              <w:t>)</w:t>
            </w:r>
            <w:r>
              <w:t>、博时富</w:t>
            </w:r>
            <w:proofErr w:type="gramStart"/>
            <w:r>
              <w:t>元纯债债券</w:t>
            </w:r>
            <w:proofErr w:type="gramEnd"/>
            <w:r>
              <w:t>型证券投资基金</w:t>
            </w:r>
            <w:r>
              <w:t>(2019</w:t>
            </w:r>
            <w:r>
              <w:t>年</w:t>
            </w:r>
            <w:r>
              <w:t>2</w:t>
            </w:r>
            <w:r>
              <w:t>月</w:t>
            </w:r>
            <w:r>
              <w:t>25</w:t>
            </w:r>
            <w:r>
              <w:t>日</w:t>
            </w:r>
            <w:proofErr w:type="gramStart"/>
            <w:r>
              <w:t>—</w:t>
            </w:r>
            <w:r>
              <w:t>至今</w:t>
            </w:r>
            <w:proofErr w:type="gramEnd"/>
            <w:r>
              <w:t>)</w:t>
            </w:r>
            <w:r>
              <w:t>、博时富</w:t>
            </w:r>
            <w:proofErr w:type="gramStart"/>
            <w:r>
              <w:t>诚纯债</w:t>
            </w:r>
            <w:proofErr w:type="gramEnd"/>
            <w:r>
              <w:t>债券型证券投资基金</w:t>
            </w:r>
            <w:r>
              <w:t>(2019</w:t>
            </w:r>
            <w:r>
              <w:t>年</w:t>
            </w:r>
            <w:r>
              <w:t>3</w:t>
            </w:r>
            <w:r>
              <w:t>月</w:t>
            </w:r>
            <w:r>
              <w:t>4</w:t>
            </w:r>
            <w:r>
              <w:t>日</w:t>
            </w:r>
            <w:proofErr w:type="gramStart"/>
            <w:r>
              <w:t>—</w:t>
            </w:r>
            <w:r>
              <w:t>至今</w:t>
            </w:r>
            <w:proofErr w:type="gramEnd"/>
            <w:r>
              <w:t>)</w:t>
            </w:r>
            <w:r>
              <w:t>、博</w:t>
            </w:r>
            <w:proofErr w:type="gramStart"/>
            <w:r>
              <w:t>时裕盈纯债</w:t>
            </w:r>
            <w:proofErr w:type="gramEnd"/>
            <w:r>
              <w:t>3</w:t>
            </w:r>
            <w:r>
              <w:lastRenderedPageBreak/>
              <w:t>个月定期开放债券型发起式证券投资基金</w:t>
            </w:r>
            <w:r>
              <w:t>(2019</w:t>
            </w:r>
            <w:r>
              <w:t>年</w:t>
            </w:r>
            <w:r>
              <w:t>3</w:t>
            </w:r>
            <w:r>
              <w:t>月</w:t>
            </w:r>
            <w:r>
              <w:t>11</w:t>
            </w:r>
            <w:r>
              <w:t>日</w:t>
            </w:r>
            <w:proofErr w:type="gramStart"/>
            <w:r>
              <w:t>—</w:t>
            </w:r>
            <w:r>
              <w:t>至今</w:t>
            </w:r>
            <w:proofErr w:type="gramEnd"/>
            <w:r>
              <w:t>)</w:t>
            </w:r>
            <w:r>
              <w:t>、博</w:t>
            </w:r>
            <w:proofErr w:type="gramStart"/>
            <w:r>
              <w:t>时裕嘉纯债</w:t>
            </w:r>
            <w:proofErr w:type="gramEnd"/>
            <w:r>
              <w:t>3</w:t>
            </w:r>
            <w:r>
              <w:t>个月定期开放债券型发起式证券投资基金</w:t>
            </w:r>
            <w:r>
              <w:t>(2019</w:t>
            </w:r>
            <w:r>
              <w:t>年</w:t>
            </w:r>
            <w:r>
              <w:t>3</w:t>
            </w:r>
            <w:r>
              <w:t>月</w:t>
            </w:r>
            <w:r>
              <w:t>11</w:t>
            </w:r>
            <w:r>
              <w:t>日</w:t>
            </w:r>
            <w:proofErr w:type="gramStart"/>
            <w:r>
              <w:t>—</w:t>
            </w:r>
            <w:r>
              <w:t>至今</w:t>
            </w:r>
            <w:proofErr w:type="gramEnd"/>
            <w:r>
              <w:t>)</w:t>
            </w:r>
            <w:r>
              <w:t>、博</w:t>
            </w:r>
            <w:proofErr w:type="gramStart"/>
            <w:r>
              <w:t>时悦楚纯债</w:t>
            </w:r>
            <w:proofErr w:type="gramEnd"/>
            <w:r>
              <w:t>债券型证券投资基金</w:t>
            </w:r>
            <w:r>
              <w:t>(2019</w:t>
            </w:r>
            <w:r>
              <w:t>年</w:t>
            </w:r>
            <w:r>
              <w:t>6</w:t>
            </w:r>
            <w:r>
              <w:t>月</w:t>
            </w:r>
            <w:r>
              <w:t>4</w:t>
            </w:r>
            <w:r>
              <w:t>日</w:t>
            </w:r>
            <w:proofErr w:type="gramStart"/>
            <w:r>
              <w:t>—</w:t>
            </w:r>
            <w:r>
              <w:t>至今</w:t>
            </w:r>
            <w:proofErr w:type="gramEnd"/>
            <w:r>
              <w:t>)</w:t>
            </w:r>
            <w:r>
              <w:t>、博</w:t>
            </w:r>
            <w:proofErr w:type="gramStart"/>
            <w:r>
              <w:t>时裕顺纯债</w:t>
            </w:r>
            <w:proofErr w:type="gramEnd"/>
            <w:r>
              <w:t>债券型证券投资基金</w:t>
            </w:r>
            <w:r>
              <w:t>(2019</w:t>
            </w:r>
            <w:r>
              <w:t>年</w:t>
            </w:r>
            <w:r>
              <w:t>8</w:t>
            </w:r>
            <w:r>
              <w:t>月</w:t>
            </w:r>
            <w:r>
              <w:t>19</w:t>
            </w:r>
            <w:r>
              <w:t>日</w:t>
            </w:r>
            <w:r>
              <w:t>—</w:t>
            </w:r>
            <w:r>
              <w:t>至今</w:t>
            </w:r>
            <w:r>
              <w:t>)</w:t>
            </w:r>
            <w:r>
              <w:t>、博时安祺</w:t>
            </w:r>
            <w:r>
              <w:t>6</w:t>
            </w:r>
            <w:r>
              <w:t>个月定期开放债券型证券投资基金</w:t>
            </w:r>
            <w:r>
              <w:t>(2019</w:t>
            </w:r>
            <w:r>
              <w:t>年</w:t>
            </w:r>
            <w:r>
              <w:t>8</w:t>
            </w:r>
            <w:r>
              <w:t>月</w:t>
            </w:r>
            <w:r>
              <w:t>22</w:t>
            </w:r>
            <w:r>
              <w:t>日</w:t>
            </w:r>
            <w:r>
              <w:t>—</w:t>
            </w:r>
            <w:r>
              <w:t>至今</w:t>
            </w:r>
            <w:r>
              <w:t>)</w:t>
            </w:r>
            <w:r>
              <w:t>的基金经理。</w:t>
            </w:r>
          </w:p>
        </w:tc>
      </w:tr>
    </w:tbl>
    <w:p w:rsidR="00D50E87" w:rsidRPr="003531AD" w:rsidRDefault="004061AC" w:rsidP="00D50E87">
      <w:pPr>
        <w:pStyle w:val="aff5"/>
        <w:rPr>
          <w:rFonts w:ascii="Times New Roman" w:hAnsi="Times New Roman" w:cs="Times New Roman"/>
        </w:rPr>
      </w:pPr>
      <w:r w:rsidRPr="003531AD">
        <w:rPr>
          <w:rFonts w:ascii="Times New Roman" w:hAnsi="Times New Roman" w:cs="Times New Roman"/>
        </w:rPr>
        <w:lastRenderedPageBreak/>
        <w:t>注：上述任职日期、离任日期根据本基金管理人对外披露的任免日期填写。证券从业的含义遵从行业协会《证券业从业人员资格管理办法》的相关规定。</w:t>
      </w:r>
    </w:p>
    <w:p w:rsidR="004061AC" w:rsidRPr="003531AD" w:rsidRDefault="004061AC" w:rsidP="00CA6AE6">
      <w:pPr>
        <w:pStyle w:val="xx"/>
        <w:rPr>
          <w:rFonts w:ascii="Times New Roman" w:hAnsi="Times New Roman" w:cs="Times New Roman"/>
        </w:rPr>
      </w:pPr>
      <w:r w:rsidRPr="003531AD">
        <w:rPr>
          <w:rFonts w:ascii="Times New Roman" w:hAnsi="Times New Roman" w:cs="Times New Roman"/>
        </w:rPr>
        <w:t xml:space="preserve">4.2 </w:t>
      </w:r>
      <w:r w:rsidRPr="003531AD">
        <w:rPr>
          <w:rFonts w:ascii="Times New Roman" w:hAnsi="Times New Roman" w:cs="Times New Roman"/>
        </w:rPr>
        <w:t>管理人对报告期内本基金运作遵规守信情况的说明</w:t>
      </w:r>
    </w:p>
    <w:p w:rsidR="004061AC" w:rsidRPr="003531AD" w:rsidRDefault="004061AC" w:rsidP="00CA6AE6">
      <w:pPr>
        <w:pStyle w:val="new0"/>
        <w:rPr>
          <w:rFonts w:ascii="Times New Roman" w:hAnsi="Times New Roman" w:cs="Times New Roman"/>
        </w:rPr>
      </w:pPr>
      <w:r w:rsidRPr="003531AD">
        <w:rPr>
          <w:rFonts w:ascii="Times New Roman" w:hAnsi="Times New Roman" w:cs="Times New Roman"/>
        </w:rPr>
        <w:t>在本报告期内，本基金管理人严格遵循了《中华人民共和国证券投资基金法》及其各项实施细则、本</w:t>
      </w:r>
      <w:proofErr w:type="gramStart"/>
      <w:r w:rsidRPr="003531AD">
        <w:rPr>
          <w:rFonts w:ascii="Times New Roman" w:hAnsi="Times New Roman" w:cs="Times New Roman"/>
        </w:rPr>
        <w:t>基金基金</w:t>
      </w:r>
      <w:proofErr w:type="gramEnd"/>
      <w:r w:rsidRPr="003531AD">
        <w:rPr>
          <w:rFonts w:ascii="Times New Roman" w:hAnsi="Times New Roman" w:cs="Times New Roman"/>
        </w:rPr>
        <w:t>合同和其他相关法律法规的规定，并本着诚实信用、勤勉尽责、取信于市场、取信于社会的原则管理和运用基金资产，为基金持有人谋求最大利益。本报告期内，基金投资管理符合有关法规和基金合同的规定，没有损害基金持有人利益的行为。</w:t>
      </w:r>
    </w:p>
    <w:p w:rsidR="004061AC" w:rsidRPr="003531AD" w:rsidRDefault="004061AC" w:rsidP="00CA6AE6">
      <w:pPr>
        <w:pStyle w:val="xx"/>
        <w:rPr>
          <w:rFonts w:ascii="Times New Roman" w:hAnsi="Times New Roman" w:cs="Times New Roman"/>
        </w:rPr>
      </w:pPr>
      <w:r w:rsidRPr="003531AD">
        <w:rPr>
          <w:rFonts w:ascii="Times New Roman" w:hAnsi="Times New Roman" w:cs="Times New Roman"/>
        </w:rPr>
        <w:t xml:space="preserve">4.3 </w:t>
      </w:r>
      <w:r w:rsidRPr="003531AD">
        <w:rPr>
          <w:rFonts w:ascii="Times New Roman" w:hAnsi="Times New Roman" w:cs="Times New Roman"/>
        </w:rPr>
        <w:t>公平交易专项说明</w:t>
      </w:r>
    </w:p>
    <w:p w:rsidR="004061AC" w:rsidRPr="003531AD" w:rsidRDefault="004061AC" w:rsidP="00CA6AE6">
      <w:pPr>
        <w:pStyle w:val="41"/>
        <w:rPr>
          <w:rFonts w:ascii="Times New Roman" w:hAnsi="Times New Roman" w:cs="Times New Roman"/>
        </w:rPr>
      </w:pPr>
      <w:r w:rsidRPr="003531AD">
        <w:rPr>
          <w:rFonts w:ascii="Times New Roman" w:hAnsi="Times New Roman" w:cs="Times New Roman"/>
        </w:rPr>
        <w:t xml:space="preserve">4.3.1 </w:t>
      </w:r>
      <w:r w:rsidRPr="003531AD">
        <w:rPr>
          <w:rFonts w:ascii="Times New Roman" w:hAnsi="Times New Roman" w:cs="Times New Roman"/>
        </w:rPr>
        <w:t>公平交易制度的执行情况</w:t>
      </w:r>
    </w:p>
    <w:p w:rsidR="004061AC" w:rsidRPr="003531AD" w:rsidRDefault="004061AC" w:rsidP="00CA6AE6">
      <w:pPr>
        <w:pStyle w:val="new0"/>
        <w:rPr>
          <w:rFonts w:ascii="Times New Roman" w:hAnsi="Times New Roman" w:cs="Times New Roman"/>
        </w:rPr>
      </w:pPr>
      <w:r w:rsidRPr="003531AD">
        <w:rPr>
          <w:rFonts w:ascii="Times New Roman" w:hAnsi="Times New Roman" w:cs="Times New Roman"/>
        </w:rPr>
        <w:t>报告期内，本基金管理人严格执行了《证券投资基金管理公司公平交易制度指导意见》和公司制定的公平交易相关制度。</w:t>
      </w:r>
    </w:p>
    <w:p w:rsidR="004061AC" w:rsidRPr="003531AD" w:rsidRDefault="004061AC" w:rsidP="00CA6AE6">
      <w:pPr>
        <w:pStyle w:val="41"/>
        <w:rPr>
          <w:rFonts w:ascii="Times New Roman" w:hAnsi="Times New Roman" w:cs="Times New Roman"/>
        </w:rPr>
      </w:pPr>
      <w:r w:rsidRPr="003531AD">
        <w:rPr>
          <w:rFonts w:ascii="Times New Roman" w:hAnsi="Times New Roman" w:cs="Times New Roman"/>
        </w:rPr>
        <w:t xml:space="preserve">4.3.2 </w:t>
      </w:r>
      <w:r w:rsidRPr="003531AD">
        <w:rPr>
          <w:rFonts w:ascii="Times New Roman" w:hAnsi="Times New Roman" w:cs="Times New Roman"/>
        </w:rPr>
        <w:t>异常交易行为的专项说明</w:t>
      </w:r>
    </w:p>
    <w:p w:rsidR="004061AC" w:rsidRPr="003531AD" w:rsidRDefault="00957594" w:rsidP="00CA6AE6">
      <w:pPr>
        <w:pStyle w:val="new0"/>
        <w:rPr>
          <w:rFonts w:ascii="Times New Roman" w:hAnsi="Times New Roman" w:cs="Times New Roman"/>
        </w:rPr>
      </w:pPr>
      <w:r w:rsidRPr="003531AD">
        <w:rPr>
          <w:rFonts w:ascii="Times New Roman" w:hAnsi="Times New Roman" w:cs="Times New Roman"/>
        </w:rPr>
        <w:t>本报告期内，公司旗下所有投资组合参与的交易所公开竞价交易中，同日反向交易成交较少的单边交易量超过该证券当日成交量的</w:t>
      </w:r>
      <w:r w:rsidRPr="003531AD">
        <w:rPr>
          <w:rFonts w:ascii="Times New Roman" w:hAnsi="Times New Roman" w:cs="Times New Roman"/>
        </w:rPr>
        <w:t xml:space="preserve"> 5%</w:t>
      </w:r>
      <w:r w:rsidRPr="003531AD">
        <w:rPr>
          <w:rFonts w:ascii="Times New Roman" w:hAnsi="Times New Roman" w:cs="Times New Roman"/>
        </w:rPr>
        <w:t>的交易共</w:t>
      </w:r>
      <w:r w:rsidRPr="003531AD">
        <w:rPr>
          <w:rFonts w:ascii="Times New Roman" w:hAnsi="Times New Roman" w:cs="Times New Roman"/>
        </w:rPr>
        <w:t xml:space="preserve"> 52 </w:t>
      </w:r>
      <w:r w:rsidRPr="003531AD">
        <w:rPr>
          <w:rFonts w:ascii="Times New Roman" w:hAnsi="Times New Roman" w:cs="Times New Roman"/>
        </w:rPr>
        <w:t>次，均为指数量化投资</w:t>
      </w:r>
      <w:proofErr w:type="gramStart"/>
      <w:r w:rsidRPr="003531AD">
        <w:rPr>
          <w:rFonts w:ascii="Times New Roman" w:hAnsi="Times New Roman" w:cs="Times New Roman"/>
        </w:rPr>
        <w:t>组合因</w:t>
      </w:r>
      <w:proofErr w:type="gramEnd"/>
      <w:r w:rsidRPr="003531AD">
        <w:rPr>
          <w:rFonts w:ascii="Times New Roman" w:hAnsi="Times New Roman" w:cs="Times New Roman"/>
        </w:rPr>
        <w:t>投资策略需要和其他组合发生的反向交易。本报告期内，未发现本基金有可能导致不公平交易和利益输送的异常交易。</w:t>
      </w:r>
    </w:p>
    <w:p w:rsidR="004061AC" w:rsidRPr="003531AD" w:rsidRDefault="00420B9E" w:rsidP="00CA6AE6">
      <w:pPr>
        <w:pStyle w:val="xx"/>
        <w:rPr>
          <w:rFonts w:ascii="Times New Roman" w:hAnsi="Times New Roman" w:cs="Times New Roman"/>
        </w:rPr>
      </w:pPr>
      <w:r w:rsidRPr="003531AD">
        <w:rPr>
          <w:rFonts w:ascii="Times New Roman" w:hAnsi="Times New Roman" w:cs="Times New Roman"/>
        </w:rPr>
        <w:t>4.4</w:t>
      </w:r>
      <w:r w:rsidR="00321311" w:rsidRPr="003531AD">
        <w:rPr>
          <w:rFonts w:ascii="Times New Roman" w:hAnsi="Times New Roman" w:cs="Times New Roman"/>
        </w:rPr>
        <w:t xml:space="preserve"> </w:t>
      </w:r>
      <w:r w:rsidR="00A82627" w:rsidRPr="003531AD">
        <w:rPr>
          <w:rFonts w:ascii="Times New Roman" w:hAnsi="Times New Roman" w:cs="Times New Roman"/>
        </w:rPr>
        <w:t>报告期内基金投资策略和运作分析</w:t>
      </w:r>
    </w:p>
    <w:p w:rsidR="008729F7" w:rsidRDefault="00DC7FED">
      <w:pPr>
        <w:pStyle w:val="new0"/>
        <w:rPr>
          <w:rFonts w:ascii="Times New Roman" w:hAnsi="Times New Roman" w:cs="Times New Roman"/>
        </w:rPr>
      </w:pPr>
      <w:r>
        <w:rPr>
          <w:rFonts w:ascii="Times New Roman" w:hAnsi="Times New Roman" w:cs="Times New Roman"/>
        </w:rPr>
        <w:t>四季度，债券市场收益率先扬后抑，整体陡峭化下行。</w:t>
      </w:r>
      <w:r>
        <w:rPr>
          <w:rFonts w:ascii="Times New Roman" w:hAnsi="Times New Roman" w:cs="Times New Roman"/>
        </w:rPr>
        <w:t>10</w:t>
      </w:r>
      <w:r>
        <w:rPr>
          <w:rFonts w:ascii="Times New Roman" w:hAnsi="Times New Roman" w:cs="Times New Roman"/>
        </w:rPr>
        <w:t>月，猪价大幅上涨，引发市场对通胀预期可能大幅超预期的担忧，收益率持续大幅上行；至</w:t>
      </w:r>
      <w:r>
        <w:rPr>
          <w:rFonts w:ascii="Times New Roman" w:hAnsi="Times New Roman" w:cs="Times New Roman"/>
        </w:rPr>
        <w:t>11</w:t>
      </w:r>
      <w:r>
        <w:rPr>
          <w:rFonts w:ascii="Times New Roman" w:hAnsi="Times New Roman" w:cs="Times New Roman"/>
        </w:rPr>
        <w:t>月，央行降息、通胀影响边际减弱，</w:t>
      </w:r>
      <w:r>
        <w:rPr>
          <w:rFonts w:ascii="Times New Roman" w:hAnsi="Times New Roman" w:cs="Times New Roman"/>
        </w:rPr>
        <w:t>12</w:t>
      </w:r>
      <w:r>
        <w:rPr>
          <w:rFonts w:ascii="Times New Roman" w:hAnsi="Times New Roman" w:cs="Times New Roman"/>
        </w:rPr>
        <w:t>月央行呵护下年末流动性泛滥、配置需求旺盛，收益率也一路下行，</w:t>
      </w:r>
      <w:r>
        <w:rPr>
          <w:rFonts w:ascii="Times New Roman" w:hAnsi="Times New Roman" w:cs="Times New Roman"/>
        </w:rPr>
        <w:t>10</w:t>
      </w:r>
      <w:r>
        <w:rPr>
          <w:rFonts w:ascii="Times New Roman" w:hAnsi="Times New Roman" w:cs="Times New Roman"/>
        </w:rPr>
        <w:t>年国开下行至</w:t>
      </w:r>
      <w:r>
        <w:rPr>
          <w:rFonts w:ascii="Times New Roman" w:hAnsi="Times New Roman" w:cs="Times New Roman"/>
        </w:rPr>
        <w:t>3.68%</w:t>
      </w:r>
      <w:r>
        <w:rPr>
          <w:rFonts w:ascii="Times New Roman" w:hAnsi="Times New Roman" w:cs="Times New Roman"/>
        </w:rPr>
        <w:t>，短</w:t>
      </w:r>
      <w:proofErr w:type="gramStart"/>
      <w:r>
        <w:rPr>
          <w:rFonts w:ascii="Times New Roman" w:hAnsi="Times New Roman" w:cs="Times New Roman"/>
        </w:rPr>
        <w:t>端更是</w:t>
      </w:r>
      <w:proofErr w:type="gramEnd"/>
      <w:r>
        <w:rPr>
          <w:rFonts w:ascii="Times New Roman" w:hAnsi="Times New Roman" w:cs="Times New Roman"/>
        </w:rPr>
        <w:t>在宽松流动性推动下创年内新低，曲线牛陡。从指数看，</w:t>
      </w:r>
      <w:proofErr w:type="gramStart"/>
      <w:r>
        <w:rPr>
          <w:rFonts w:ascii="Times New Roman" w:hAnsi="Times New Roman" w:cs="Times New Roman"/>
        </w:rPr>
        <w:t>中债总财富</w:t>
      </w:r>
      <w:proofErr w:type="gramEnd"/>
      <w:r>
        <w:rPr>
          <w:rFonts w:ascii="Times New Roman" w:hAnsi="Times New Roman" w:cs="Times New Roman"/>
        </w:rPr>
        <w:t>指数上涨</w:t>
      </w:r>
      <w:r>
        <w:rPr>
          <w:rFonts w:ascii="Times New Roman" w:hAnsi="Times New Roman" w:cs="Times New Roman"/>
        </w:rPr>
        <w:t>1.43</w:t>
      </w:r>
      <w:r>
        <w:rPr>
          <w:rFonts w:ascii="Times New Roman" w:hAnsi="Times New Roman" w:cs="Times New Roman"/>
        </w:rPr>
        <w:t>％，中债国债总财富指数上涨</w:t>
      </w:r>
      <w:r>
        <w:rPr>
          <w:rFonts w:ascii="Times New Roman" w:hAnsi="Times New Roman" w:cs="Times New Roman"/>
        </w:rPr>
        <w:t>1.38</w:t>
      </w:r>
      <w:r>
        <w:rPr>
          <w:rFonts w:ascii="Times New Roman" w:hAnsi="Times New Roman" w:cs="Times New Roman"/>
        </w:rPr>
        <w:t>％，中</w:t>
      </w:r>
      <w:proofErr w:type="gramStart"/>
      <w:r>
        <w:rPr>
          <w:rFonts w:ascii="Times New Roman" w:hAnsi="Times New Roman" w:cs="Times New Roman"/>
        </w:rPr>
        <w:t>债企业债总</w:t>
      </w:r>
      <w:proofErr w:type="gramEnd"/>
      <w:r>
        <w:rPr>
          <w:rFonts w:ascii="Times New Roman" w:hAnsi="Times New Roman" w:cs="Times New Roman"/>
        </w:rPr>
        <w:t>财富指数上张了</w:t>
      </w:r>
      <w:r>
        <w:rPr>
          <w:rFonts w:ascii="Times New Roman" w:hAnsi="Times New Roman" w:cs="Times New Roman"/>
        </w:rPr>
        <w:t>1.46</w:t>
      </w:r>
      <w:r>
        <w:rPr>
          <w:rFonts w:ascii="Times New Roman" w:hAnsi="Times New Roman" w:cs="Times New Roman"/>
        </w:rPr>
        <w:t>％，中债</w:t>
      </w:r>
      <w:proofErr w:type="gramStart"/>
      <w:r>
        <w:rPr>
          <w:rFonts w:ascii="Times New Roman" w:hAnsi="Times New Roman" w:cs="Times New Roman"/>
        </w:rPr>
        <w:t>短融总</w:t>
      </w:r>
      <w:proofErr w:type="gramEnd"/>
      <w:r>
        <w:rPr>
          <w:rFonts w:ascii="Times New Roman" w:hAnsi="Times New Roman" w:cs="Times New Roman"/>
        </w:rPr>
        <w:t>财富指数上涨了</w:t>
      </w:r>
      <w:r>
        <w:rPr>
          <w:rFonts w:ascii="Times New Roman" w:hAnsi="Times New Roman" w:cs="Times New Roman"/>
        </w:rPr>
        <w:t>0.85</w:t>
      </w:r>
      <w:r>
        <w:rPr>
          <w:rFonts w:ascii="Times New Roman" w:hAnsi="Times New Roman" w:cs="Times New Roman"/>
        </w:rPr>
        <w:t>％。</w:t>
      </w:r>
    </w:p>
    <w:p w:rsidR="008729F7" w:rsidRDefault="00DC7FED">
      <w:pPr>
        <w:pStyle w:val="new0"/>
        <w:rPr>
          <w:rFonts w:ascii="Times New Roman" w:hAnsi="Times New Roman" w:cs="Times New Roman"/>
        </w:rPr>
      </w:pPr>
      <w:r>
        <w:rPr>
          <w:rFonts w:ascii="Times New Roman" w:hAnsi="Times New Roman" w:cs="Times New Roman"/>
        </w:rPr>
        <w:lastRenderedPageBreak/>
        <w:t>四季度，本基金基于对市场中性预期，保持</w:t>
      </w:r>
      <w:proofErr w:type="gramStart"/>
      <w:r>
        <w:rPr>
          <w:rFonts w:ascii="Times New Roman" w:hAnsi="Times New Roman" w:cs="Times New Roman"/>
        </w:rPr>
        <w:t>中等久期</w:t>
      </w:r>
      <w:proofErr w:type="gramEnd"/>
      <w:r>
        <w:rPr>
          <w:rFonts w:ascii="Times New Roman" w:hAnsi="Times New Roman" w:cs="Times New Roman"/>
        </w:rPr>
        <w:t>和适度杠杆的操作。</w:t>
      </w:r>
    </w:p>
    <w:p w:rsidR="008729F7" w:rsidRDefault="00DC7FED">
      <w:pPr>
        <w:pStyle w:val="new0"/>
        <w:rPr>
          <w:rFonts w:ascii="Times New Roman" w:hAnsi="Times New Roman" w:cs="Times New Roman"/>
        </w:rPr>
      </w:pPr>
      <w:r>
        <w:rPr>
          <w:rFonts w:ascii="Times New Roman" w:hAnsi="Times New Roman" w:cs="Times New Roman"/>
        </w:rPr>
        <w:t>中长期看，货币政策及基本面仍对债市有一定支撑。本轮逆周期调控对地产板块保持了极强的定力，融资渠道全面</w:t>
      </w:r>
      <w:proofErr w:type="gramStart"/>
      <w:r>
        <w:rPr>
          <w:rFonts w:ascii="Times New Roman" w:hAnsi="Times New Roman" w:cs="Times New Roman"/>
        </w:rPr>
        <w:t>收紧仍</w:t>
      </w:r>
      <w:proofErr w:type="gramEnd"/>
      <w:r>
        <w:rPr>
          <w:rFonts w:ascii="Times New Roman" w:hAnsi="Times New Roman" w:cs="Times New Roman"/>
        </w:rPr>
        <w:t>将对地产投资产生较大压力；工业企业利润持续低迷，企业难有大幅扩张的内生动力，制造业投资预计低位徘徊，难见明显反弹；基建投资在</w:t>
      </w:r>
      <w:proofErr w:type="gramStart"/>
      <w:r>
        <w:rPr>
          <w:rFonts w:ascii="Times New Roman" w:hAnsi="Times New Roman" w:cs="Times New Roman"/>
        </w:rPr>
        <w:t>不</w:t>
      </w:r>
      <w:proofErr w:type="gramEnd"/>
      <w:r>
        <w:rPr>
          <w:rFonts w:ascii="Times New Roman" w:hAnsi="Times New Roman" w:cs="Times New Roman"/>
        </w:rPr>
        <w:t>新增隐性债务前提下，难以全面发力，更多是</w:t>
      </w:r>
      <w:r>
        <w:rPr>
          <w:rFonts w:ascii="Times New Roman" w:hAnsi="Times New Roman" w:cs="Times New Roman"/>
        </w:rPr>
        <w:t>“</w:t>
      </w:r>
      <w:r>
        <w:rPr>
          <w:rFonts w:ascii="Times New Roman" w:hAnsi="Times New Roman" w:cs="Times New Roman"/>
        </w:rPr>
        <w:t>托而不举</w:t>
      </w:r>
      <w:r>
        <w:rPr>
          <w:rFonts w:ascii="Times New Roman" w:hAnsi="Times New Roman" w:cs="Times New Roman"/>
        </w:rPr>
        <w:t>”</w:t>
      </w:r>
      <w:r>
        <w:rPr>
          <w:rFonts w:ascii="Times New Roman" w:hAnsi="Times New Roman" w:cs="Times New Roman"/>
        </w:rPr>
        <w:t>的效果。因此，基本面数据短期虽有改善，但难见明显复苏，后续可能仍有反复。货币政策方面，央行货币政策执行报告删除</w:t>
      </w:r>
      <w:r>
        <w:rPr>
          <w:rFonts w:ascii="Times New Roman" w:hAnsi="Times New Roman" w:cs="Times New Roman"/>
        </w:rPr>
        <w:t>“</w:t>
      </w:r>
      <w:r>
        <w:rPr>
          <w:rFonts w:ascii="Times New Roman" w:hAnsi="Times New Roman" w:cs="Times New Roman"/>
        </w:rPr>
        <w:t>总闸门表述</w:t>
      </w:r>
      <w:r>
        <w:rPr>
          <w:rFonts w:ascii="Times New Roman" w:hAnsi="Times New Roman" w:cs="Times New Roman"/>
        </w:rPr>
        <w:t>”</w:t>
      </w:r>
      <w:r>
        <w:rPr>
          <w:rFonts w:ascii="Times New Roman" w:hAnsi="Times New Roman" w:cs="Times New Roman"/>
        </w:rPr>
        <w:t>，在实际操作上，调降</w:t>
      </w:r>
      <w:r>
        <w:rPr>
          <w:rFonts w:ascii="Times New Roman" w:hAnsi="Times New Roman" w:cs="Times New Roman"/>
        </w:rPr>
        <w:t>MLF</w:t>
      </w:r>
      <w:r>
        <w:rPr>
          <w:rFonts w:ascii="Times New Roman" w:hAnsi="Times New Roman" w:cs="Times New Roman"/>
        </w:rPr>
        <w:t>以及</w:t>
      </w:r>
      <w:r>
        <w:rPr>
          <w:rFonts w:ascii="Times New Roman" w:hAnsi="Times New Roman" w:cs="Times New Roman"/>
        </w:rPr>
        <w:t>OMO</w:t>
      </w:r>
      <w:r>
        <w:rPr>
          <w:rFonts w:ascii="Times New Roman" w:hAnsi="Times New Roman" w:cs="Times New Roman"/>
        </w:rPr>
        <w:t>利率，大幅投放呵护年末资金面，均表明</w:t>
      </w:r>
      <w:proofErr w:type="gramStart"/>
      <w:r>
        <w:rPr>
          <w:rFonts w:ascii="Times New Roman" w:hAnsi="Times New Roman" w:cs="Times New Roman"/>
        </w:rPr>
        <w:t>稳增长</w:t>
      </w:r>
      <w:proofErr w:type="gramEnd"/>
      <w:r>
        <w:rPr>
          <w:rFonts w:ascii="Times New Roman" w:hAnsi="Times New Roman" w:cs="Times New Roman"/>
        </w:rPr>
        <w:t>及降低实体融资成本，目前依然是央行最重要的目标，货币政策仍将维持相对宽松。</w:t>
      </w:r>
    </w:p>
    <w:p w:rsidR="008729F7" w:rsidRDefault="00DC7FED">
      <w:pPr>
        <w:pStyle w:val="new0"/>
        <w:rPr>
          <w:rFonts w:ascii="Times New Roman" w:hAnsi="Times New Roman" w:cs="Times New Roman"/>
        </w:rPr>
      </w:pPr>
      <w:r>
        <w:rPr>
          <w:rFonts w:ascii="Times New Roman" w:hAnsi="Times New Roman" w:cs="Times New Roman"/>
        </w:rPr>
        <w:t>但短期看，债市也面临一定的压力。首先，地方债前置发行，去年末债市供给不足的情况可能发生逆转。其次，市场对于一月份宽松预期过于一致，一旦宽松程度不达预期，市场面临较大回调风险。最后，权益市场估值处于低位，实际利率的下行对权益市场的提</w:t>
      </w:r>
      <w:proofErr w:type="gramStart"/>
      <w:r>
        <w:rPr>
          <w:rFonts w:ascii="Times New Roman" w:hAnsi="Times New Roman" w:cs="Times New Roman"/>
        </w:rPr>
        <w:t>振可能</w:t>
      </w:r>
      <w:proofErr w:type="gramEnd"/>
      <w:r>
        <w:rPr>
          <w:rFonts w:ascii="Times New Roman" w:hAnsi="Times New Roman" w:cs="Times New Roman"/>
        </w:rPr>
        <w:t>更大于债券市场。风险偏好的提升可能对债市形成压制。</w:t>
      </w:r>
    </w:p>
    <w:p w:rsidR="004061AC" w:rsidRPr="003531AD" w:rsidRDefault="00DC7FED" w:rsidP="00CA6AE6">
      <w:pPr>
        <w:pStyle w:val="new0"/>
        <w:rPr>
          <w:rFonts w:ascii="Times New Roman" w:hAnsi="Times New Roman" w:cs="Times New Roman"/>
        </w:rPr>
      </w:pPr>
      <w:r>
        <w:rPr>
          <w:rFonts w:ascii="Times New Roman" w:hAnsi="Times New Roman" w:cs="Times New Roman"/>
        </w:rPr>
        <w:t>本组合遵循稳健投资理念，策略上积极主动，思路上开放灵活，维持</w:t>
      </w:r>
      <w:proofErr w:type="gramStart"/>
      <w:r>
        <w:rPr>
          <w:rFonts w:ascii="Times New Roman" w:hAnsi="Times New Roman" w:cs="Times New Roman"/>
        </w:rPr>
        <w:t>适度久期优质</w:t>
      </w:r>
      <w:proofErr w:type="gramEnd"/>
      <w:r>
        <w:rPr>
          <w:rFonts w:ascii="Times New Roman" w:hAnsi="Times New Roman" w:cs="Times New Roman"/>
        </w:rPr>
        <w:t>债券配置策略，在流动性宽松预期下保持中高杠杆操作，适度参与市场交易波段操作。</w:t>
      </w:r>
      <w:r w:rsidR="004061AC" w:rsidRPr="003531AD">
        <w:rPr>
          <w:rFonts w:ascii="Times New Roman" w:hAnsi="Times New Roman" w:cs="Times New Roman"/>
        </w:rPr>
        <w:t xml:space="preserve"> </w:t>
      </w:r>
    </w:p>
    <w:p w:rsidR="00420B9E" w:rsidRPr="003531AD" w:rsidRDefault="00420B9E" w:rsidP="00CA6AE6">
      <w:pPr>
        <w:pStyle w:val="xx"/>
        <w:rPr>
          <w:rFonts w:ascii="Times New Roman" w:hAnsi="Times New Roman" w:cs="Times New Roman"/>
        </w:rPr>
      </w:pPr>
      <w:r w:rsidRPr="003531AD">
        <w:rPr>
          <w:rFonts w:ascii="Times New Roman" w:hAnsi="Times New Roman" w:cs="Times New Roman"/>
        </w:rPr>
        <w:t xml:space="preserve">4.5 </w:t>
      </w:r>
      <w:r w:rsidRPr="003531AD">
        <w:rPr>
          <w:rFonts w:ascii="Times New Roman" w:hAnsi="Times New Roman" w:cs="Times New Roman"/>
        </w:rPr>
        <w:t>报告期内基金的业绩表现</w:t>
      </w:r>
    </w:p>
    <w:p w:rsidR="009C5186" w:rsidRPr="003531AD" w:rsidRDefault="004061AC" w:rsidP="00CA6AE6">
      <w:pPr>
        <w:pStyle w:val="new0"/>
        <w:rPr>
          <w:rFonts w:ascii="Times New Roman" w:hAnsi="Times New Roman" w:cs="Times New Roman"/>
        </w:rPr>
      </w:pPr>
      <w:r w:rsidRPr="003531AD">
        <w:rPr>
          <w:rFonts w:ascii="Times New Roman" w:hAnsi="Times New Roman" w:cs="Times New Roman"/>
        </w:rPr>
        <w:t>截至</w:t>
      </w:r>
      <w:r w:rsidRPr="003531AD">
        <w:rPr>
          <w:rFonts w:ascii="Times New Roman" w:hAnsi="Times New Roman" w:cs="Times New Roman"/>
        </w:rPr>
        <w:t>2019</w:t>
      </w:r>
      <w:r w:rsidRPr="003531AD">
        <w:rPr>
          <w:rFonts w:ascii="Times New Roman" w:hAnsi="Times New Roman" w:cs="Times New Roman"/>
        </w:rPr>
        <w:t>年</w:t>
      </w:r>
      <w:r w:rsidRPr="003531AD">
        <w:rPr>
          <w:rFonts w:ascii="Times New Roman" w:hAnsi="Times New Roman" w:cs="Times New Roman"/>
        </w:rPr>
        <w:t>12</w:t>
      </w:r>
      <w:r w:rsidRPr="003531AD">
        <w:rPr>
          <w:rFonts w:ascii="Times New Roman" w:hAnsi="Times New Roman" w:cs="Times New Roman"/>
        </w:rPr>
        <w:t>月</w:t>
      </w:r>
      <w:r w:rsidRPr="003531AD">
        <w:rPr>
          <w:rFonts w:ascii="Times New Roman" w:hAnsi="Times New Roman" w:cs="Times New Roman"/>
        </w:rPr>
        <w:t>31</w:t>
      </w:r>
      <w:r w:rsidRPr="003531AD">
        <w:rPr>
          <w:rFonts w:ascii="Times New Roman" w:hAnsi="Times New Roman" w:cs="Times New Roman"/>
        </w:rPr>
        <w:t>日，本</w:t>
      </w:r>
      <w:proofErr w:type="gramStart"/>
      <w:r w:rsidRPr="003531AD">
        <w:rPr>
          <w:rFonts w:ascii="Times New Roman" w:hAnsi="Times New Roman" w:cs="Times New Roman"/>
        </w:rPr>
        <w:t>基金基金</w:t>
      </w:r>
      <w:proofErr w:type="gramEnd"/>
      <w:r w:rsidRPr="003531AD">
        <w:rPr>
          <w:rFonts w:ascii="Times New Roman" w:hAnsi="Times New Roman" w:cs="Times New Roman"/>
        </w:rPr>
        <w:t>份额净值为</w:t>
      </w:r>
      <w:r w:rsidRPr="003531AD">
        <w:rPr>
          <w:rFonts w:ascii="Times New Roman" w:hAnsi="Times New Roman" w:cs="Times New Roman"/>
        </w:rPr>
        <w:t>1.0469</w:t>
      </w:r>
      <w:r w:rsidRPr="003531AD">
        <w:rPr>
          <w:rFonts w:ascii="Times New Roman" w:hAnsi="Times New Roman" w:cs="Times New Roman"/>
        </w:rPr>
        <w:t>元，份额累计净值为</w:t>
      </w:r>
      <w:r w:rsidRPr="003531AD">
        <w:rPr>
          <w:rFonts w:ascii="Times New Roman" w:hAnsi="Times New Roman" w:cs="Times New Roman"/>
        </w:rPr>
        <w:t>1.1295</w:t>
      </w:r>
      <w:r w:rsidRPr="003531AD">
        <w:rPr>
          <w:rFonts w:ascii="Times New Roman" w:hAnsi="Times New Roman" w:cs="Times New Roman"/>
        </w:rPr>
        <w:t>元。报告期内，本</w:t>
      </w:r>
      <w:proofErr w:type="gramStart"/>
      <w:r w:rsidRPr="003531AD">
        <w:rPr>
          <w:rFonts w:ascii="Times New Roman" w:hAnsi="Times New Roman" w:cs="Times New Roman"/>
        </w:rPr>
        <w:t>基金基金</w:t>
      </w:r>
      <w:proofErr w:type="gramEnd"/>
      <w:r w:rsidRPr="003531AD">
        <w:rPr>
          <w:rFonts w:ascii="Times New Roman" w:hAnsi="Times New Roman" w:cs="Times New Roman"/>
        </w:rPr>
        <w:t>份额净值增长率为</w:t>
      </w:r>
      <w:r w:rsidRPr="003531AD">
        <w:rPr>
          <w:rFonts w:ascii="Times New Roman" w:hAnsi="Times New Roman" w:cs="Times New Roman"/>
        </w:rPr>
        <w:t>1.14%</w:t>
      </w:r>
      <w:r w:rsidRPr="003531AD">
        <w:rPr>
          <w:rFonts w:ascii="Times New Roman" w:hAnsi="Times New Roman" w:cs="Times New Roman"/>
        </w:rPr>
        <w:t>，同期业绩基准增长率</w:t>
      </w:r>
      <w:r w:rsidRPr="003531AD">
        <w:rPr>
          <w:rFonts w:ascii="Times New Roman" w:hAnsi="Times New Roman" w:cs="Times New Roman"/>
        </w:rPr>
        <w:t>1.21%</w:t>
      </w:r>
      <w:r w:rsidRPr="003531AD">
        <w:rPr>
          <w:rFonts w:ascii="Times New Roman" w:hAnsi="Times New Roman" w:cs="Times New Roman"/>
        </w:rPr>
        <w:t>。</w:t>
      </w:r>
    </w:p>
    <w:p w:rsidR="00A04F76" w:rsidRPr="003531AD" w:rsidRDefault="006360DC" w:rsidP="00CA6AE6">
      <w:pPr>
        <w:pStyle w:val="xx"/>
        <w:rPr>
          <w:rFonts w:ascii="Times New Roman" w:hAnsi="Times New Roman" w:cs="Times New Roman"/>
        </w:rPr>
      </w:pPr>
      <w:r w:rsidRPr="003531AD">
        <w:rPr>
          <w:rFonts w:ascii="Times New Roman" w:hAnsi="Times New Roman" w:cs="Times New Roman"/>
        </w:rPr>
        <w:t>4.6</w:t>
      </w:r>
      <w:r w:rsidR="00321311" w:rsidRPr="003531AD">
        <w:rPr>
          <w:rFonts w:ascii="Times New Roman" w:hAnsi="Times New Roman" w:cs="Times New Roman"/>
        </w:rPr>
        <w:t xml:space="preserve"> </w:t>
      </w:r>
      <w:r w:rsidR="00A04F76" w:rsidRPr="003531AD">
        <w:rPr>
          <w:rFonts w:ascii="Times New Roman" w:hAnsi="Times New Roman" w:cs="Times New Roman"/>
        </w:rPr>
        <w:t>报告期内基金持有人数或基金资产净值预警说明</w:t>
      </w:r>
    </w:p>
    <w:p w:rsidR="00A04F76" w:rsidRPr="003531AD" w:rsidRDefault="00A04F76" w:rsidP="00CA6AE6">
      <w:pPr>
        <w:pStyle w:val="new0"/>
        <w:rPr>
          <w:rFonts w:ascii="Times New Roman" w:hAnsi="Times New Roman" w:cs="Times New Roman"/>
        </w:rPr>
      </w:pPr>
      <w:r w:rsidRPr="003531AD">
        <w:rPr>
          <w:rFonts w:ascii="Times New Roman" w:hAnsi="Times New Roman" w:cs="Times New Roman"/>
        </w:rPr>
        <w:t>无。</w:t>
      </w:r>
    </w:p>
    <w:p w:rsidR="004061AC" w:rsidRPr="003531AD" w:rsidRDefault="004061AC" w:rsidP="00CA6AE6">
      <w:pPr>
        <w:pStyle w:val="2"/>
        <w:ind w:left="210" w:right="210"/>
        <w:rPr>
          <w:rFonts w:ascii="Times New Roman" w:hAnsi="Times New Roman" w:cs="Times New Roman"/>
        </w:rPr>
      </w:pPr>
      <w:r w:rsidRPr="003531AD">
        <w:rPr>
          <w:rFonts w:ascii="Times New Roman" w:hAnsi="Times New Roman" w:cs="Times New Roman"/>
        </w:rPr>
        <w:t>§</w:t>
      </w:r>
      <w:r w:rsidR="001C0993" w:rsidRPr="003531AD">
        <w:rPr>
          <w:rFonts w:ascii="Times New Roman" w:hAnsi="Times New Roman" w:cs="Times New Roman"/>
        </w:rPr>
        <w:t>5</w:t>
      </w:r>
      <w:r w:rsidRPr="003531AD">
        <w:rPr>
          <w:rFonts w:ascii="Times New Roman" w:hAnsi="Times New Roman" w:cs="Times New Roman"/>
        </w:rPr>
        <w:t xml:space="preserve">  </w:t>
      </w:r>
      <w:r w:rsidRPr="003531AD">
        <w:rPr>
          <w:rFonts w:ascii="Times New Roman" w:hAnsi="Times New Roman" w:cs="Times New Roman"/>
        </w:rPr>
        <w:t>投资组合报告</w:t>
      </w:r>
    </w:p>
    <w:p w:rsidR="004061AC" w:rsidRPr="003531AD" w:rsidRDefault="004061AC" w:rsidP="00CA6AE6">
      <w:pPr>
        <w:pStyle w:val="xx"/>
        <w:rPr>
          <w:rFonts w:ascii="Times New Roman" w:hAnsi="Times New Roman" w:cs="Times New Roman"/>
        </w:rPr>
      </w:pPr>
      <w:r w:rsidRPr="003531AD">
        <w:rPr>
          <w:rFonts w:ascii="Times New Roman" w:hAnsi="Times New Roman" w:cs="Times New Roman"/>
        </w:rPr>
        <w:t xml:space="preserve">5.1 </w:t>
      </w:r>
      <w:r w:rsidRPr="003531AD">
        <w:rPr>
          <w:rFonts w:ascii="Times New Roman" w:hAnsi="Times New Roman" w:cs="Times New Roman"/>
        </w:rPr>
        <w:t>报告期末基金资产组合情况</w:t>
      </w:r>
    </w:p>
    <w:tbl>
      <w:tblPr>
        <w:tblStyle w:val="af7"/>
        <w:tblW w:w="5000" w:type="pct"/>
        <w:jc w:val="center"/>
        <w:tblLayout w:type="fixed"/>
        <w:tblLook w:val="04A0" w:firstRow="1" w:lastRow="0" w:firstColumn="1" w:lastColumn="0" w:noHBand="0" w:noVBand="1"/>
      </w:tblPr>
      <w:tblGrid>
        <w:gridCol w:w="733"/>
        <w:gridCol w:w="3840"/>
        <w:gridCol w:w="2217"/>
        <w:gridCol w:w="2496"/>
      </w:tblGrid>
      <w:tr w:rsidR="00220C32" w:rsidRPr="00F93912" w:rsidTr="005E0774">
        <w:trPr>
          <w:jc w:val="center"/>
        </w:trPr>
        <w:tc>
          <w:tcPr>
            <w:tcW w:w="717" w:type="dxa"/>
            <w:vAlign w:val="center"/>
          </w:tcPr>
          <w:p w:rsidR="00853140" w:rsidRPr="00F93912" w:rsidRDefault="00853140" w:rsidP="00F93912">
            <w:pPr>
              <w:ind w:firstLine="0"/>
            </w:pPr>
            <w:r w:rsidRPr="00F93912">
              <w:t>序号</w:t>
            </w:r>
          </w:p>
        </w:tc>
        <w:tc>
          <w:tcPr>
            <w:tcW w:w="3757" w:type="dxa"/>
            <w:vAlign w:val="center"/>
          </w:tcPr>
          <w:p w:rsidR="00853140" w:rsidRPr="00F93912" w:rsidRDefault="00853140" w:rsidP="00F93912">
            <w:pPr>
              <w:ind w:firstLine="0"/>
              <w:jc w:val="center"/>
            </w:pPr>
            <w:r w:rsidRPr="00F93912">
              <w:t>项目</w:t>
            </w:r>
          </w:p>
        </w:tc>
        <w:tc>
          <w:tcPr>
            <w:tcW w:w="2169" w:type="dxa"/>
            <w:vAlign w:val="center"/>
          </w:tcPr>
          <w:p w:rsidR="00853140" w:rsidRPr="00F93912" w:rsidRDefault="00853140" w:rsidP="00F93912">
            <w:pPr>
              <w:ind w:firstLine="0"/>
              <w:jc w:val="center"/>
            </w:pPr>
            <w:r w:rsidRPr="00F93912">
              <w:t>金额</w:t>
            </w:r>
            <w:r w:rsidR="00D57B7C" w:rsidRPr="00F93912">
              <w:t>(</w:t>
            </w:r>
            <w:r w:rsidRPr="00F93912">
              <w:t>元</w:t>
            </w:r>
            <w:r w:rsidR="00D57B7C" w:rsidRPr="00F93912">
              <w:t>)</w:t>
            </w:r>
          </w:p>
        </w:tc>
        <w:tc>
          <w:tcPr>
            <w:tcW w:w="2442" w:type="dxa"/>
            <w:vAlign w:val="center"/>
          </w:tcPr>
          <w:p w:rsidR="00853140" w:rsidRPr="00F93912" w:rsidRDefault="00853140" w:rsidP="00F93912">
            <w:pPr>
              <w:ind w:firstLine="0"/>
              <w:jc w:val="center"/>
            </w:pPr>
            <w:r w:rsidRPr="00F93912">
              <w:t>占基金总资产的比例</w:t>
            </w:r>
            <w:r w:rsidR="00D57B7C" w:rsidRPr="00F93912">
              <w:t>(</w:t>
            </w:r>
            <w:r w:rsidRPr="00F93912">
              <w:t>%</w:t>
            </w:r>
            <w:r w:rsidR="00D57B7C" w:rsidRPr="00F93912">
              <w:t>)</w:t>
            </w:r>
          </w:p>
        </w:tc>
      </w:tr>
      <w:tr w:rsidR="00220C32" w:rsidRPr="00F93912" w:rsidTr="005E0774">
        <w:trPr>
          <w:jc w:val="center"/>
        </w:trPr>
        <w:tc>
          <w:tcPr>
            <w:tcW w:w="717" w:type="dxa"/>
            <w:vAlign w:val="center"/>
          </w:tcPr>
          <w:p w:rsidR="00853140" w:rsidRPr="00F93912" w:rsidRDefault="00853140" w:rsidP="00F93912">
            <w:pPr>
              <w:ind w:firstLine="0"/>
              <w:jc w:val="center"/>
            </w:pPr>
            <w:r w:rsidRPr="00F93912">
              <w:t>1</w:t>
            </w:r>
          </w:p>
        </w:tc>
        <w:tc>
          <w:tcPr>
            <w:tcW w:w="3757" w:type="dxa"/>
            <w:vAlign w:val="center"/>
          </w:tcPr>
          <w:p w:rsidR="00853140" w:rsidRPr="00F93912" w:rsidRDefault="00853140" w:rsidP="00F93912">
            <w:pPr>
              <w:ind w:firstLine="0"/>
            </w:pPr>
            <w:r w:rsidRPr="00F93912">
              <w:t>权益投资</w:t>
            </w:r>
          </w:p>
        </w:tc>
        <w:tc>
          <w:tcPr>
            <w:tcW w:w="2169" w:type="dxa"/>
            <w:vAlign w:val="center"/>
          </w:tcPr>
          <w:p w:rsidR="00853140" w:rsidRPr="00F93912" w:rsidRDefault="00C77AEF" w:rsidP="00F93912">
            <w:pPr>
              <w:ind w:firstLine="0"/>
              <w:jc w:val="right"/>
            </w:pPr>
            <w:r w:rsidRPr="00F93912">
              <w:t>-</w:t>
            </w:r>
          </w:p>
        </w:tc>
        <w:tc>
          <w:tcPr>
            <w:tcW w:w="2442" w:type="dxa"/>
            <w:vAlign w:val="center"/>
          </w:tcPr>
          <w:p w:rsidR="00853140" w:rsidRPr="00F93912" w:rsidRDefault="001675CD" w:rsidP="00F93912">
            <w:pPr>
              <w:ind w:firstLine="0"/>
              <w:jc w:val="right"/>
            </w:pPr>
            <w:r w:rsidRPr="00F93912">
              <w:t>-</w:t>
            </w:r>
          </w:p>
        </w:tc>
      </w:tr>
      <w:tr w:rsidR="00220C32" w:rsidRPr="00F93912" w:rsidTr="005E0774">
        <w:trPr>
          <w:jc w:val="center"/>
        </w:trPr>
        <w:tc>
          <w:tcPr>
            <w:tcW w:w="717" w:type="dxa"/>
            <w:vAlign w:val="center"/>
          </w:tcPr>
          <w:p w:rsidR="00853140" w:rsidRPr="00F93912" w:rsidRDefault="00853140" w:rsidP="00F93912">
            <w:pPr>
              <w:ind w:firstLine="0"/>
              <w:jc w:val="center"/>
            </w:pPr>
          </w:p>
        </w:tc>
        <w:tc>
          <w:tcPr>
            <w:tcW w:w="3757" w:type="dxa"/>
            <w:vAlign w:val="center"/>
          </w:tcPr>
          <w:p w:rsidR="00853140" w:rsidRPr="00F93912" w:rsidRDefault="00853140" w:rsidP="00F93912">
            <w:pPr>
              <w:ind w:firstLine="0"/>
            </w:pPr>
            <w:r w:rsidRPr="00F93912">
              <w:t>其中：股票</w:t>
            </w:r>
          </w:p>
        </w:tc>
        <w:tc>
          <w:tcPr>
            <w:tcW w:w="2169" w:type="dxa"/>
            <w:vAlign w:val="center"/>
          </w:tcPr>
          <w:p w:rsidR="00853140" w:rsidRPr="00F93912" w:rsidRDefault="001675CD" w:rsidP="00F93912">
            <w:pPr>
              <w:ind w:firstLine="0"/>
              <w:jc w:val="right"/>
            </w:pPr>
            <w:r w:rsidRPr="00F93912">
              <w:t>-</w:t>
            </w:r>
          </w:p>
        </w:tc>
        <w:tc>
          <w:tcPr>
            <w:tcW w:w="2442" w:type="dxa"/>
            <w:vAlign w:val="center"/>
          </w:tcPr>
          <w:p w:rsidR="00853140" w:rsidRPr="00F93912" w:rsidRDefault="001675CD" w:rsidP="00F93912">
            <w:pPr>
              <w:ind w:firstLine="0"/>
              <w:jc w:val="right"/>
            </w:pPr>
            <w:r w:rsidRPr="00F93912">
              <w:t>-</w:t>
            </w:r>
          </w:p>
        </w:tc>
      </w:tr>
      <w:tr w:rsidR="000C6ABD" w:rsidRPr="00F93912" w:rsidTr="005E0774">
        <w:trPr>
          <w:jc w:val="center"/>
        </w:trPr>
        <w:tc>
          <w:tcPr>
            <w:tcW w:w="717" w:type="dxa"/>
            <w:vAlign w:val="center"/>
          </w:tcPr>
          <w:p w:rsidR="000C6ABD" w:rsidRPr="00F93912" w:rsidRDefault="000C6ABD" w:rsidP="00F93912">
            <w:pPr>
              <w:ind w:firstLine="0"/>
              <w:jc w:val="center"/>
            </w:pPr>
            <w:r w:rsidRPr="00F93912">
              <w:t>2</w:t>
            </w:r>
          </w:p>
        </w:tc>
        <w:tc>
          <w:tcPr>
            <w:tcW w:w="3757" w:type="dxa"/>
            <w:vAlign w:val="center"/>
          </w:tcPr>
          <w:p w:rsidR="000C6ABD" w:rsidRPr="00F93912" w:rsidRDefault="000C6ABD" w:rsidP="00F93912">
            <w:pPr>
              <w:ind w:firstLine="0"/>
            </w:pPr>
            <w:r w:rsidRPr="00F93912">
              <w:t>基金投资</w:t>
            </w:r>
          </w:p>
        </w:tc>
        <w:tc>
          <w:tcPr>
            <w:tcW w:w="2169" w:type="dxa"/>
            <w:vAlign w:val="center"/>
          </w:tcPr>
          <w:p w:rsidR="000C6ABD" w:rsidRPr="00F93912" w:rsidRDefault="000C6ABD" w:rsidP="00F93912">
            <w:pPr>
              <w:ind w:firstLine="0"/>
              <w:jc w:val="right"/>
            </w:pPr>
            <w:r w:rsidRPr="00F93912">
              <w:t>-</w:t>
            </w:r>
          </w:p>
        </w:tc>
        <w:tc>
          <w:tcPr>
            <w:tcW w:w="2442" w:type="dxa"/>
            <w:vAlign w:val="center"/>
          </w:tcPr>
          <w:p w:rsidR="000C6ABD" w:rsidRPr="00F93912" w:rsidRDefault="000C6ABD" w:rsidP="00F93912">
            <w:pPr>
              <w:ind w:firstLine="0"/>
              <w:jc w:val="right"/>
            </w:pPr>
            <w:r w:rsidRPr="00F93912">
              <w:t>-</w:t>
            </w:r>
          </w:p>
        </w:tc>
      </w:tr>
      <w:tr w:rsidR="00220C32" w:rsidRPr="00F93912" w:rsidTr="005E0774">
        <w:trPr>
          <w:jc w:val="center"/>
        </w:trPr>
        <w:tc>
          <w:tcPr>
            <w:tcW w:w="717" w:type="dxa"/>
            <w:vAlign w:val="center"/>
          </w:tcPr>
          <w:p w:rsidR="00853140" w:rsidRPr="00F93912" w:rsidRDefault="000C6ABD" w:rsidP="00F93912">
            <w:pPr>
              <w:ind w:firstLine="0"/>
              <w:jc w:val="center"/>
            </w:pPr>
            <w:r w:rsidRPr="00F93912">
              <w:t>3</w:t>
            </w:r>
          </w:p>
        </w:tc>
        <w:tc>
          <w:tcPr>
            <w:tcW w:w="3757" w:type="dxa"/>
            <w:vAlign w:val="center"/>
          </w:tcPr>
          <w:p w:rsidR="00853140" w:rsidRPr="00F93912" w:rsidRDefault="00853140" w:rsidP="00F93912">
            <w:pPr>
              <w:ind w:firstLine="0"/>
            </w:pPr>
            <w:r w:rsidRPr="00F93912">
              <w:t>固定收益投资</w:t>
            </w:r>
          </w:p>
        </w:tc>
        <w:tc>
          <w:tcPr>
            <w:tcW w:w="2169" w:type="dxa"/>
            <w:vAlign w:val="center"/>
          </w:tcPr>
          <w:p w:rsidR="00853140" w:rsidRPr="00F93912" w:rsidRDefault="001675CD" w:rsidP="00F93912">
            <w:pPr>
              <w:ind w:firstLine="0"/>
              <w:jc w:val="right"/>
            </w:pPr>
            <w:r w:rsidRPr="00F93912">
              <w:t>604,718,000.00</w:t>
            </w:r>
          </w:p>
        </w:tc>
        <w:tc>
          <w:tcPr>
            <w:tcW w:w="2442" w:type="dxa"/>
            <w:vAlign w:val="center"/>
          </w:tcPr>
          <w:p w:rsidR="00853140" w:rsidRPr="00F93912" w:rsidRDefault="001675CD" w:rsidP="00F93912">
            <w:pPr>
              <w:ind w:firstLine="0"/>
              <w:jc w:val="right"/>
            </w:pPr>
            <w:r w:rsidRPr="00F93912">
              <w:t>97.34</w:t>
            </w:r>
          </w:p>
        </w:tc>
      </w:tr>
      <w:tr w:rsidR="00220C32" w:rsidRPr="00F93912" w:rsidTr="005E0774">
        <w:trPr>
          <w:jc w:val="center"/>
        </w:trPr>
        <w:tc>
          <w:tcPr>
            <w:tcW w:w="717" w:type="dxa"/>
            <w:vAlign w:val="center"/>
          </w:tcPr>
          <w:p w:rsidR="00853140" w:rsidRPr="00F93912" w:rsidRDefault="00853140" w:rsidP="00F93912">
            <w:pPr>
              <w:ind w:firstLine="0"/>
              <w:jc w:val="center"/>
            </w:pPr>
          </w:p>
        </w:tc>
        <w:tc>
          <w:tcPr>
            <w:tcW w:w="3757" w:type="dxa"/>
            <w:vAlign w:val="center"/>
          </w:tcPr>
          <w:p w:rsidR="00853140" w:rsidRPr="00F93912" w:rsidRDefault="00853140" w:rsidP="00F93912">
            <w:pPr>
              <w:ind w:firstLine="0"/>
            </w:pPr>
            <w:r w:rsidRPr="00F93912">
              <w:t>其中：债券</w:t>
            </w:r>
          </w:p>
        </w:tc>
        <w:tc>
          <w:tcPr>
            <w:tcW w:w="2169" w:type="dxa"/>
            <w:vAlign w:val="center"/>
          </w:tcPr>
          <w:p w:rsidR="00853140" w:rsidRPr="00F93912" w:rsidRDefault="001675CD" w:rsidP="00F93912">
            <w:pPr>
              <w:ind w:firstLine="0"/>
              <w:jc w:val="right"/>
            </w:pPr>
            <w:r w:rsidRPr="00F93912">
              <w:t>600,606,000.00</w:t>
            </w:r>
          </w:p>
        </w:tc>
        <w:tc>
          <w:tcPr>
            <w:tcW w:w="2442" w:type="dxa"/>
            <w:vAlign w:val="center"/>
          </w:tcPr>
          <w:p w:rsidR="00853140" w:rsidRPr="00F93912" w:rsidRDefault="001675CD" w:rsidP="00F93912">
            <w:pPr>
              <w:ind w:firstLine="0"/>
              <w:jc w:val="right"/>
            </w:pPr>
            <w:r w:rsidRPr="00F93912">
              <w:t>96.67</w:t>
            </w:r>
          </w:p>
        </w:tc>
      </w:tr>
      <w:tr w:rsidR="00220C32" w:rsidRPr="00F93912" w:rsidTr="005E0774">
        <w:trPr>
          <w:jc w:val="center"/>
        </w:trPr>
        <w:tc>
          <w:tcPr>
            <w:tcW w:w="717" w:type="dxa"/>
            <w:vAlign w:val="center"/>
          </w:tcPr>
          <w:p w:rsidR="00853140" w:rsidRPr="00F93912" w:rsidRDefault="00853140" w:rsidP="00F93912">
            <w:pPr>
              <w:ind w:firstLine="0"/>
              <w:jc w:val="center"/>
            </w:pPr>
          </w:p>
        </w:tc>
        <w:tc>
          <w:tcPr>
            <w:tcW w:w="3757" w:type="dxa"/>
            <w:vAlign w:val="center"/>
          </w:tcPr>
          <w:p w:rsidR="00853140" w:rsidRPr="00F93912" w:rsidRDefault="00853140" w:rsidP="00F93912">
            <w:pPr>
              <w:ind w:firstLine="0"/>
            </w:pPr>
            <w:r w:rsidRPr="00F93912">
              <w:t>资产支持证券</w:t>
            </w:r>
          </w:p>
        </w:tc>
        <w:tc>
          <w:tcPr>
            <w:tcW w:w="2169" w:type="dxa"/>
            <w:vAlign w:val="center"/>
          </w:tcPr>
          <w:p w:rsidR="00853140" w:rsidRPr="00F93912" w:rsidRDefault="001675CD" w:rsidP="00F93912">
            <w:pPr>
              <w:ind w:firstLine="0"/>
              <w:jc w:val="right"/>
            </w:pPr>
            <w:r w:rsidRPr="00F93912">
              <w:t>4,112,000.00</w:t>
            </w:r>
          </w:p>
        </w:tc>
        <w:tc>
          <w:tcPr>
            <w:tcW w:w="2442" w:type="dxa"/>
            <w:vAlign w:val="center"/>
          </w:tcPr>
          <w:p w:rsidR="00853140" w:rsidRPr="00F93912" w:rsidRDefault="001675CD" w:rsidP="00F93912">
            <w:pPr>
              <w:ind w:firstLine="0"/>
              <w:jc w:val="right"/>
            </w:pPr>
            <w:r w:rsidRPr="00F93912">
              <w:t>0.66</w:t>
            </w:r>
          </w:p>
        </w:tc>
      </w:tr>
      <w:tr w:rsidR="00220C32" w:rsidRPr="00F93912" w:rsidTr="005E0774">
        <w:trPr>
          <w:jc w:val="center"/>
        </w:trPr>
        <w:tc>
          <w:tcPr>
            <w:tcW w:w="717" w:type="dxa"/>
            <w:vAlign w:val="center"/>
          </w:tcPr>
          <w:p w:rsidR="001D63BB" w:rsidRPr="00F93912" w:rsidRDefault="000C6ABD" w:rsidP="00F93912">
            <w:pPr>
              <w:ind w:firstLine="0"/>
              <w:jc w:val="center"/>
            </w:pPr>
            <w:r w:rsidRPr="00F93912">
              <w:t>4</w:t>
            </w:r>
          </w:p>
        </w:tc>
        <w:tc>
          <w:tcPr>
            <w:tcW w:w="3757" w:type="dxa"/>
            <w:vAlign w:val="center"/>
          </w:tcPr>
          <w:p w:rsidR="001D63BB" w:rsidRPr="00F93912" w:rsidRDefault="001D63BB" w:rsidP="00F93912">
            <w:pPr>
              <w:ind w:firstLine="0"/>
            </w:pPr>
            <w:r w:rsidRPr="00F93912">
              <w:t>贵金属投资</w:t>
            </w:r>
          </w:p>
        </w:tc>
        <w:tc>
          <w:tcPr>
            <w:tcW w:w="2169" w:type="dxa"/>
            <w:vAlign w:val="center"/>
          </w:tcPr>
          <w:p w:rsidR="001D63BB" w:rsidRPr="00F93912" w:rsidRDefault="001D63BB" w:rsidP="00F93912">
            <w:pPr>
              <w:ind w:firstLine="0"/>
              <w:jc w:val="right"/>
            </w:pPr>
            <w:r w:rsidRPr="00F93912">
              <w:t>-</w:t>
            </w:r>
          </w:p>
        </w:tc>
        <w:tc>
          <w:tcPr>
            <w:tcW w:w="2442" w:type="dxa"/>
            <w:vAlign w:val="center"/>
          </w:tcPr>
          <w:p w:rsidR="001D63BB" w:rsidRPr="00F93912" w:rsidRDefault="001D63BB" w:rsidP="00F93912">
            <w:pPr>
              <w:ind w:firstLine="0"/>
              <w:jc w:val="right"/>
            </w:pPr>
            <w:r w:rsidRPr="00F93912">
              <w:t>-</w:t>
            </w:r>
          </w:p>
        </w:tc>
      </w:tr>
      <w:tr w:rsidR="00220C32" w:rsidRPr="00F93912" w:rsidTr="005E0774">
        <w:trPr>
          <w:jc w:val="center"/>
        </w:trPr>
        <w:tc>
          <w:tcPr>
            <w:tcW w:w="717" w:type="dxa"/>
            <w:vAlign w:val="center"/>
          </w:tcPr>
          <w:p w:rsidR="001D63BB" w:rsidRPr="00F93912" w:rsidRDefault="000C6ABD" w:rsidP="00F93912">
            <w:pPr>
              <w:ind w:firstLine="0"/>
              <w:jc w:val="center"/>
            </w:pPr>
            <w:r w:rsidRPr="00F93912">
              <w:t>5</w:t>
            </w:r>
          </w:p>
        </w:tc>
        <w:tc>
          <w:tcPr>
            <w:tcW w:w="3757" w:type="dxa"/>
            <w:vAlign w:val="center"/>
          </w:tcPr>
          <w:p w:rsidR="001D63BB" w:rsidRPr="00F93912" w:rsidRDefault="001D63BB" w:rsidP="00F93912">
            <w:pPr>
              <w:ind w:firstLine="0"/>
            </w:pPr>
            <w:r w:rsidRPr="00F93912">
              <w:t>金融衍生</w:t>
            </w:r>
            <w:proofErr w:type="gramStart"/>
            <w:r w:rsidRPr="00F93912">
              <w:t>品投资</w:t>
            </w:r>
            <w:proofErr w:type="gramEnd"/>
          </w:p>
        </w:tc>
        <w:tc>
          <w:tcPr>
            <w:tcW w:w="2169" w:type="dxa"/>
            <w:vAlign w:val="center"/>
          </w:tcPr>
          <w:p w:rsidR="001D63BB" w:rsidRPr="00F93912" w:rsidRDefault="001D63BB" w:rsidP="00F93912">
            <w:pPr>
              <w:ind w:firstLine="0"/>
              <w:jc w:val="right"/>
            </w:pPr>
            <w:r w:rsidRPr="00F93912">
              <w:t>-</w:t>
            </w:r>
          </w:p>
        </w:tc>
        <w:tc>
          <w:tcPr>
            <w:tcW w:w="2442" w:type="dxa"/>
            <w:vAlign w:val="center"/>
          </w:tcPr>
          <w:p w:rsidR="001D63BB" w:rsidRPr="00F93912" w:rsidRDefault="001D63BB" w:rsidP="00F93912">
            <w:pPr>
              <w:ind w:firstLine="0"/>
              <w:jc w:val="right"/>
            </w:pPr>
            <w:r w:rsidRPr="00F93912">
              <w:t>-</w:t>
            </w:r>
          </w:p>
        </w:tc>
      </w:tr>
      <w:tr w:rsidR="00220C32" w:rsidRPr="00F93912" w:rsidTr="005E0774">
        <w:trPr>
          <w:jc w:val="center"/>
        </w:trPr>
        <w:tc>
          <w:tcPr>
            <w:tcW w:w="717" w:type="dxa"/>
            <w:vAlign w:val="center"/>
          </w:tcPr>
          <w:p w:rsidR="001D63BB" w:rsidRPr="00F93912" w:rsidRDefault="000C6ABD" w:rsidP="00F93912">
            <w:pPr>
              <w:ind w:firstLine="0"/>
              <w:jc w:val="center"/>
            </w:pPr>
            <w:r w:rsidRPr="00F93912">
              <w:t>6</w:t>
            </w:r>
          </w:p>
        </w:tc>
        <w:tc>
          <w:tcPr>
            <w:tcW w:w="3757" w:type="dxa"/>
            <w:vAlign w:val="center"/>
          </w:tcPr>
          <w:p w:rsidR="001D63BB" w:rsidRPr="00F93912" w:rsidRDefault="001D63BB" w:rsidP="00F93912">
            <w:pPr>
              <w:ind w:firstLine="0"/>
            </w:pPr>
            <w:r w:rsidRPr="00F93912">
              <w:t>买入返售金融资产</w:t>
            </w:r>
          </w:p>
        </w:tc>
        <w:tc>
          <w:tcPr>
            <w:tcW w:w="2169" w:type="dxa"/>
            <w:vAlign w:val="center"/>
          </w:tcPr>
          <w:p w:rsidR="001D63BB" w:rsidRPr="00F93912" w:rsidRDefault="001D63BB" w:rsidP="00F93912">
            <w:pPr>
              <w:ind w:firstLine="0"/>
              <w:jc w:val="right"/>
            </w:pPr>
            <w:r w:rsidRPr="00F93912">
              <w:t>-</w:t>
            </w:r>
          </w:p>
        </w:tc>
        <w:tc>
          <w:tcPr>
            <w:tcW w:w="2442" w:type="dxa"/>
            <w:vAlign w:val="center"/>
          </w:tcPr>
          <w:p w:rsidR="001D63BB" w:rsidRPr="00F93912" w:rsidRDefault="001D63BB" w:rsidP="00F93912">
            <w:pPr>
              <w:ind w:firstLine="0"/>
              <w:jc w:val="right"/>
            </w:pPr>
            <w:r w:rsidRPr="00F93912">
              <w:t>-</w:t>
            </w:r>
          </w:p>
        </w:tc>
      </w:tr>
      <w:tr w:rsidR="00220C32" w:rsidRPr="00F93912" w:rsidTr="005E0774">
        <w:trPr>
          <w:jc w:val="center"/>
        </w:trPr>
        <w:tc>
          <w:tcPr>
            <w:tcW w:w="717" w:type="dxa"/>
            <w:vAlign w:val="center"/>
          </w:tcPr>
          <w:p w:rsidR="001D63BB" w:rsidRPr="00F93912" w:rsidRDefault="001D63BB" w:rsidP="00F93912">
            <w:pPr>
              <w:ind w:firstLine="0"/>
              <w:jc w:val="center"/>
            </w:pPr>
          </w:p>
        </w:tc>
        <w:tc>
          <w:tcPr>
            <w:tcW w:w="3757" w:type="dxa"/>
            <w:vAlign w:val="center"/>
          </w:tcPr>
          <w:p w:rsidR="001D63BB" w:rsidRPr="00F93912" w:rsidRDefault="001D63BB" w:rsidP="00F93912">
            <w:pPr>
              <w:ind w:firstLine="0"/>
            </w:pPr>
            <w:r w:rsidRPr="00F93912">
              <w:t>其中：买断式回购的买入返售金融资产</w:t>
            </w:r>
          </w:p>
        </w:tc>
        <w:tc>
          <w:tcPr>
            <w:tcW w:w="2169" w:type="dxa"/>
            <w:vAlign w:val="center"/>
          </w:tcPr>
          <w:p w:rsidR="001D63BB" w:rsidRPr="00F93912" w:rsidRDefault="001D63BB" w:rsidP="00F93912">
            <w:pPr>
              <w:ind w:firstLine="0"/>
              <w:jc w:val="right"/>
            </w:pPr>
            <w:r w:rsidRPr="00F93912">
              <w:t>-</w:t>
            </w:r>
          </w:p>
        </w:tc>
        <w:tc>
          <w:tcPr>
            <w:tcW w:w="2442" w:type="dxa"/>
            <w:vAlign w:val="center"/>
          </w:tcPr>
          <w:p w:rsidR="001D63BB" w:rsidRPr="00F93912" w:rsidRDefault="001D63BB" w:rsidP="00F93912">
            <w:pPr>
              <w:ind w:firstLine="0"/>
              <w:jc w:val="right"/>
            </w:pPr>
            <w:r w:rsidRPr="00F93912">
              <w:t>-</w:t>
            </w:r>
          </w:p>
        </w:tc>
      </w:tr>
      <w:tr w:rsidR="00220C32" w:rsidRPr="00F93912" w:rsidTr="005E0774">
        <w:trPr>
          <w:jc w:val="center"/>
        </w:trPr>
        <w:tc>
          <w:tcPr>
            <w:tcW w:w="717" w:type="dxa"/>
            <w:vAlign w:val="center"/>
          </w:tcPr>
          <w:p w:rsidR="001D63BB" w:rsidRPr="00F93912" w:rsidRDefault="000C6ABD" w:rsidP="00F93912">
            <w:pPr>
              <w:ind w:firstLine="0"/>
              <w:jc w:val="center"/>
            </w:pPr>
            <w:r w:rsidRPr="00F93912">
              <w:t>7</w:t>
            </w:r>
          </w:p>
        </w:tc>
        <w:tc>
          <w:tcPr>
            <w:tcW w:w="3757" w:type="dxa"/>
            <w:vAlign w:val="center"/>
          </w:tcPr>
          <w:p w:rsidR="001D63BB" w:rsidRPr="00F93912" w:rsidRDefault="001D63BB" w:rsidP="00F93912">
            <w:pPr>
              <w:ind w:firstLine="0"/>
            </w:pPr>
            <w:r w:rsidRPr="00F93912">
              <w:t>银行存款和结算备付金合计</w:t>
            </w:r>
          </w:p>
        </w:tc>
        <w:tc>
          <w:tcPr>
            <w:tcW w:w="2169" w:type="dxa"/>
            <w:vAlign w:val="center"/>
          </w:tcPr>
          <w:p w:rsidR="001D63BB" w:rsidRPr="00F93912" w:rsidRDefault="001D63BB" w:rsidP="00F93912">
            <w:pPr>
              <w:ind w:firstLine="0"/>
              <w:jc w:val="right"/>
            </w:pPr>
            <w:r w:rsidRPr="00F93912">
              <w:t>4,305,236.49</w:t>
            </w:r>
          </w:p>
        </w:tc>
        <w:tc>
          <w:tcPr>
            <w:tcW w:w="2442" w:type="dxa"/>
            <w:vAlign w:val="center"/>
          </w:tcPr>
          <w:p w:rsidR="001D63BB" w:rsidRPr="00F93912" w:rsidRDefault="001D63BB" w:rsidP="00F93912">
            <w:pPr>
              <w:ind w:firstLine="0"/>
              <w:jc w:val="right"/>
            </w:pPr>
            <w:r w:rsidRPr="00F93912">
              <w:t>0.69</w:t>
            </w:r>
          </w:p>
        </w:tc>
      </w:tr>
      <w:tr w:rsidR="00220C32" w:rsidRPr="00F93912" w:rsidTr="005E0774">
        <w:trPr>
          <w:jc w:val="center"/>
        </w:trPr>
        <w:tc>
          <w:tcPr>
            <w:tcW w:w="717" w:type="dxa"/>
            <w:vAlign w:val="center"/>
          </w:tcPr>
          <w:p w:rsidR="001D63BB" w:rsidRPr="00F93912" w:rsidRDefault="001D63BB" w:rsidP="00F93912">
            <w:pPr>
              <w:ind w:firstLine="0"/>
              <w:jc w:val="center"/>
            </w:pPr>
            <w:r w:rsidRPr="00F93912">
              <w:t>8</w:t>
            </w:r>
          </w:p>
        </w:tc>
        <w:tc>
          <w:tcPr>
            <w:tcW w:w="3757" w:type="dxa"/>
            <w:vAlign w:val="center"/>
          </w:tcPr>
          <w:p w:rsidR="001D63BB" w:rsidRPr="00F93912" w:rsidRDefault="001D63BB" w:rsidP="00F93912">
            <w:pPr>
              <w:ind w:firstLine="0"/>
            </w:pPr>
            <w:r w:rsidRPr="00F93912">
              <w:t>其他各项资产</w:t>
            </w:r>
          </w:p>
        </w:tc>
        <w:tc>
          <w:tcPr>
            <w:tcW w:w="2169" w:type="dxa"/>
            <w:vAlign w:val="center"/>
          </w:tcPr>
          <w:p w:rsidR="001D63BB" w:rsidRPr="00F93912" w:rsidRDefault="001D63BB" w:rsidP="00F93912">
            <w:pPr>
              <w:ind w:firstLine="0"/>
              <w:jc w:val="right"/>
            </w:pPr>
            <w:r w:rsidRPr="00F93912">
              <w:t>12,241,681.13</w:t>
            </w:r>
          </w:p>
        </w:tc>
        <w:tc>
          <w:tcPr>
            <w:tcW w:w="2442" w:type="dxa"/>
            <w:vAlign w:val="center"/>
          </w:tcPr>
          <w:p w:rsidR="001D63BB" w:rsidRPr="00F93912" w:rsidRDefault="001D63BB" w:rsidP="00F93912">
            <w:pPr>
              <w:ind w:firstLine="0"/>
              <w:jc w:val="right"/>
            </w:pPr>
            <w:r w:rsidRPr="00F93912">
              <w:t>1.97</w:t>
            </w:r>
          </w:p>
        </w:tc>
      </w:tr>
      <w:tr w:rsidR="00220C32" w:rsidRPr="00F93912" w:rsidTr="005E0774">
        <w:trPr>
          <w:jc w:val="center"/>
        </w:trPr>
        <w:tc>
          <w:tcPr>
            <w:tcW w:w="717" w:type="dxa"/>
            <w:vAlign w:val="center"/>
          </w:tcPr>
          <w:p w:rsidR="001D63BB" w:rsidRPr="00F93912" w:rsidRDefault="001D63BB" w:rsidP="00F93912">
            <w:pPr>
              <w:ind w:firstLine="0"/>
              <w:jc w:val="center"/>
            </w:pPr>
            <w:r w:rsidRPr="00F93912">
              <w:lastRenderedPageBreak/>
              <w:t>9</w:t>
            </w:r>
          </w:p>
        </w:tc>
        <w:tc>
          <w:tcPr>
            <w:tcW w:w="3757" w:type="dxa"/>
            <w:vAlign w:val="center"/>
          </w:tcPr>
          <w:p w:rsidR="001D63BB" w:rsidRPr="00F93912" w:rsidRDefault="001D63BB" w:rsidP="00F93912">
            <w:pPr>
              <w:ind w:firstLine="0"/>
            </w:pPr>
            <w:r w:rsidRPr="00F93912">
              <w:t>合计</w:t>
            </w:r>
          </w:p>
        </w:tc>
        <w:tc>
          <w:tcPr>
            <w:tcW w:w="2169" w:type="dxa"/>
            <w:vAlign w:val="center"/>
          </w:tcPr>
          <w:p w:rsidR="001D63BB" w:rsidRPr="00F93912" w:rsidRDefault="001D63BB" w:rsidP="00F93912">
            <w:pPr>
              <w:ind w:firstLine="0"/>
              <w:jc w:val="right"/>
            </w:pPr>
            <w:r w:rsidRPr="00F93912">
              <w:t>621,264,917.62</w:t>
            </w:r>
          </w:p>
        </w:tc>
        <w:tc>
          <w:tcPr>
            <w:tcW w:w="2442" w:type="dxa"/>
            <w:vAlign w:val="center"/>
          </w:tcPr>
          <w:p w:rsidR="001D63BB" w:rsidRPr="00F93912" w:rsidRDefault="001D63BB" w:rsidP="00F93912">
            <w:pPr>
              <w:ind w:firstLine="0"/>
              <w:jc w:val="right"/>
            </w:pPr>
            <w:r w:rsidRPr="00F93912">
              <w:t>100.00</w:t>
            </w:r>
          </w:p>
        </w:tc>
      </w:tr>
    </w:tbl>
    <w:p w:rsidR="004061AC" w:rsidRPr="003531AD" w:rsidRDefault="004061AC" w:rsidP="00CA6AE6">
      <w:pPr>
        <w:pStyle w:val="xx"/>
        <w:rPr>
          <w:rFonts w:ascii="Times New Roman" w:hAnsi="Times New Roman" w:cs="Times New Roman"/>
        </w:rPr>
      </w:pPr>
      <w:r w:rsidRPr="003531AD">
        <w:rPr>
          <w:rFonts w:ascii="Times New Roman" w:hAnsi="Times New Roman" w:cs="Times New Roman"/>
        </w:rPr>
        <w:t xml:space="preserve">5.2 </w:t>
      </w:r>
      <w:r w:rsidRPr="003531AD">
        <w:rPr>
          <w:rFonts w:ascii="Times New Roman" w:hAnsi="Times New Roman" w:cs="Times New Roman"/>
        </w:rPr>
        <w:t>报告期末按行业分类的股票投资组合</w:t>
      </w:r>
    </w:p>
    <w:p w:rsidR="004061AC" w:rsidRPr="003531AD" w:rsidRDefault="004061AC" w:rsidP="00321311">
      <w:pPr>
        <w:pStyle w:val="new0"/>
        <w:rPr>
          <w:rFonts w:ascii="Times New Roman" w:hAnsi="Times New Roman" w:cs="Times New Roman"/>
        </w:rPr>
      </w:pPr>
      <w:r w:rsidRPr="003531AD">
        <w:rPr>
          <w:rFonts w:ascii="Times New Roman" w:hAnsi="Times New Roman" w:cs="Times New Roman"/>
        </w:rPr>
        <w:t>本基金本报告期末未持有股票。</w:t>
      </w:r>
    </w:p>
    <w:p w:rsidR="004061AC" w:rsidRPr="003531AD" w:rsidRDefault="004061AC" w:rsidP="00CA6AE6">
      <w:pPr>
        <w:pStyle w:val="xx"/>
        <w:rPr>
          <w:rFonts w:ascii="Times New Roman" w:hAnsi="Times New Roman" w:cs="Times New Roman"/>
        </w:rPr>
      </w:pPr>
      <w:r w:rsidRPr="003531AD">
        <w:rPr>
          <w:rFonts w:ascii="Times New Roman" w:hAnsi="Times New Roman" w:cs="Times New Roman"/>
        </w:rPr>
        <w:t xml:space="preserve">5.3 </w:t>
      </w:r>
      <w:r w:rsidRPr="003531AD">
        <w:rPr>
          <w:rFonts w:ascii="Times New Roman" w:hAnsi="Times New Roman" w:cs="Times New Roman"/>
        </w:rPr>
        <w:t>报告期末按公允价值占基金资产净值比例大小排序的前十名股票投资明细</w:t>
      </w:r>
    </w:p>
    <w:p w:rsidR="00D50E87" w:rsidRPr="003531AD" w:rsidRDefault="004061AC" w:rsidP="00D50E87">
      <w:pPr>
        <w:pStyle w:val="new0"/>
        <w:rPr>
          <w:rFonts w:ascii="Times New Roman" w:hAnsi="Times New Roman" w:cs="Times New Roman"/>
        </w:rPr>
      </w:pPr>
      <w:r w:rsidRPr="003531AD">
        <w:rPr>
          <w:rFonts w:ascii="Times New Roman" w:hAnsi="Times New Roman" w:cs="Times New Roman"/>
        </w:rPr>
        <w:t>本基金本报告期末未持有股票。</w:t>
      </w:r>
    </w:p>
    <w:p w:rsidR="004061AC" w:rsidRPr="003531AD" w:rsidRDefault="004061AC" w:rsidP="00CA6AE6">
      <w:pPr>
        <w:pStyle w:val="xx"/>
        <w:rPr>
          <w:rFonts w:ascii="Times New Roman" w:hAnsi="Times New Roman" w:cs="Times New Roman"/>
        </w:rPr>
      </w:pPr>
      <w:r w:rsidRPr="003531AD">
        <w:rPr>
          <w:rFonts w:ascii="Times New Roman" w:hAnsi="Times New Roman" w:cs="Times New Roman"/>
        </w:rPr>
        <w:t xml:space="preserve">5.4 </w:t>
      </w:r>
      <w:r w:rsidRPr="003531AD">
        <w:rPr>
          <w:rFonts w:ascii="Times New Roman" w:hAnsi="Times New Roman" w:cs="Times New Roman"/>
        </w:rPr>
        <w:t>报告期末按债券品种分类的债券投资组合</w:t>
      </w:r>
    </w:p>
    <w:tbl>
      <w:tblPr>
        <w:tblStyle w:val="af7"/>
        <w:tblW w:w="5000" w:type="pct"/>
        <w:jc w:val="center"/>
        <w:tblLayout w:type="fixed"/>
        <w:tblLook w:val="04A0" w:firstRow="1" w:lastRow="0" w:firstColumn="1" w:lastColumn="0" w:noHBand="0" w:noVBand="1"/>
      </w:tblPr>
      <w:tblGrid>
        <w:gridCol w:w="725"/>
        <w:gridCol w:w="2177"/>
        <w:gridCol w:w="3619"/>
        <w:gridCol w:w="2765"/>
      </w:tblGrid>
      <w:tr w:rsidR="00220C32" w:rsidRPr="00D46439" w:rsidTr="005E0774">
        <w:trPr>
          <w:jc w:val="center"/>
        </w:trPr>
        <w:tc>
          <w:tcPr>
            <w:tcW w:w="709" w:type="dxa"/>
            <w:vAlign w:val="center"/>
          </w:tcPr>
          <w:p w:rsidR="00AC592E" w:rsidRPr="00D46439" w:rsidRDefault="00AC592E" w:rsidP="00D46439">
            <w:pPr>
              <w:ind w:firstLine="0"/>
              <w:jc w:val="center"/>
            </w:pPr>
            <w:r w:rsidRPr="00D46439">
              <w:t>序号</w:t>
            </w:r>
          </w:p>
        </w:tc>
        <w:tc>
          <w:tcPr>
            <w:tcW w:w="2126" w:type="dxa"/>
            <w:vAlign w:val="center"/>
          </w:tcPr>
          <w:p w:rsidR="00AC592E" w:rsidRPr="00D46439" w:rsidRDefault="00AC592E" w:rsidP="00D46439">
            <w:pPr>
              <w:ind w:firstLine="0"/>
              <w:jc w:val="center"/>
            </w:pPr>
            <w:r w:rsidRPr="00D46439">
              <w:t>债券品种</w:t>
            </w:r>
          </w:p>
        </w:tc>
        <w:tc>
          <w:tcPr>
            <w:tcW w:w="3534" w:type="dxa"/>
            <w:vAlign w:val="center"/>
          </w:tcPr>
          <w:p w:rsidR="00AC592E" w:rsidRPr="00D46439" w:rsidRDefault="00AC592E" w:rsidP="00D46439">
            <w:pPr>
              <w:ind w:firstLine="0"/>
              <w:jc w:val="center"/>
            </w:pPr>
            <w:r w:rsidRPr="00D46439">
              <w:t>公允价值</w:t>
            </w:r>
            <w:r w:rsidR="00D57B7C" w:rsidRPr="00D46439">
              <w:t>(</w:t>
            </w:r>
            <w:r w:rsidRPr="00D46439">
              <w:t>元</w:t>
            </w:r>
            <w:r w:rsidR="00D57B7C" w:rsidRPr="00D46439">
              <w:t>)</w:t>
            </w:r>
          </w:p>
        </w:tc>
        <w:tc>
          <w:tcPr>
            <w:tcW w:w="2700" w:type="dxa"/>
            <w:vAlign w:val="center"/>
          </w:tcPr>
          <w:p w:rsidR="00AC592E" w:rsidRPr="00D46439" w:rsidRDefault="00AC592E" w:rsidP="00D46439">
            <w:pPr>
              <w:ind w:firstLine="0"/>
              <w:jc w:val="center"/>
            </w:pPr>
            <w:r w:rsidRPr="00D46439">
              <w:t>占基金资产净值比例</w:t>
            </w:r>
            <w:r w:rsidR="00D57B7C" w:rsidRPr="00D46439">
              <w:t>(</w:t>
            </w:r>
            <w:r w:rsidRPr="00D46439">
              <w:t>％</w:t>
            </w:r>
            <w:r w:rsidR="00D57B7C" w:rsidRPr="00D46439">
              <w:t>)</w:t>
            </w:r>
          </w:p>
        </w:tc>
      </w:tr>
      <w:tr w:rsidR="00220C32" w:rsidRPr="00D46439" w:rsidTr="005E0774">
        <w:trPr>
          <w:jc w:val="center"/>
        </w:trPr>
        <w:tc>
          <w:tcPr>
            <w:tcW w:w="709" w:type="dxa"/>
            <w:vAlign w:val="center"/>
          </w:tcPr>
          <w:p w:rsidR="00AC592E" w:rsidRPr="00D46439" w:rsidRDefault="00AC592E" w:rsidP="00D46439">
            <w:pPr>
              <w:ind w:firstLine="0"/>
              <w:jc w:val="center"/>
            </w:pPr>
            <w:r w:rsidRPr="00D46439">
              <w:t>1</w:t>
            </w:r>
          </w:p>
        </w:tc>
        <w:tc>
          <w:tcPr>
            <w:tcW w:w="2126" w:type="dxa"/>
            <w:vAlign w:val="center"/>
          </w:tcPr>
          <w:p w:rsidR="00AC592E" w:rsidRPr="00D46439" w:rsidRDefault="00AC592E" w:rsidP="00D46439">
            <w:pPr>
              <w:ind w:firstLine="0"/>
            </w:pPr>
            <w:r w:rsidRPr="00D46439">
              <w:t>国家债券</w:t>
            </w:r>
          </w:p>
        </w:tc>
        <w:tc>
          <w:tcPr>
            <w:tcW w:w="3534" w:type="dxa"/>
            <w:vAlign w:val="center"/>
          </w:tcPr>
          <w:p w:rsidR="00AC592E" w:rsidRPr="00D46439" w:rsidRDefault="00AC592E" w:rsidP="00D46439">
            <w:pPr>
              <w:ind w:firstLine="0"/>
              <w:jc w:val="right"/>
            </w:pPr>
            <w:r w:rsidRPr="00D46439">
              <w:t>-</w:t>
            </w:r>
          </w:p>
        </w:tc>
        <w:tc>
          <w:tcPr>
            <w:tcW w:w="2700" w:type="dxa"/>
            <w:vAlign w:val="center"/>
          </w:tcPr>
          <w:p w:rsidR="00AC592E" w:rsidRPr="00D46439" w:rsidRDefault="00AC592E" w:rsidP="00D46439">
            <w:pPr>
              <w:ind w:firstLine="0"/>
              <w:jc w:val="right"/>
            </w:pPr>
            <w:r w:rsidRPr="00D46439">
              <w:t>-</w:t>
            </w:r>
          </w:p>
        </w:tc>
      </w:tr>
      <w:tr w:rsidR="00220C32" w:rsidRPr="00D46439" w:rsidTr="005E0774">
        <w:trPr>
          <w:jc w:val="center"/>
        </w:trPr>
        <w:tc>
          <w:tcPr>
            <w:tcW w:w="709" w:type="dxa"/>
            <w:vAlign w:val="center"/>
          </w:tcPr>
          <w:p w:rsidR="00AC592E" w:rsidRPr="00D46439" w:rsidRDefault="00AC592E" w:rsidP="00D46439">
            <w:pPr>
              <w:ind w:firstLine="0"/>
              <w:jc w:val="center"/>
            </w:pPr>
            <w:r w:rsidRPr="00D46439">
              <w:t>2</w:t>
            </w:r>
          </w:p>
        </w:tc>
        <w:tc>
          <w:tcPr>
            <w:tcW w:w="2126" w:type="dxa"/>
            <w:vAlign w:val="center"/>
          </w:tcPr>
          <w:p w:rsidR="00AC592E" w:rsidRPr="00D46439" w:rsidRDefault="00AC592E" w:rsidP="00D46439">
            <w:pPr>
              <w:ind w:firstLine="0"/>
            </w:pPr>
            <w:r w:rsidRPr="00D46439">
              <w:t>央行票据</w:t>
            </w:r>
          </w:p>
        </w:tc>
        <w:tc>
          <w:tcPr>
            <w:tcW w:w="3534" w:type="dxa"/>
            <w:vAlign w:val="center"/>
          </w:tcPr>
          <w:p w:rsidR="00AC592E" w:rsidRPr="00D46439" w:rsidRDefault="00AC592E" w:rsidP="00D46439">
            <w:pPr>
              <w:ind w:firstLine="0"/>
              <w:jc w:val="right"/>
            </w:pPr>
            <w:r w:rsidRPr="00D46439">
              <w:t>-</w:t>
            </w:r>
          </w:p>
        </w:tc>
        <w:tc>
          <w:tcPr>
            <w:tcW w:w="2700" w:type="dxa"/>
            <w:vAlign w:val="center"/>
          </w:tcPr>
          <w:p w:rsidR="00AC592E" w:rsidRPr="00D46439" w:rsidRDefault="00AC592E" w:rsidP="00D46439">
            <w:pPr>
              <w:ind w:firstLine="0"/>
              <w:jc w:val="right"/>
            </w:pPr>
            <w:r w:rsidRPr="00D46439">
              <w:t>-</w:t>
            </w:r>
          </w:p>
        </w:tc>
      </w:tr>
      <w:tr w:rsidR="00220C32" w:rsidRPr="00D46439" w:rsidTr="005E0774">
        <w:trPr>
          <w:jc w:val="center"/>
        </w:trPr>
        <w:tc>
          <w:tcPr>
            <w:tcW w:w="709" w:type="dxa"/>
            <w:vAlign w:val="center"/>
          </w:tcPr>
          <w:p w:rsidR="00AC592E" w:rsidRPr="00D46439" w:rsidRDefault="00AC592E" w:rsidP="00D46439">
            <w:pPr>
              <w:ind w:firstLine="0"/>
              <w:jc w:val="center"/>
            </w:pPr>
            <w:r w:rsidRPr="00D46439">
              <w:t>3</w:t>
            </w:r>
          </w:p>
        </w:tc>
        <w:tc>
          <w:tcPr>
            <w:tcW w:w="2126" w:type="dxa"/>
            <w:vAlign w:val="center"/>
          </w:tcPr>
          <w:p w:rsidR="00AC592E" w:rsidRPr="00D46439" w:rsidRDefault="00AC592E" w:rsidP="00D46439">
            <w:pPr>
              <w:ind w:firstLine="0"/>
            </w:pPr>
            <w:r w:rsidRPr="00D46439">
              <w:t>金融债券</w:t>
            </w:r>
          </w:p>
        </w:tc>
        <w:tc>
          <w:tcPr>
            <w:tcW w:w="3534" w:type="dxa"/>
            <w:vAlign w:val="center"/>
          </w:tcPr>
          <w:p w:rsidR="00AC592E" w:rsidRPr="00D46439" w:rsidRDefault="00AC592E" w:rsidP="00D46439">
            <w:pPr>
              <w:ind w:firstLine="0"/>
              <w:jc w:val="right"/>
            </w:pPr>
            <w:r w:rsidRPr="00D46439">
              <w:t>381,154,000.00</w:t>
            </w:r>
          </w:p>
        </w:tc>
        <w:tc>
          <w:tcPr>
            <w:tcW w:w="2700" w:type="dxa"/>
            <w:vAlign w:val="center"/>
          </w:tcPr>
          <w:p w:rsidR="00AC592E" w:rsidRPr="00D46439" w:rsidRDefault="00AC592E" w:rsidP="00D46439">
            <w:pPr>
              <w:ind w:firstLine="0"/>
              <w:jc w:val="right"/>
            </w:pPr>
            <w:r w:rsidRPr="00D46439">
              <w:t>72.77</w:t>
            </w:r>
          </w:p>
        </w:tc>
      </w:tr>
      <w:tr w:rsidR="00220C32" w:rsidRPr="00D46439" w:rsidTr="005E0774">
        <w:trPr>
          <w:jc w:val="center"/>
        </w:trPr>
        <w:tc>
          <w:tcPr>
            <w:tcW w:w="709" w:type="dxa"/>
            <w:vAlign w:val="center"/>
          </w:tcPr>
          <w:p w:rsidR="00AC592E" w:rsidRPr="00D46439" w:rsidRDefault="00AC592E" w:rsidP="00D46439">
            <w:pPr>
              <w:ind w:firstLine="0"/>
              <w:jc w:val="center"/>
            </w:pPr>
          </w:p>
        </w:tc>
        <w:tc>
          <w:tcPr>
            <w:tcW w:w="2126" w:type="dxa"/>
            <w:vAlign w:val="center"/>
          </w:tcPr>
          <w:p w:rsidR="00AC592E" w:rsidRPr="00D46439" w:rsidRDefault="00AC592E" w:rsidP="00D46439">
            <w:pPr>
              <w:ind w:firstLine="0"/>
            </w:pPr>
            <w:r w:rsidRPr="00D46439">
              <w:t>其中：政策性金融债</w:t>
            </w:r>
          </w:p>
        </w:tc>
        <w:tc>
          <w:tcPr>
            <w:tcW w:w="3534" w:type="dxa"/>
            <w:vAlign w:val="center"/>
          </w:tcPr>
          <w:p w:rsidR="00AC592E" w:rsidRPr="00D46439" w:rsidRDefault="00AC592E" w:rsidP="00D46439">
            <w:pPr>
              <w:ind w:firstLine="0"/>
              <w:jc w:val="right"/>
            </w:pPr>
            <w:r w:rsidRPr="00D46439">
              <w:t>219,023,000.00</w:t>
            </w:r>
          </w:p>
        </w:tc>
        <w:tc>
          <w:tcPr>
            <w:tcW w:w="2700" w:type="dxa"/>
            <w:vAlign w:val="center"/>
          </w:tcPr>
          <w:p w:rsidR="00AC592E" w:rsidRPr="00D46439" w:rsidRDefault="00AC592E" w:rsidP="00D46439">
            <w:pPr>
              <w:ind w:firstLine="0"/>
              <w:jc w:val="right"/>
            </w:pPr>
            <w:r w:rsidRPr="00D46439">
              <w:t>41.82</w:t>
            </w:r>
          </w:p>
        </w:tc>
      </w:tr>
      <w:tr w:rsidR="00220C32" w:rsidRPr="00D46439" w:rsidTr="005E0774">
        <w:trPr>
          <w:jc w:val="center"/>
        </w:trPr>
        <w:tc>
          <w:tcPr>
            <w:tcW w:w="709" w:type="dxa"/>
            <w:vAlign w:val="center"/>
          </w:tcPr>
          <w:p w:rsidR="00AC592E" w:rsidRPr="00D46439" w:rsidRDefault="00AC592E" w:rsidP="00D46439">
            <w:pPr>
              <w:ind w:firstLine="0"/>
              <w:jc w:val="center"/>
            </w:pPr>
            <w:r w:rsidRPr="00D46439">
              <w:t>4</w:t>
            </w:r>
          </w:p>
        </w:tc>
        <w:tc>
          <w:tcPr>
            <w:tcW w:w="2126" w:type="dxa"/>
            <w:vAlign w:val="center"/>
          </w:tcPr>
          <w:p w:rsidR="00AC592E" w:rsidRPr="00D46439" w:rsidRDefault="00AC592E" w:rsidP="00D46439">
            <w:pPr>
              <w:ind w:firstLine="0"/>
            </w:pPr>
            <w:r w:rsidRPr="00D46439">
              <w:t>企业债券</w:t>
            </w:r>
          </w:p>
        </w:tc>
        <w:tc>
          <w:tcPr>
            <w:tcW w:w="3534" w:type="dxa"/>
            <w:vAlign w:val="center"/>
          </w:tcPr>
          <w:p w:rsidR="00AC592E" w:rsidRPr="00D46439" w:rsidRDefault="00AC592E" w:rsidP="00D46439">
            <w:pPr>
              <w:ind w:firstLine="0"/>
              <w:jc w:val="right"/>
            </w:pPr>
            <w:r w:rsidRPr="00D46439">
              <w:t>131,275,000.00</w:t>
            </w:r>
          </w:p>
        </w:tc>
        <w:tc>
          <w:tcPr>
            <w:tcW w:w="2700" w:type="dxa"/>
            <w:vAlign w:val="center"/>
          </w:tcPr>
          <w:p w:rsidR="00AC592E" w:rsidRPr="00D46439" w:rsidRDefault="00AC592E" w:rsidP="00D46439">
            <w:pPr>
              <w:ind w:firstLine="0"/>
              <w:jc w:val="right"/>
            </w:pPr>
            <w:r w:rsidRPr="00D46439">
              <w:t>25.06</w:t>
            </w:r>
          </w:p>
        </w:tc>
      </w:tr>
      <w:tr w:rsidR="00220C32" w:rsidRPr="00D46439" w:rsidTr="005E0774">
        <w:trPr>
          <w:jc w:val="center"/>
        </w:trPr>
        <w:tc>
          <w:tcPr>
            <w:tcW w:w="709" w:type="dxa"/>
            <w:vAlign w:val="center"/>
          </w:tcPr>
          <w:p w:rsidR="00AC592E" w:rsidRPr="00D46439" w:rsidRDefault="00AC592E" w:rsidP="00D46439">
            <w:pPr>
              <w:ind w:firstLine="0"/>
              <w:jc w:val="center"/>
            </w:pPr>
            <w:r w:rsidRPr="00D46439">
              <w:t>5</w:t>
            </w:r>
          </w:p>
        </w:tc>
        <w:tc>
          <w:tcPr>
            <w:tcW w:w="2126" w:type="dxa"/>
            <w:vAlign w:val="center"/>
          </w:tcPr>
          <w:p w:rsidR="00AC592E" w:rsidRPr="00D46439" w:rsidRDefault="00AC592E" w:rsidP="00D46439">
            <w:pPr>
              <w:ind w:firstLine="0"/>
            </w:pPr>
            <w:r w:rsidRPr="00D46439">
              <w:t>企业短期融资</w:t>
            </w:r>
            <w:proofErr w:type="gramStart"/>
            <w:r w:rsidR="00963F40" w:rsidRPr="00D46439">
              <w:t>券</w:t>
            </w:r>
            <w:proofErr w:type="gramEnd"/>
          </w:p>
        </w:tc>
        <w:tc>
          <w:tcPr>
            <w:tcW w:w="3534" w:type="dxa"/>
            <w:vAlign w:val="center"/>
          </w:tcPr>
          <w:p w:rsidR="00AC592E" w:rsidRPr="00D46439" w:rsidRDefault="00AC592E" w:rsidP="00D46439">
            <w:pPr>
              <w:ind w:firstLine="0"/>
              <w:jc w:val="right"/>
            </w:pPr>
            <w:r w:rsidRPr="00D46439">
              <w:t>-</w:t>
            </w:r>
          </w:p>
        </w:tc>
        <w:tc>
          <w:tcPr>
            <w:tcW w:w="2700" w:type="dxa"/>
            <w:vAlign w:val="center"/>
          </w:tcPr>
          <w:p w:rsidR="00AC592E" w:rsidRPr="00D46439" w:rsidRDefault="00AC592E" w:rsidP="00D46439">
            <w:pPr>
              <w:ind w:firstLine="0"/>
              <w:jc w:val="right"/>
            </w:pPr>
            <w:r w:rsidRPr="00D46439">
              <w:t>-</w:t>
            </w:r>
          </w:p>
        </w:tc>
      </w:tr>
      <w:tr w:rsidR="00220C32" w:rsidRPr="00D46439" w:rsidTr="005E0774">
        <w:trPr>
          <w:jc w:val="center"/>
        </w:trPr>
        <w:tc>
          <w:tcPr>
            <w:tcW w:w="709" w:type="dxa"/>
            <w:vAlign w:val="center"/>
          </w:tcPr>
          <w:p w:rsidR="00FB41D3" w:rsidRPr="00D46439" w:rsidRDefault="00FB41D3" w:rsidP="00D46439">
            <w:pPr>
              <w:ind w:firstLine="0"/>
              <w:jc w:val="center"/>
            </w:pPr>
            <w:r w:rsidRPr="00D46439">
              <w:t>6</w:t>
            </w:r>
          </w:p>
        </w:tc>
        <w:tc>
          <w:tcPr>
            <w:tcW w:w="2126" w:type="dxa"/>
            <w:vAlign w:val="center"/>
          </w:tcPr>
          <w:p w:rsidR="00FB41D3" w:rsidRPr="00D46439" w:rsidRDefault="00FB41D3" w:rsidP="00D46439">
            <w:pPr>
              <w:ind w:firstLine="0"/>
            </w:pPr>
            <w:r w:rsidRPr="00D46439">
              <w:t>中期票据</w:t>
            </w:r>
          </w:p>
        </w:tc>
        <w:tc>
          <w:tcPr>
            <w:tcW w:w="3534" w:type="dxa"/>
            <w:vAlign w:val="center"/>
          </w:tcPr>
          <w:p w:rsidR="00FB41D3" w:rsidRPr="00D46439" w:rsidRDefault="00FB41D3" w:rsidP="00D46439">
            <w:pPr>
              <w:ind w:firstLine="0"/>
              <w:jc w:val="right"/>
            </w:pPr>
            <w:r w:rsidRPr="00D46439">
              <w:t>30,249,000.00</w:t>
            </w:r>
          </w:p>
        </w:tc>
        <w:tc>
          <w:tcPr>
            <w:tcW w:w="2700" w:type="dxa"/>
            <w:vAlign w:val="center"/>
          </w:tcPr>
          <w:p w:rsidR="00FB41D3" w:rsidRPr="00D46439" w:rsidRDefault="00FB41D3" w:rsidP="00D46439">
            <w:pPr>
              <w:ind w:firstLine="0"/>
              <w:jc w:val="right"/>
            </w:pPr>
            <w:r w:rsidRPr="00D46439">
              <w:t>5.78</w:t>
            </w:r>
          </w:p>
        </w:tc>
      </w:tr>
      <w:tr w:rsidR="00220C32" w:rsidRPr="00D46439" w:rsidTr="005E0774">
        <w:trPr>
          <w:jc w:val="center"/>
        </w:trPr>
        <w:tc>
          <w:tcPr>
            <w:tcW w:w="709" w:type="dxa"/>
            <w:vAlign w:val="center"/>
          </w:tcPr>
          <w:p w:rsidR="00AC592E" w:rsidRPr="00D46439" w:rsidRDefault="00FB41D3" w:rsidP="00D46439">
            <w:pPr>
              <w:ind w:firstLine="0"/>
              <w:jc w:val="center"/>
            </w:pPr>
            <w:r w:rsidRPr="00D46439">
              <w:t>7</w:t>
            </w:r>
          </w:p>
        </w:tc>
        <w:tc>
          <w:tcPr>
            <w:tcW w:w="2126" w:type="dxa"/>
            <w:vAlign w:val="center"/>
          </w:tcPr>
          <w:p w:rsidR="00AC592E" w:rsidRPr="00D46439" w:rsidRDefault="00AC592E" w:rsidP="00D46439">
            <w:pPr>
              <w:ind w:firstLine="0"/>
            </w:pPr>
            <w:r w:rsidRPr="00D46439">
              <w:t>可转债</w:t>
            </w:r>
            <w:r w:rsidR="005F4AFA" w:rsidRPr="00D46439">
              <w:t>（可交换债）</w:t>
            </w:r>
          </w:p>
        </w:tc>
        <w:tc>
          <w:tcPr>
            <w:tcW w:w="3534" w:type="dxa"/>
            <w:vAlign w:val="center"/>
          </w:tcPr>
          <w:p w:rsidR="00AC592E" w:rsidRPr="00D46439" w:rsidRDefault="00AC592E" w:rsidP="00D46439">
            <w:pPr>
              <w:ind w:firstLine="0"/>
              <w:jc w:val="right"/>
            </w:pPr>
            <w:r w:rsidRPr="00D46439">
              <w:t>-</w:t>
            </w:r>
          </w:p>
        </w:tc>
        <w:tc>
          <w:tcPr>
            <w:tcW w:w="2700" w:type="dxa"/>
            <w:vAlign w:val="center"/>
          </w:tcPr>
          <w:p w:rsidR="00AC592E" w:rsidRPr="00D46439" w:rsidRDefault="00AC592E" w:rsidP="00D46439">
            <w:pPr>
              <w:ind w:firstLine="0"/>
              <w:jc w:val="right"/>
            </w:pPr>
            <w:r w:rsidRPr="00D46439">
              <w:t>-</w:t>
            </w:r>
          </w:p>
        </w:tc>
      </w:tr>
      <w:tr w:rsidR="00C14450" w:rsidRPr="00D46439" w:rsidTr="005E0774">
        <w:trPr>
          <w:jc w:val="center"/>
        </w:trPr>
        <w:tc>
          <w:tcPr>
            <w:tcW w:w="709" w:type="dxa"/>
            <w:vAlign w:val="center"/>
          </w:tcPr>
          <w:p w:rsidR="00C14450" w:rsidRPr="00D46439" w:rsidRDefault="00C14450" w:rsidP="00D46439">
            <w:pPr>
              <w:ind w:firstLine="0"/>
              <w:jc w:val="center"/>
            </w:pPr>
            <w:r w:rsidRPr="00D46439">
              <w:t>8</w:t>
            </w:r>
          </w:p>
        </w:tc>
        <w:tc>
          <w:tcPr>
            <w:tcW w:w="2126" w:type="dxa"/>
            <w:vAlign w:val="center"/>
          </w:tcPr>
          <w:p w:rsidR="00C14450" w:rsidRPr="00D46439" w:rsidRDefault="00C14450" w:rsidP="00D46439">
            <w:pPr>
              <w:ind w:firstLine="0"/>
            </w:pPr>
            <w:r w:rsidRPr="00D46439">
              <w:t>同业存单</w:t>
            </w:r>
          </w:p>
        </w:tc>
        <w:tc>
          <w:tcPr>
            <w:tcW w:w="3534" w:type="dxa"/>
            <w:vAlign w:val="center"/>
          </w:tcPr>
          <w:p w:rsidR="00C14450" w:rsidRPr="00D46439" w:rsidRDefault="00C14450" w:rsidP="00D46439">
            <w:pPr>
              <w:ind w:firstLine="0"/>
              <w:jc w:val="right"/>
            </w:pPr>
            <w:r w:rsidRPr="00D46439">
              <w:t>57,928,000.00</w:t>
            </w:r>
          </w:p>
        </w:tc>
        <w:tc>
          <w:tcPr>
            <w:tcW w:w="2700" w:type="dxa"/>
            <w:vAlign w:val="center"/>
          </w:tcPr>
          <w:p w:rsidR="00C14450" w:rsidRPr="00D46439" w:rsidRDefault="00C14450" w:rsidP="00D46439">
            <w:pPr>
              <w:ind w:firstLine="0"/>
              <w:jc w:val="right"/>
            </w:pPr>
            <w:r w:rsidRPr="00D46439">
              <w:t>11.06</w:t>
            </w:r>
          </w:p>
        </w:tc>
      </w:tr>
      <w:tr w:rsidR="00220C32" w:rsidRPr="00D46439" w:rsidTr="005E0774">
        <w:trPr>
          <w:jc w:val="center"/>
        </w:trPr>
        <w:tc>
          <w:tcPr>
            <w:tcW w:w="709" w:type="dxa"/>
            <w:vAlign w:val="center"/>
          </w:tcPr>
          <w:p w:rsidR="00AC592E" w:rsidRPr="00D46439" w:rsidRDefault="00AC592E" w:rsidP="00D46439">
            <w:pPr>
              <w:ind w:firstLine="0"/>
              <w:jc w:val="center"/>
            </w:pPr>
            <w:r w:rsidRPr="00D46439">
              <w:t>9</w:t>
            </w:r>
          </w:p>
        </w:tc>
        <w:tc>
          <w:tcPr>
            <w:tcW w:w="2126" w:type="dxa"/>
            <w:vAlign w:val="center"/>
          </w:tcPr>
          <w:p w:rsidR="00AC592E" w:rsidRPr="00D46439" w:rsidRDefault="00AC592E" w:rsidP="00D46439">
            <w:pPr>
              <w:ind w:firstLine="0"/>
            </w:pPr>
            <w:r w:rsidRPr="00D46439">
              <w:t>其他</w:t>
            </w:r>
          </w:p>
        </w:tc>
        <w:tc>
          <w:tcPr>
            <w:tcW w:w="3534" w:type="dxa"/>
            <w:vAlign w:val="center"/>
          </w:tcPr>
          <w:p w:rsidR="00AC592E" w:rsidRPr="00D46439" w:rsidRDefault="00AC592E" w:rsidP="00D46439">
            <w:pPr>
              <w:ind w:firstLine="0"/>
              <w:jc w:val="right"/>
            </w:pPr>
            <w:r w:rsidRPr="00D46439">
              <w:t>-</w:t>
            </w:r>
          </w:p>
        </w:tc>
        <w:tc>
          <w:tcPr>
            <w:tcW w:w="2700" w:type="dxa"/>
            <w:vAlign w:val="center"/>
          </w:tcPr>
          <w:p w:rsidR="00AC592E" w:rsidRPr="00D46439" w:rsidRDefault="00AC592E" w:rsidP="00D46439">
            <w:pPr>
              <w:ind w:firstLine="0"/>
              <w:jc w:val="right"/>
            </w:pPr>
            <w:r w:rsidRPr="00D46439">
              <w:t>-</w:t>
            </w:r>
          </w:p>
        </w:tc>
      </w:tr>
      <w:tr w:rsidR="00220C32" w:rsidRPr="00D46439" w:rsidTr="005E0774">
        <w:trPr>
          <w:jc w:val="center"/>
        </w:trPr>
        <w:tc>
          <w:tcPr>
            <w:tcW w:w="709" w:type="dxa"/>
            <w:vAlign w:val="center"/>
          </w:tcPr>
          <w:p w:rsidR="00AC592E" w:rsidRPr="00D46439" w:rsidRDefault="00AC592E" w:rsidP="00D46439">
            <w:pPr>
              <w:ind w:firstLine="0"/>
              <w:jc w:val="center"/>
            </w:pPr>
            <w:r w:rsidRPr="00D46439">
              <w:t>10</w:t>
            </w:r>
          </w:p>
        </w:tc>
        <w:tc>
          <w:tcPr>
            <w:tcW w:w="2126" w:type="dxa"/>
            <w:vAlign w:val="center"/>
          </w:tcPr>
          <w:p w:rsidR="00AC592E" w:rsidRPr="00D46439" w:rsidRDefault="00AC592E" w:rsidP="00D46439">
            <w:pPr>
              <w:ind w:firstLine="0"/>
            </w:pPr>
            <w:r w:rsidRPr="00D46439">
              <w:t>合计</w:t>
            </w:r>
          </w:p>
        </w:tc>
        <w:tc>
          <w:tcPr>
            <w:tcW w:w="3534" w:type="dxa"/>
            <w:vAlign w:val="center"/>
          </w:tcPr>
          <w:p w:rsidR="00AC592E" w:rsidRPr="00D46439" w:rsidRDefault="00AC592E" w:rsidP="00D46439">
            <w:pPr>
              <w:ind w:firstLine="0"/>
              <w:jc w:val="right"/>
            </w:pPr>
            <w:r w:rsidRPr="00D46439">
              <w:t>600,606,000.00</w:t>
            </w:r>
          </w:p>
        </w:tc>
        <w:tc>
          <w:tcPr>
            <w:tcW w:w="2700" w:type="dxa"/>
            <w:vAlign w:val="center"/>
          </w:tcPr>
          <w:p w:rsidR="00AC592E" w:rsidRPr="00D46439" w:rsidRDefault="00AC592E" w:rsidP="00D46439">
            <w:pPr>
              <w:ind w:firstLine="0"/>
              <w:jc w:val="right"/>
            </w:pPr>
            <w:r w:rsidRPr="00D46439">
              <w:t>114.67</w:t>
            </w:r>
          </w:p>
        </w:tc>
      </w:tr>
    </w:tbl>
    <w:p w:rsidR="004061AC" w:rsidRPr="003531AD" w:rsidRDefault="004061AC" w:rsidP="00CA6AE6">
      <w:pPr>
        <w:pStyle w:val="xx"/>
        <w:rPr>
          <w:rFonts w:ascii="Times New Roman" w:hAnsi="Times New Roman" w:cs="Times New Roman"/>
        </w:rPr>
      </w:pPr>
      <w:r w:rsidRPr="003531AD">
        <w:rPr>
          <w:rFonts w:ascii="Times New Roman" w:hAnsi="Times New Roman" w:cs="Times New Roman"/>
        </w:rPr>
        <w:t xml:space="preserve">5.5 </w:t>
      </w:r>
      <w:r w:rsidRPr="003531AD">
        <w:rPr>
          <w:rFonts w:ascii="Times New Roman" w:hAnsi="Times New Roman" w:cs="Times New Roman"/>
        </w:rPr>
        <w:t>报告期末按公允价值占基金资产净值比例大小排</w:t>
      </w:r>
      <w:r w:rsidR="001D63BB" w:rsidRPr="003531AD">
        <w:rPr>
          <w:rFonts w:ascii="Times New Roman" w:hAnsi="Times New Roman" w:cs="Times New Roman"/>
        </w:rPr>
        <w:t>序</w:t>
      </w:r>
      <w:r w:rsidRPr="003531AD">
        <w:rPr>
          <w:rFonts w:ascii="Times New Roman" w:hAnsi="Times New Roman" w:cs="Times New Roman"/>
        </w:rPr>
        <w:t>的前五名债券投资明细</w:t>
      </w:r>
    </w:p>
    <w:tbl>
      <w:tblPr>
        <w:tblStyle w:val="af7"/>
        <w:tblW w:w="5000" w:type="pct"/>
        <w:jc w:val="center"/>
        <w:tblLayout w:type="fixed"/>
        <w:tblLook w:val="04A0" w:firstRow="1" w:lastRow="0" w:firstColumn="1" w:lastColumn="0" w:noHBand="0" w:noVBand="1"/>
      </w:tblPr>
      <w:tblGrid>
        <w:gridCol w:w="725"/>
        <w:gridCol w:w="1338"/>
        <w:gridCol w:w="2156"/>
        <w:gridCol w:w="1440"/>
        <w:gridCol w:w="2031"/>
        <w:gridCol w:w="1596"/>
      </w:tblGrid>
      <w:tr w:rsidR="00220C32" w:rsidRPr="00D46439" w:rsidTr="00376E86">
        <w:trPr>
          <w:jc w:val="center"/>
        </w:trPr>
        <w:tc>
          <w:tcPr>
            <w:tcW w:w="725" w:type="dxa"/>
            <w:vAlign w:val="center"/>
          </w:tcPr>
          <w:p w:rsidR="003E62FB" w:rsidRPr="00D46439" w:rsidRDefault="003E62FB" w:rsidP="00D46439">
            <w:pPr>
              <w:ind w:firstLine="0"/>
              <w:jc w:val="center"/>
            </w:pPr>
            <w:r w:rsidRPr="00D46439">
              <w:t>序号</w:t>
            </w:r>
          </w:p>
        </w:tc>
        <w:tc>
          <w:tcPr>
            <w:tcW w:w="1338" w:type="dxa"/>
            <w:vAlign w:val="center"/>
          </w:tcPr>
          <w:p w:rsidR="003E62FB" w:rsidRPr="00D46439" w:rsidRDefault="003E62FB" w:rsidP="00D46439">
            <w:pPr>
              <w:ind w:firstLine="0"/>
              <w:jc w:val="center"/>
            </w:pPr>
            <w:r w:rsidRPr="00D46439">
              <w:t>债券代码</w:t>
            </w:r>
          </w:p>
        </w:tc>
        <w:tc>
          <w:tcPr>
            <w:tcW w:w="2156" w:type="dxa"/>
            <w:vAlign w:val="center"/>
          </w:tcPr>
          <w:p w:rsidR="003E62FB" w:rsidRPr="00D46439" w:rsidRDefault="003E62FB" w:rsidP="00D46439">
            <w:pPr>
              <w:ind w:firstLine="0"/>
              <w:jc w:val="center"/>
            </w:pPr>
            <w:r w:rsidRPr="00D46439">
              <w:t>债券名称</w:t>
            </w:r>
          </w:p>
        </w:tc>
        <w:tc>
          <w:tcPr>
            <w:tcW w:w="1440" w:type="dxa"/>
            <w:vAlign w:val="center"/>
          </w:tcPr>
          <w:p w:rsidR="003E62FB" w:rsidRPr="00D46439" w:rsidRDefault="003E62FB" w:rsidP="00D46439">
            <w:pPr>
              <w:ind w:firstLine="0"/>
              <w:jc w:val="center"/>
            </w:pPr>
            <w:r w:rsidRPr="00D46439">
              <w:t>数量</w:t>
            </w:r>
            <w:r w:rsidR="00D57B7C" w:rsidRPr="00D46439">
              <w:t>(</w:t>
            </w:r>
            <w:r w:rsidRPr="00D46439">
              <w:t>张</w:t>
            </w:r>
            <w:r w:rsidR="00D57B7C" w:rsidRPr="00D46439">
              <w:t>)</w:t>
            </w:r>
          </w:p>
        </w:tc>
        <w:tc>
          <w:tcPr>
            <w:tcW w:w="2031" w:type="dxa"/>
            <w:vAlign w:val="center"/>
          </w:tcPr>
          <w:p w:rsidR="003E62FB" w:rsidRPr="00D46439" w:rsidRDefault="003E62FB" w:rsidP="00D46439">
            <w:pPr>
              <w:ind w:firstLine="0"/>
              <w:jc w:val="center"/>
            </w:pPr>
            <w:r w:rsidRPr="00D46439">
              <w:t>公允价值</w:t>
            </w:r>
            <w:r w:rsidRPr="00D46439">
              <w:t>(</w:t>
            </w:r>
            <w:r w:rsidRPr="00D46439">
              <w:t>元</w:t>
            </w:r>
            <w:r w:rsidRPr="00D46439">
              <w:t>)</w:t>
            </w:r>
          </w:p>
        </w:tc>
        <w:tc>
          <w:tcPr>
            <w:tcW w:w="1596" w:type="dxa"/>
            <w:vAlign w:val="center"/>
          </w:tcPr>
          <w:p w:rsidR="003E62FB" w:rsidRPr="00D46439" w:rsidRDefault="003E62FB" w:rsidP="00D46439">
            <w:pPr>
              <w:ind w:firstLine="0"/>
              <w:jc w:val="center"/>
            </w:pPr>
            <w:r w:rsidRPr="00D46439">
              <w:t>占基金资产净值比例</w:t>
            </w:r>
            <w:r w:rsidR="00D57B7C" w:rsidRPr="00D46439">
              <w:t>(</w:t>
            </w:r>
            <w:r w:rsidRPr="00D46439">
              <w:t>％</w:t>
            </w:r>
            <w:r w:rsidR="00D57B7C" w:rsidRPr="00D46439">
              <w:t>)</w:t>
            </w:r>
          </w:p>
        </w:tc>
      </w:tr>
      <w:tr w:rsidR="008729F7" w:rsidTr="00376E86">
        <w:trPr>
          <w:jc w:val="center"/>
        </w:trPr>
        <w:tc>
          <w:tcPr>
            <w:tcW w:w="725" w:type="dxa"/>
            <w:vAlign w:val="center"/>
          </w:tcPr>
          <w:p w:rsidR="008729F7" w:rsidRDefault="00DC7FED" w:rsidP="00376E86">
            <w:pPr>
              <w:ind w:firstLine="0"/>
              <w:jc w:val="center"/>
            </w:pPr>
            <w:r>
              <w:t>1</w:t>
            </w:r>
          </w:p>
        </w:tc>
        <w:tc>
          <w:tcPr>
            <w:tcW w:w="1338" w:type="dxa"/>
            <w:vAlign w:val="center"/>
          </w:tcPr>
          <w:p w:rsidR="008729F7" w:rsidRDefault="00DC7FED" w:rsidP="003814E5">
            <w:pPr>
              <w:ind w:firstLine="0"/>
              <w:jc w:val="left"/>
            </w:pPr>
            <w:r>
              <w:t>160210</w:t>
            </w:r>
          </w:p>
        </w:tc>
        <w:tc>
          <w:tcPr>
            <w:tcW w:w="2156" w:type="dxa"/>
            <w:vAlign w:val="center"/>
          </w:tcPr>
          <w:p w:rsidR="008729F7" w:rsidRDefault="00DC7FED" w:rsidP="003814E5">
            <w:pPr>
              <w:ind w:firstLine="0"/>
              <w:jc w:val="left"/>
            </w:pPr>
            <w:r>
              <w:t>16</w:t>
            </w:r>
            <w:r>
              <w:t>国开</w:t>
            </w:r>
            <w:r>
              <w:t>10</w:t>
            </w:r>
          </w:p>
        </w:tc>
        <w:tc>
          <w:tcPr>
            <w:tcW w:w="1440" w:type="dxa"/>
            <w:vAlign w:val="center"/>
          </w:tcPr>
          <w:p w:rsidR="008729F7" w:rsidRDefault="00DC7FED">
            <w:pPr>
              <w:jc w:val="right"/>
            </w:pPr>
            <w:r>
              <w:t>800,000</w:t>
            </w:r>
          </w:p>
        </w:tc>
        <w:tc>
          <w:tcPr>
            <w:tcW w:w="2031" w:type="dxa"/>
            <w:vAlign w:val="center"/>
          </w:tcPr>
          <w:p w:rsidR="008729F7" w:rsidRDefault="00DC7FED">
            <w:pPr>
              <w:jc w:val="right"/>
            </w:pPr>
            <w:r>
              <w:t>78,488,000.00</w:t>
            </w:r>
          </w:p>
        </w:tc>
        <w:tc>
          <w:tcPr>
            <w:tcW w:w="1596" w:type="dxa"/>
            <w:vAlign w:val="center"/>
          </w:tcPr>
          <w:p w:rsidR="008729F7" w:rsidRDefault="00DC7FED">
            <w:pPr>
              <w:jc w:val="right"/>
            </w:pPr>
            <w:r>
              <w:t>14.99</w:t>
            </w:r>
          </w:p>
        </w:tc>
      </w:tr>
      <w:tr w:rsidR="008729F7" w:rsidTr="00376E86">
        <w:trPr>
          <w:jc w:val="center"/>
        </w:trPr>
        <w:tc>
          <w:tcPr>
            <w:tcW w:w="725" w:type="dxa"/>
            <w:vAlign w:val="center"/>
          </w:tcPr>
          <w:p w:rsidR="008729F7" w:rsidRDefault="00DC7FED" w:rsidP="00376E86">
            <w:pPr>
              <w:ind w:firstLine="0"/>
              <w:jc w:val="center"/>
            </w:pPr>
            <w:r>
              <w:t>2</w:t>
            </w:r>
          </w:p>
        </w:tc>
        <w:tc>
          <w:tcPr>
            <w:tcW w:w="1338" w:type="dxa"/>
            <w:vAlign w:val="center"/>
          </w:tcPr>
          <w:p w:rsidR="008729F7" w:rsidRDefault="00DC7FED" w:rsidP="003814E5">
            <w:pPr>
              <w:ind w:firstLine="0"/>
              <w:jc w:val="left"/>
            </w:pPr>
            <w:r>
              <w:t>1720008</w:t>
            </w:r>
          </w:p>
        </w:tc>
        <w:tc>
          <w:tcPr>
            <w:tcW w:w="2156" w:type="dxa"/>
            <w:vAlign w:val="center"/>
          </w:tcPr>
          <w:p w:rsidR="008729F7" w:rsidRDefault="00DC7FED" w:rsidP="003814E5">
            <w:pPr>
              <w:ind w:firstLine="0"/>
              <w:jc w:val="left"/>
            </w:pPr>
            <w:r>
              <w:t>17</w:t>
            </w:r>
            <w:r>
              <w:t>日照银行二级</w:t>
            </w:r>
            <w:r>
              <w:t>01</w:t>
            </w:r>
          </w:p>
        </w:tc>
        <w:tc>
          <w:tcPr>
            <w:tcW w:w="1440" w:type="dxa"/>
            <w:vAlign w:val="center"/>
          </w:tcPr>
          <w:p w:rsidR="008729F7" w:rsidRDefault="00DC7FED">
            <w:pPr>
              <w:jc w:val="right"/>
            </w:pPr>
            <w:r>
              <w:t>500,000</w:t>
            </w:r>
          </w:p>
        </w:tc>
        <w:tc>
          <w:tcPr>
            <w:tcW w:w="2031" w:type="dxa"/>
            <w:vAlign w:val="center"/>
          </w:tcPr>
          <w:p w:rsidR="008729F7" w:rsidRDefault="00DC7FED">
            <w:pPr>
              <w:jc w:val="right"/>
            </w:pPr>
            <w:r>
              <w:t>50,900,000.00</w:t>
            </w:r>
          </w:p>
        </w:tc>
        <w:tc>
          <w:tcPr>
            <w:tcW w:w="1596" w:type="dxa"/>
            <w:vAlign w:val="center"/>
          </w:tcPr>
          <w:p w:rsidR="008729F7" w:rsidRDefault="00DC7FED">
            <w:pPr>
              <w:jc w:val="right"/>
            </w:pPr>
            <w:r>
              <w:t>9.72</w:t>
            </w:r>
          </w:p>
        </w:tc>
      </w:tr>
      <w:tr w:rsidR="008729F7" w:rsidTr="00376E86">
        <w:trPr>
          <w:jc w:val="center"/>
        </w:trPr>
        <w:tc>
          <w:tcPr>
            <w:tcW w:w="725" w:type="dxa"/>
            <w:vAlign w:val="center"/>
          </w:tcPr>
          <w:p w:rsidR="008729F7" w:rsidRDefault="00DC7FED" w:rsidP="00376E86">
            <w:pPr>
              <w:ind w:firstLine="0"/>
              <w:jc w:val="center"/>
            </w:pPr>
            <w:r>
              <w:t>3</w:t>
            </w:r>
          </w:p>
        </w:tc>
        <w:tc>
          <w:tcPr>
            <w:tcW w:w="1338" w:type="dxa"/>
            <w:vAlign w:val="center"/>
          </w:tcPr>
          <w:p w:rsidR="008729F7" w:rsidRDefault="00DC7FED" w:rsidP="003814E5">
            <w:pPr>
              <w:ind w:firstLine="0"/>
              <w:jc w:val="left"/>
            </w:pPr>
            <w:r>
              <w:t>1480527</w:t>
            </w:r>
          </w:p>
        </w:tc>
        <w:tc>
          <w:tcPr>
            <w:tcW w:w="2156" w:type="dxa"/>
            <w:vAlign w:val="center"/>
          </w:tcPr>
          <w:p w:rsidR="008729F7" w:rsidRDefault="00DC7FED" w:rsidP="003814E5">
            <w:pPr>
              <w:ind w:firstLine="0"/>
              <w:jc w:val="left"/>
            </w:pPr>
            <w:r>
              <w:t>14</w:t>
            </w:r>
            <w:proofErr w:type="gramStart"/>
            <w:r>
              <w:t>京保障房债</w:t>
            </w:r>
            <w:proofErr w:type="gramEnd"/>
          </w:p>
        </w:tc>
        <w:tc>
          <w:tcPr>
            <w:tcW w:w="1440" w:type="dxa"/>
            <w:vAlign w:val="center"/>
          </w:tcPr>
          <w:p w:rsidR="008729F7" w:rsidRDefault="00DC7FED">
            <w:pPr>
              <w:jc w:val="right"/>
            </w:pPr>
            <w:r>
              <w:t>500,000</w:t>
            </w:r>
          </w:p>
        </w:tc>
        <w:tc>
          <w:tcPr>
            <w:tcW w:w="2031" w:type="dxa"/>
            <w:vAlign w:val="center"/>
          </w:tcPr>
          <w:p w:rsidR="008729F7" w:rsidRDefault="00DC7FED">
            <w:pPr>
              <w:jc w:val="right"/>
            </w:pPr>
            <w:r>
              <w:t>50,135,000.00</w:t>
            </w:r>
          </w:p>
        </w:tc>
        <w:tc>
          <w:tcPr>
            <w:tcW w:w="1596" w:type="dxa"/>
            <w:vAlign w:val="center"/>
          </w:tcPr>
          <w:p w:rsidR="008729F7" w:rsidRDefault="00DC7FED">
            <w:pPr>
              <w:jc w:val="right"/>
            </w:pPr>
            <w:r>
              <w:t>9.57</w:t>
            </w:r>
          </w:p>
        </w:tc>
      </w:tr>
      <w:tr w:rsidR="008729F7" w:rsidTr="00376E86">
        <w:trPr>
          <w:jc w:val="center"/>
        </w:trPr>
        <w:tc>
          <w:tcPr>
            <w:tcW w:w="725" w:type="dxa"/>
            <w:vAlign w:val="center"/>
          </w:tcPr>
          <w:p w:rsidR="008729F7" w:rsidRDefault="00DC7FED" w:rsidP="00376E86">
            <w:pPr>
              <w:ind w:firstLine="0"/>
              <w:jc w:val="center"/>
            </w:pPr>
            <w:r>
              <w:t>4</w:t>
            </w:r>
          </w:p>
        </w:tc>
        <w:tc>
          <w:tcPr>
            <w:tcW w:w="1338" w:type="dxa"/>
            <w:vAlign w:val="center"/>
          </w:tcPr>
          <w:p w:rsidR="008729F7" w:rsidRDefault="00DC7FED" w:rsidP="003814E5">
            <w:pPr>
              <w:ind w:firstLine="0"/>
              <w:jc w:val="left"/>
            </w:pPr>
            <w:r>
              <w:t>150203</w:t>
            </w:r>
          </w:p>
        </w:tc>
        <w:tc>
          <w:tcPr>
            <w:tcW w:w="2156" w:type="dxa"/>
            <w:vAlign w:val="center"/>
          </w:tcPr>
          <w:p w:rsidR="008729F7" w:rsidRDefault="00DC7FED" w:rsidP="003814E5">
            <w:pPr>
              <w:ind w:firstLine="0"/>
              <w:jc w:val="left"/>
            </w:pPr>
            <w:r>
              <w:t>15</w:t>
            </w:r>
            <w:r>
              <w:t>国开</w:t>
            </w:r>
            <w:r>
              <w:t>03</w:t>
            </w:r>
          </w:p>
        </w:tc>
        <w:tc>
          <w:tcPr>
            <w:tcW w:w="1440" w:type="dxa"/>
            <w:vAlign w:val="center"/>
          </w:tcPr>
          <w:p w:rsidR="008729F7" w:rsidRDefault="00DC7FED">
            <w:pPr>
              <w:jc w:val="right"/>
            </w:pPr>
            <w:r>
              <w:t>500,000</w:t>
            </w:r>
          </w:p>
        </w:tc>
        <w:tc>
          <w:tcPr>
            <w:tcW w:w="2031" w:type="dxa"/>
            <w:vAlign w:val="center"/>
          </w:tcPr>
          <w:p w:rsidR="008729F7" w:rsidRDefault="00DC7FED">
            <w:pPr>
              <w:jc w:val="right"/>
            </w:pPr>
            <w:r>
              <w:t>50,100,000.00</w:t>
            </w:r>
          </w:p>
        </w:tc>
        <w:tc>
          <w:tcPr>
            <w:tcW w:w="1596" w:type="dxa"/>
            <w:vAlign w:val="center"/>
          </w:tcPr>
          <w:p w:rsidR="008729F7" w:rsidRDefault="00DC7FED">
            <w:pPr>
              <w:jc w:val="right"/>
            </w:pPr>
            <w:r>
              <w:t>9.57</w:t>
            </w:r>
          </w:p>
        </w:tc>
      </w:tr>
      <w:tr w:rsidR="008729F7" w:rsidTr="00376E86">
        <w:trPr>
          <w:jc w:val="center"/>
        </w:trPr>
        <w:tc>
          <w:tcPr>
            <w:tcW w:w="725" w:type="dxa"/>
            <w:vAlign w:val="center"/>
          </w:tcPr>
          <w:p w:rsidR="008729F7" w:rsidRDefault="00DC7FED" w:rsidP="00376E86">
            <w:pPr>
              <w:ind w:firstLine="0"/>
              <w:jc w:val="center"/>
            </w:pPr>
            <w:r>
              <w:t>5</w:t>
            </w:r>
          </w:p>
        </w:tc>
        <w:tc>
          <w:tcPr>
            <w:tcW w:w="1338" w:type="dxa"/>
            <w:vAlign w:val="center"/>
          </w:tcPr>
          <w:p w:rsidR="008729F7" w:rsidRDefault="00DC7FED" w:rsidP="003814E5">
            <w:pPr>
              <w:ind w:firstLine="0"/>
              <w:jc w:val="left"/>
            </w:pPr>
            <w:r>
              <w:t>163028</w:t>
            </w:r>
          </w:p>
        </w:tc>
        <w:tc>
          <w:tcPr>
            <w:tcW w:w="2156" w:type="dxa"/>
            <w:vAlign w:val="center"/>
          </w:tcPr>
          <w:p w:rsidR="008729F7" w:rsidRDefault="00DC7FED" w:rsidP="003814E5">
            <w:pPr>
              <w:ind w:firstLine="0"/>
              <w:jc w:val="left"/>
            </w:pPr>
            <w:r>
              <w:t>19</w:t>
            </w:r>
            <w:proofErr w:type="gramStart"/>
            <w:r>
              <w:t>漳</w:t>
            </w:r>
            <w:proofErr w:type="gramEnd"/>
            <w:r>
              <w:t>九</w:t>
            </w:r>
            <w:proofErr w:type="gramStart"/>
            <w:r>
              <w:t>03</w:t>
            </w:r>
            <w:proofErr w:type="gramEnd"/>
          </w:p>
        </w:tc>
        <w:tc>
          <w:tcPr>
            <w:tcW w:w="1440" w:type="dxa"/>
            <w:vAlign w:val="center"/>
          </w:tcPr>
          <w:p w:rsidR="008729F7" w:rsidRDefault="00DC7FED">
            <w:pPr>
              <w:jc w:val="right"/>
            </w:pPr>
            <w:r>
              <w:t>500,000</w:t>
            </w:r>
          </w:p>
        </w:tc>
        <w:tc>
          <w:tcPr>
            <w:tcW w:w="2031" w:type="dxa"/>
            <w:vAlign w:val="center"/>
          </w:tcPr>
          <w:p w:rsidR="008729F7" w:rsidRDefault="00DC7FED">
            <w:pPr>
              <w:jc w:val="right"/>
            </w:pPr>
            <w:r>
              <w:t>50,080,000.00</w:t>
            </w:r>
          </w:p>
        </w:tc>
        <w:tc>
          <w:tcPr>
            <w:tcW w:w="1596" w:type="dxa"/>
            <w:vAlign w:val="center"/>
          </w:tcPr>
          <w:p w:rsidR="008729F7" w:rsidRDefault="00DC7FED">
            <w:pPr>
              <w:jc w:val="right"/>
            </w:pPr>
            <w:r>
              <w:t>9.56</w:t>
            </w:r>
          </w:p>
        </w:tc>
      </w:tr>
    </w:tbl>
    <w:p w:rsidR="004061AC" w:rsidRPr="003531AD" w:rsidRDefault="004061AC" w:rsidP="00CA6AE6">
      <w:pPr>
        <w:pStyle w:val="xx"/>
        <w:rPr>
          <w:rFonts w:ascii="Times New Roman" w:hAnsi="Times New Roman" w:cs="Times New Roman"/>
        </w:rPr>
      </w:pPr>
      <w:r w:rsidRPr="003531AD">
        <w:rPr>
          <w:rFonts w:ascii="Times New Roman" w:hAnsi="Times New Roman" w:cs="Times New Roman"/>
        </w:rPr>
        <w:t xml:space="preserve">5.6 </w:t>
      </w:r>
      <w:r w:rsidRPr="003531AD">
        <w:rPr>
          <w:rFonts w:ascii="Times New Roman" w:hAnsi="Times New Roman" w:cs="Times New Roman"/>
        </w:rPr>
        <w:t>报告期末按公允价值占基金资产净值比例大小排</w:t>
      </w:r>
      <w:r w:rsidR="001D63BB" w:rsidRPr="003531AD">
        <w:rPr>
          <w:rFonts w:ascii="Times New Roman" w:hAnsi="Times New Roman" w:cs="Times New Roman"/>
        </w:rPr>
        <w:t>序</w:t>
      </w:r>
      <w:r w:rsidRPr="003531AD">
        <w:rPr>
          <w:rFonts w:ascii="Times New Roman" w:hAnsi="Times New Roman" w:cs="Times New Roman"/>
        </w:rPr>
        <w:t>的前十名资产支持证券投资明细</w:t>
      </w:r>
    </w:p>
    <w:tbl>
      <w:tblPr>
        <w:tblStyle w:val="af7"/>
        <w:tblW w:w="5000" w:type="pct"/>
        <w:jc w:val="center"/>
        <w:tblLayout w:type="fixed"/>
        <w:tblLook w:val="04A0" w:firstRow="1" w:lastRow="0" w:firstColumn="1" w:lastColumn="0" w:noHBand="0" w:noVBand="1"/>
      </w:tblPr>
      <w:tblGrid>
        <w:gridCol w:w="725"/>
        <w:gridCol w:w="1338"/>
        <w:gridCol w:w="2014"/>
        <w:gridCol w:w="1582"/>
        <w:gridCol w:w="2031"/>
        <w:gridCol w:w="1596"/>
      </w:tblGrid>
      <w:tr w:rsidR="00220C32" w:rsidRPr="00D46439" w:rsidTr="00376E86">
        <w:trPr>
          <w:jc w:val="center"/>
        </w:trPr>
        <w:tc>
          <w:tcPr>
            <w:tcW w:w="725" w:type="dxa"/>
            <w:vAlign w:val="center"/>
          </w:tcPr>
          <w:p w:rsidR="003E62FB" w:rsidRPr="00D46439" w:rsidRDefault="003E62FB" w:rsidP="00D46439">
            <w:pPr>
              <w:ind w:firstLine="0"/>
              <w:jc w:val="center"/>
            </w:pPr>
            <w:r w:rsidRPr="00D46439">
              <w:t>序号</w:t>
            </w:r>
          </w:p>
        </w:tc>
        <w:tc>
          <w:tcPr>
            <w:tcW w:w="1338" w:type="dxa"/>
            <w:vAlign w:val="center"/>
          </w:tcPr>
          <w:p w:rsidR="003E62FB" w:rsidRPr="00D46439" w:rsidRDefault="003E62FB" w:rsidP="00D46439">
            <w:pPr>
              <w:ind w:firstLine="0"/>
              <w:jc w:val="center"/>
            </w:pPr>
            <w:r w:rsidRPr="00D46439">
              <w:t>证券代码</w:t>
            </w:r>
          </w:p>
        </w:tc>
        <w:tc>
          <w:tcPr>
            <w:tcW w:w="2014" w:type="dxa"/>
            <w:vAlign w:val="center"/>
          </w:tcPr>
          <w:p w:rsidR="003E62FB" w:rsidRPr="00D46439" w:rsidRDefault="003E62FB" w:rsidP="00D46439">
            <w:pPr>
              <w:ind w:firstLine="0"/>
              <w:jc w:val="center"/>
            </w:pPr>
            <w:r w:rsidRPr="00D46439">
              <w:t>证券名称</w:t>
            </w:r>
          </w:p>
        </w:tc>
        <w:tc>
          <w:tcPr>
            <w:tcW w:w="1582" w:type="dxa"/>
            <w:vAlign w:val="center"/>
          </w:tcPr>
          <w:p w:rsidR="003E62FB" w:rsidRPr="00D46439" w:rsidRDefault="003E62FB" w:rsidP="00D46439">
            <w:pPr>
              <w:ind w:firstLine="0"/>
              <w:jc w:val="center"/>
            </w:pPr>
            <w:r w:rsidRPr="00D46439">
              <w:t>数量</w:t>
            </w:r>
            <w:r w:rsidR="00D57B7C" w:rsidRPr="00D46439">
              <w:t>(</w:t>
            </w:r>
            <w:r w:rsidRPr="00D46439">
              <w:t>份</w:t>
            </w:r>
            <w:r w:rsidR="00D57B7C" w:rsidRPr="00D46439">
              <w:t>)</w:t>
            </w:r>
          </w:p>
        </w:tc>
        <w:tc>
          <w:tcPr>
            <w:tcW w:w="2031" w:type="dxa"/>
            <w:vAlign w:val="center"/>
          </w:tcPr>
          <w:p w:rsidR="003E62FB" w:rsidRPr="00D46439" w:rsidRDefault="003E62FB" w:rsidP="00D46439">
            <w:pPr>
              <w:ind w:firstLine="0"/>
              <w:jc w:val="center"/>
            </w:pPr>
            <w:r w:rsidRPr="00D46439">
              <w:t>公允价值</w:t>
            </w:r>
            <w:r w:rsidRPr="00D46439">
              <w:t>(</w:t>
            </w:r>
            <w:r w:rsidRPr="00D46439">
              <w:t>元</w:t>
            </w:r>
            <w:r w:rsidRPr="00D46439">
              <w:t>)</w:t>
            </w:r>
          </w:p>
        </w:tc>
        <w:tc>
          <w:tcPr>
            <w:tcW w:w="1596" w:type="dxa"/>
            <w:vAlign w:val="center"/>
          </w:tcPr>
          <w:p w:rsidR="003E62FB" w:rsidRPr="00D46439" w:rsidRDefault="003E62FB" w:rsidP="00D46439">
            <w:pPr>
              <w:ind w:firstLine="0"/>
              <w:jc w:val="center"/>
            </w:pPr>
            <w:r w:rsidRPr="00D46439">
              <w:t>占基金资产净值比例</w:t>
            </w:r>
            <w:r w:rsidR="00D57B7C" w:rsidRPr="00D46439">
              <w:t>(</w:t>
            </w:r>
            <w:r w:rsidRPr="00D46439">
              <w:t>％</w:t>
            </w:r>
            <w:r w:rsidR="00D57B7C" w:rsidRPr="00D46439">
              <w:t>)</w:t>
            </w:r>
          </w:p>
        </w:tc>
      </w:tr>
      <w:tr w:rsidR="008729F7" w:rsidTr="00376E86">
        <w:trPr>
          <w:jc w:val="center"/>
        </w:trPr>
        <w:tc>
          <w:tcPr>
            <w:tcW w:w="725" w:type="dxa"/>
            <w:vAlign w:val="center"/>
          </w:tcPr>
          <w:p w:rsidR="008729F7" w:rsidRDefault="00DC7FED" w:rsidP="00376E86">
            <w:pPr>
              <w:ind w:firstLine="0"/>
              <w:jc w:val="center"/>
            </w:pPr>
            <w:r>
              <w:t>1</w:t>
            </w:r>
          </w:p>
        </w:tc>
        <w:tc>
          <w:tcPr>
            <w:tcW w:w="1338" w:type="dxa"/>
            <w:vAlign w:val="center"/>
          </w:tcPr>
          <w:p w:rsidR="008729F7" w:rsidRDefault="00DC7FED" w:rsidP="003814E5">
            <w:pPr>
              <w:ind w:firstLine="0"/>
              <w:jc w:val="left"/>
            </w:pPr>
            <w:r>
              <w:t>1889225</w:t>
            </w:r>
          </w:p>
        </w:tc>
        <w:tc>
          <w:tcPr>
            <w:tcW w:w="2014" w:type="dxa"/>
            <w:vAlign w:val="center"/>
          </w:tcPr>
          <w:p w:rsidR="008729F7" w:rsidRDefault="00DC7FED" w:rsidP="003814E5">
            <w:pPr>
              <w:ind w:firstLine="0"/>
              <w:jc w:val="left"/>
            </w:pPr>
            <w:r>
              <w:t>18</w:t>
            </w:r>
            <w:proofErr w:type="gramStart"/>
            <w:r>
              <w:t>飞驰建融</w:t>
            </w:r>
            <w:proofErr w:type="gramEnd"/>
            <w:r>
              <w:t>5A_bc</w:t>
            </w:r>
          </w:p>
        </w:tc>
        <w:tc>
          <w:tcPr>
            <w:tcW w:w="1582" w:type="dxa"/>
            <w:vAlign w:val="center"/>
          </w:tcPr>
          <w:p w:rsidR="008729F7" w:rsidRDefault="00DC7FED">
            <w:pPr>
              <w:jc w:val="right"/>
            </w:pPr>
            <w:r>
              <w:t>200,000.00</w:t>
            </w:r>
          </w:p>
        </w:tc>
        <w:tc>
          <w:tcPr>
            <w:tcW w:w="2031" w:type="dxa"/>
            <w:vAlign w:val="center"/>
          </w:tcPr>
          <w:p w:rsidR="008729F7" w:rsidRDefault="00DC7FED">
            <w:pPr>
              <w:jc w:val="right"/>
            </w:pPr>
            <w:r>
              <w:t>4,112,000.00</w:t>
            </w:r>
          </w:p>
        </w:tc>
        <w:tc>
          <w:tcPr>
            <w:tcW w:w="1596" w:type="dxa"/>
            <w:vAlign w:val="center"/>
          </w:tcPr>
          <w:p w:rsidR="008729F7" w:rsidRDefault="00DC7FED">
            <w:pPr>
              <w:jc w:val="right"/>
            </w:pPr>
            <w:r>
              <w:t>0.79</w:t>
            </w:r>
          </w:p>
        </w:tc>
      </w:tr>
    </w:tbl>
    <w:p w:rsidR="001D63BB" w:rsidRPr="003531AD" w:rsidRDefault="001D63BB" w:rsidP="00CA6AE6">
      <w:pPr>
        <w:pStyle w:val="xx"/>
        <w:rPr>
          <w:rFonts w:ascii="Times New Roman" w:hAnsi="Times New Roman" w:cs="Times New Roman"/>
        </w:rPr>
      </w:pPr>
      <w:r w:rsidRPr="003531AD">
        <w:rPr>
          <w:rFonts w:ascii="Times New Roman" w:hAnsi="Times New Roman" w:cs="Times New Roman"/>
        </w:rPr>
        <w:t xml:space="preserve">5.7 </w:t>
      </w:r>
      <w:r w:rsidRPr="003531AD">
        <w:rPr>
          <w:rFonts w:ascii="Times New Roman" w:hAnsi="Times New Roman" w:cs="Times New Roman"/>
        </w:rPr>
        <w:t>报告期末按公允价值占基金资产净值比例大小排序的前五名贵金属投资明细</w:t>
      </w:r>
    </w:p>
    <w:p w:rsidR="004061AC" w:rsidRPr="003531AD" w:rsidRDefault="001D63BB" w:rsidP="00321311">
      <w:pPr>
        <w:pStyle w:val="new0"/>
        <w:rPr>
          <w:rFonts w:ascii="Times New Roman" w:hAnsi="Times New Roman" w:cs="Times New Roman"/>
        </w:rPr>
      </w:pPr>
      <w:r w:rsidRPr="003531AD">
        <w:rPr>
          <w:rFonts w:ascii="Times New Roman" w:hAnsi="Times New Roman" w:cs="Times New Roman"/>
        </w:rPr>
        <w:t>本基金本报告期末未持有贵金属。</w:t>
      </w:r>
    </w:p>
    <w:p w:rsidR="004061AC" w:rsidRPr="003531AD" w:rsidRDefault="00A917BF" w:rsidP="00CA6AE6">
      <w:pPr>
        <w:pStyle w:val="xx"/>
        <w:rPr>
          <w:rFonts w:ascii="Times New Roman" w:hAnsi="Times New Roman" w:cs="Times New Roman"/>
        </w:rPr>
      </w:pPr>
      <w:r w:rsidRPr="003531AD">
        <w:rPr>
          <w:rFonts w:ascii="Times New Roman" w:hAnsi="Times New Roman" w:cs="Times New Roman"/>
        </w:rPr>
        <w:t>5.8</w:t>
      </w:r>
      <w:r w:rsidR="004061AC" w:rsidRPr="003531AD">
        <w:rPr>
          <w:rFonts w:ascii="Times New Roman" w:hAnsi="Times New Roman" w:cs="Times New Roman"/>
        </w:rPr>
        <w:t xml:space="preserve"> </w:t>
      </w:r>
      <w:r w:rsidR="004061AC" w:rsidRPr="003531AD">
        <w:rPr>
          <w:rFonts w:ascii="Times New Roman" w:hAnsi="Times New Roman" w:cs="Times New Roman"/>
        </w:rPr>
        <w:t>报告期末按公允价值占基金资产净值比例大小排</w:t>
      </w:r>
      <w:r w:rsidR="001D63BB" w:rsidRPr="003531AD">
        <w:rPr>
          <w:rFonts w:ascii="Times New Roman" w:hAnsi="Times New Roman" w:cs="Times New Roman"/>
        </w:rPr>
        <w:t>序</w:t>
      </w:r>
      <w:r w:rsidR="004061AC" w:rsidRPr="003531AD">
        <w:rPr>
          <w:rFonts w:ascii="Times New Roman" w:hAnsi="Times New Roman" w:cs="Times New Roman"/>
        </w:rPr>
        <w:t>的前五名权证投资明细</w:t>
      </w:r>
    </w:p>
    <w:p w:rsidR="00DB3902" w:rsidRPr="003531AD" w:rsidRDefault="004061AC" w:rsidP="00DB3902">
      <w:pPr>
        <w:pStyle w:val="new0"/>
        <w:rPr>
          <w:rFonts w:ascii="Times New Roman" w:hAnsi="Times New Roman" w:cs="Times New Roman"/>
        </w:rPr>
      </w:pPr>
      <w:r w:rsidRPr="003531AD">
        <w:rPr>
          <w:rFonts w:ascii="Times New Roman" w:hAnsi="Times New Roman" w:cs="Times New Roman"/>
        </w:rPr>
        <w:t>本基金本报告期末未持有权证。</w:t>
      </w:r>
    </w:p>
    <w:p w:rsidR="00275745" w:rsidRPr="003531AD" w:rsidRDefault="003259C8" w:rsidP="00CA6AE6">
      <w:pPr>
        <w:pStyle w:val="xx"/>
        <w:rPr>
          <w:rFonts w:ascii="Times New Roman" w:hAnsi="Times New Roman" w:cs="Times New Roman"/>
        </w:rPr>
      </w:pPr>
      <w:r w:rsidRPr="003531AD">
        <w:rPr>
          <w:rFonts w:ascii="Times New Roman" w:hAnsi="Times New Roman" w:cs="Times New Roman"/>
        </w:rPr>
        <w:lastRenderedPageBreak/>
        <w:t>5</w:t>
      </w:r>
      <w:r w:rsidR="00A917BF" w:rsidRPr="003531AD">
        <w:rPr>
          <w:rFonts w:ascii="Times New Roman" w:hAnsi="Times New Roman" w:cs="Times New Roman"/>
        </w:rPr>
        <w:t>.</w:t>
      </w:r>
      <w:r w:rsidR="0059076B" w:rsidRPr="003531AD">
        <w:rPr>
          <w:rFonts w:ascii="Times New Roman" w:hAnsi="Times New Roman" w:cs="Times New Roman"/>
        </w:rPr>
        <w:t>9</w:t>
      </w:r>
      <w:r w:rsidR="00275745" w:rsidRPr="003531AD">
        <w:rPr>
          <w:rFonts w:ascii="Times New Roman" w:hAnsi="Times New Roman" w:cs="Times New Roman"/>
        </w:rPr>
        <w:t xml:space="preserve"> </w:t>
      </w:r>
      <w:r w:rsidR="00275745" w:rsidRPr="003531AD">
        <w:rPr>
          <w:rFonts w:ascii="Times New Roman" w:hAnsi="Times New Roman" w:cs="Times New Roman"/>
        </w:rPr>
        <w:t>报告期末本基金投资的股指期货交易情况说明</w:t>
      </w:r>
    </w:p>
    <w:p w:rsidR="00AA3A38" w:rsidRPr="003531AD" w:rsidRDefault="00AA3A38" w:rsidP="00321311">
      <w:pPr>
        <w:pStyle w:val="new0"/>
        <w:rPr>
          <w:rFonts w:ascii="Times New Roman" w:hAnsi="Times New Roman" w:cs="Times New Roman"/>
        </w:rPr>
      </w:pPr>
      <w:r w:rsidRPr="003531AD">
        <w:rPr>
          <w:rFonts w:ascii="Times New Roman" w:hAnsi="Times New Roman" w:cs="Times New Roman"/>
        </w:rPr>
        <w:t>本基金本报告期末未持有股指期货。</w:t>
      </w:r>
    </w:p>
    <w:p w:rsidR="00312A9F" w:rsidRPr="003531AD" w:rsidRDefault="00312A9F" w:rsidP="00CA6AE6">
      <w:pPr>
        <w:pStyle w:val="xx"/>
        <w:rPr>
          <w:rFonts w:ascii="Times New Roman" w:hAnsi="Times New Roman" w:cs="Times New Roman"/>
        </w:rPr>
      </w:pPr>
      <w:r w:rsidRPr="003531AD">
        <w:rPr>
          <w:rFonts w:ascii="Times New Roman" w:hAnsi="Times New Roman" w:cs="Times New Roman"/>
        </w:rPr>
        <w:t>5.10</w:t>
      </w:r>
      <w:r w:rsidR="00321311" w:rsidRPr="003531AD">
        <w:rPr>
          <w:rFonts w:ascii="Times New Roman" w:hAnsi="Times New Roman" w:cs="Times New Roman"/>
        </w:rPr>
        <w:t xml:space="preserve"> </w:t>
      </w:r>
      <w:r w:rsidRPr="003531AD">
        <w:rPr>
          <w:rFonts w:ascii="Times New Roman" w:hAnsi="Times New Roman" w:cs="Times New Roman"/>
        </w:rPr>
        <w:t>报告期末本基金投资的国债期货交易情况说明</w:t>
      </w:r>
    </w:p>
    <w:p w:rsidR="00312A9F" w:rsidRPr="003531AD" w:rsidRDefault="00312A9F" w:rsidP="00321311">
      <w:pPr>
        <w:pStyle w:val="new0"/>
        <w:rPr>
          <w:rFonts w:ascii="Times New Roman" w:hAnsi="Times New Roman" w:cs="Times New Roman"/>
        </w:rPr>
      </w:pPr>
      <w:r w:rsidRPr="003531AD">
        <w:rPr>
          <w:rFonts w:ascii="Times New Roman" w:hAnsi="Times New Roman" w:cs="Times New Roman"/>
        </w:rPr>
        <w:t>本基金本报告期末未持有国债期货。</w:t>
      </w:r>
    </w:p>
    <w:p w:rsidR="004061AC" w:rsidRPr="003531AD" w:rsidRDefault="003259C8" w:rsidP="00CA6AE6">
      <w:pPr>
        <w:pStyle w:val="xx"/>
        <w:rPr>
          <w:rFonts w:ascii="Times New Roman" w:hAnsi="Times New Roman" w:cs="Times New Roman"/>
        </w:rPr>
      </w:pPr>
      <w:r w:rsidRPr="003531AD">
        <w:rPr>
          <w:rFonts w:ascii="Times New Roman" w:hAnsi="Times New Roman" w:cs="Times New Roman"/>
        </w:rPr>
        <w:t>5</w:t>
      </w:r>
      <w:r w:rsidR="00275745" w:rsidRPr="003531AD">
        <w:rPr>
          <w:rFonts w:ascii="Times New Roman" w:hAnsi="Times New Roman" w:cs="Times New Roman"/>
        </w:rPr>
        <w:t>.</w:t>
      </w:r>
      <w:r w:rsidR="0059076B" w:rsidRPr="003531AD">
        <w:rPr>
          <w:rFonts w:ascii="Times New Roman" w:hAnsi="Times New Roman" w:cs="Times New Roman"/>
        </w:rPr>
        <w:t>11</w:t>
      </w:r>
      <w:r w:rsidR="004061AC" w:rsidRPr="003531AD">
        <w:rPr>
          <w:rFonts w:ascii="Times New Roman" w:hAnsi="Times New Roman" w:cs="Times New Roman"/>
        </w:rPr>
        <w:t xml:space="preserve"> </w:t>
      </w:r>
      <w:r w:rsidR="004061AC" w:rsidRPr="003531AD">
        <w:rPr>
          <w:rFonts w:ascii="Times New Roman" w:hAnsi="Times New Roman" w:cs="Times New Roman"/>
        </w:rPr>
        <w:t>投资组合报告附注</w:t>
      </w:r>
    </w:p>
    <w:p w:rsidR="008729F7" w:rsidRPr="00DF69A9" w:rsidRDefault="00DF69A9">
      <w:pPr>
        <w:pStyle w:val="41"/>
        <w:rPr>
          <w:rFonts w:ascii="Times New Roman" w:hAnsi="Times New Roman" w:cs="Times New Roman"/>
          <w:color w:val="000000" w:themeColor="text1"/>
        </w:rPr>
      </w:pPr>
      <w:r w:rsidRPr="00DF69A9">
        <w:rPr>
          <w:rFonts w:ascii="Times New Roman" w:hAnsi="Times New Roman" w:cs="Times New Roman"/>
        </w:rPr>
        <w:t>5.11.1</w:t>
      </w:r>
      <w:r w:rsidR="00DC7FED" w:rsidRPr="00DF69A9">
        <w:rPr>
          <w:rFonts w:ascii="Times New Roman" w:hAnsi="Times New Roman" w:cs="Times New Roman"/>
          <w:color w:val="000000" w:themeColor="text1"/>
        </w:rPr>
        <w:t>本报告期内，本基金投资的前十名证券中除</w:t>
      </w:r>
      <w:r w:rsidR="00DC7FED" w:rsidRPr="00DF69A9">
        <w:rPr>
          <w:rFonts w:ascii="Times New Roman" w:hAnsi="Times New Roman" w:cs="Times New Roman"/>
          <w:color w:val="000000" w:themeColor="text1"/>
        </w:rPr>
        <w:t>18</w:t>
      </w:r>
      <w:r w:rsidR="00DC7FED" w:rsidRPr="00DF69A9">
        <w:rPr>
          <w:rFonts w:ascii="Times New Roman" w:hAnsi="Times New Roman" w:cs="Times New Roman"/>
          <w:color w:val="000000" w:themeColor="text1"/>
        </w:rPr>
        <w:t>民生银行</w:t>
      </w:r>
      <w:r w:rsidR="00DC7FED" w:rsidRPr="00DF69A9">
        <w:rPr>
          <w:rFonts w:ascii="Times New Roman" w:hAnsi="Times New Roman" w:cs="Times New Roman"/>
          <w:color w:val="000000" w:themeColor="text1"/>
        </w:rPr>
        <w:t>02(1828020)</w:t>
      </w:r>
      <w:r w:rsidR="00DC7FED" w:rsidRPr="00DF69A9">
        <w:rPr>
          <w:rFonts w:ascii="Times New Roman" w:hAnsi="Times New Roman" w:cs="Times New Roman"/>
          <w:color w:val="000000" w:themeColor="text1"/>
        </w:rPr>
        <w:t>的发行主体外，没有出现被监管部门立案调查，或在报告编制日前一年内受到公开谴责、处罚的情形。</w:t>
      </w:r>
    </w:p>
    <w:p w:rsidR="008729F7" w:rsidRPr="00DB2857" w:rsidRDefault="00DC7FED">
      <w:pPr>
        <w:pStyle w:val="41"/>
        <w:rPr>
          <w:rFonts w:ascii="Times New Roman" w:hAnsi="Times New Roman" w:cs="Times New Roman"/>
          <w:b w:val="0"/>
          <w:color w:val="000000" w:themeColor="text1"/>
        </w:rPr>
      </w:pPr>
      <w:r w:rsidRPr="00DB2857">
        <w:rPr>
          <w:rFonts w:ascii="Times New Roman" w:hAnsi="Times New Roman" w:cs="Times New Roman"/>
          <w:b w:val="0"/>
          <w:color w:val="000000" w:themeColor="text1"/>
        </w:rPr>
        <w:t>2019</w:t>
      </w:r>
      <w:r w:rsidRPr="00DB2857">
        <w:rPr>
          <w:rFonts w:ascii="Times New Roman" w:hAnsi="Times New Roman" w:cs="Times New Roman"/>
          <w:b w:val="0"/>
          <w:color w:val="000000" w:themeColor="text1"/>
        </w:rPr>
        <w:t>年</w:t>
      </w:r>
      <w:r w:rsidRPr="00DB2857">
        <w:rPr>
          <w:rFonts w:ascii="Times New Roman" w:hAnsi="Times New Roman" w:cs="Times New Roman"/>
          <w:b w:val="0"/>
          <w:color w:val="000000" w:themeColor="text1"/>
        </w:rPr>
        <w:t>12</w:t>
      </w:r>
      <w:r w:rsidRPr="00DB2857">
        <w:rPr>
          <w:rFonts w:ascii="Times New Roman" w:hAnsi="Times New Roman" w:cs="Times New Roman"/>
          <w:b w:val="0"/>
          <w:color w:val="000000" w:themeColor="text1"/>
        </w:rPr>
        <w:t>月</w:t>
      </w:r>
      <w:r w:rsidRPr="00DB2857">
        <w:rPr>
          <w:rFonts w:ascii="Times New Roman" w:hAnsi="Times New Roman" w:cs="Times New Roman"/>
          <w:b w:val="0"/>
          <w:color w:val="000000" w:themeColor="text1"/>
        </w:rPr>
        <w:t>20</w:t>
      </w:r>
      <w:r w:rsidRPr="00DB2857">
        <w:rPr>
          <w:rFonts w:ascii="Times New Roman" w:hAnsi="Times New Roman" w:cs="Times New Roman"/>
          <w:b w:val="0"/>
          <w:color w:val="000000" w:themeColor="text1"/>
        </w:rPr>
        <w:t>日，因存在同业票据业务管理失控等违规行为，中国银行业监督管理委员会北京监管局对中国民生银行股份有限公司处以罚款的行政处罚。</w:t>
      </w:r>
    </w:p>
    <w:p w:rsidR="004061AC" w:rsidRPr="00DF69A9" w:rsidRDefault="004061AC" w:rsidP="00CA6AE6">
      <w:pPr>
        <w:pStyle w:val="41"/>
        <w:rPr>
          <w:rFonts w:ascii="Times New Roman" w:hAnsi="Times New Roman" w:cs="Times New Roman"/>
          <w:b w:val="0"/>
          <w:color w:val="000000" w:themeColor="text1"/>
        </w:rPr>
      </w:pPr>
      <w:r w:rsidRPr="00DF69A9">
        <w:rPr>
          <w:rFonts w:ascii="Times New Roman" w:hAnsi="Times New Roman" w:cs="Times New Roman"/>
          <w:b w:val="0"/>
          <w:color w:val="000000" w:themeColor="text1"/>
        </w:rPr>
        <w:t>对该证券投资决策程序的说明：根据我司的基金投资管理相关制度，以相应的研究报告为基础，结合其未来增长前景，由基金经理决定具体投资行为。</w:t>
      </w:r>
    </w:p>
    <w:p w:rsidR="004061AC" w:rsidRPr="003531AD" w:rsidRDefault="003259C8" w:rsidP="00CA6AE6">
      <w:pPr>
        <w:pStyle w:val="41"/>
        <w:rPr>
          <w:rFonts w:ascii="Times New Roman" w:hAnsi="Times New Roman" w:cs="Times New Roman"/>
          <w:color w:val="000000" w:themeColor="text1"/>
        </w:rPr>
      </w:pPr>
      <w:r w:rsidRPr="003531AD">
        <w:rPr>
          <w:rFonts w:ascii="Times New Roman" w:hAnsi="Times New Roman" w:cs="Times New Roman"/>
          <w:color w:val="000000" w:themeColor="text1"/>
        </w:rPr>
        <w:t>5</w:t>
      </w:r>
      <w:r w:rsidR="00275745" w:rsidRPr="003531AD">
        <w:rPr>
          <w:rFonts w:ascii="Times New Roman" w:hAnsi="Times New Roman" w:cs="Times New Roman"/>
          <w:color w:val="000000" w:themeColor="text1"/>
        </w:rPr>
        <w:t>.</w:t>
      </w:r>
      <w:r w:rsidR="0059076B" w:rsidRPr="003531AD">
        <w:rPr>
          <w:rFonts w:ascii="Times New Roman" w:hAnsi="Times New Roman" w:cs="Times New Roman"/>
          <w:color w:val="000000" w:themeColor="text1"/>
        </w:rPr>
        <w:t>11</w:t>
      </w:r>
      <w:r w:rsidR="004061AC" w:rsidRPr="003531AD">
        <w:rPr>
          <w:rFonts w:ascii="Times New Roman" w:hAnsi="Times New Roman" w:cs="Times New Roman"/>
          <w:color w:val="000000" w:themeColor="text1"/>
        </w:rPr>
        <w:t>.</w:t>
      </w:r>
      <w:r w:rsidR="0059076B" w:rsidRPr="003531AD">
        <w:rPr>
          <w:rFonts w:ascii="Times New Roman" w:hAnsi="Times New Roman" w:cs="Times New Roman"/>
          <w:color w:val="000000" w:themeColor="text1"/>
        </w:rPr>
        <w:t>2</w:t>
      </w:r>
      <w:r w:rsidR="00321311" w:rsidRPr="003531AD">
        <w:rPr>
          <w:rFonts w:ascii="Times New Roman" w:hAnsi="Times New Roman" w:cs="Times New Roman"/>
          <w:color w:val="000000" w:themeColor="text1"/>
        </w:rPr>
        <w:t xml:space="preserve"> </w:t>
      </w:r>
      <w:r w:rsidR="004061AC" w:rsidRPr="003531AD">
        <w:rPr>
          <w:rFonts w:ascii="Times New Roman" w:hAnsi="Times New Roman" w:cs="Times New Roman"/>
          <w:color w:val="000000" w:themeColor="text1"/>
        </w:rPr>
        <w:t>报告期内基金投资的前十名股票中，没有投资超出基金合同规定备选股票库之外的股票。</w:t>
      </w:r>
    </w:p>
    <w:p w:rsidR="004061AC" w:rsidRPr="003531AD" w:rsidRDefault="003259C8" w:rsidP="00CA6AE6">
      <w:pPr>
        <w:pStyle w:val="41"/>
        <w:rPr>
          <w:rFonts w:ascii="Times New Roman" w:hAnsi="Times New Roman" w:cs="Times New Roman"/>
        </w:rPr>
      </w:pPr>
      <w:r w:rsidRPr="003531AD">
        <w:rPr>
          <w:rFonts w:ascii="Times New Roman" w:hAnsi="Times New Roman" w:cs="Times New Roman"/>
        </w:rPr>
        <w:t>5</w:t>
      </w:r>
      <w:r w:rsidR="00275745" w:rsidRPr="003531AD">
        <w:rPr>
          <w:rFonts w:ascii="Times New Roman" w:hAnsi="Times New Roman" w:cs="Times New Roman"/>
        </w:rPr>
        <w:t>.</w:t>
      </w:r>
      <w:r w:rsidR="0059076B" w:rsidRPr="003531AD">
        <w:rPr>
          <w:rFonts w:ascii="Times New Roman" w:hAnsi="Times New Roman" w:cs="Times New Roman"/>
        </w:rPr>
        <w:t>11.3</w:t>
      </w:r>
      <w:r w:rsidR="004061AC" w:rsidRPr="003531AD">
        <w:rPr>
          <w:rFonts w:ascii="Times New Roman" w:hAnsi="Times New Roman" w:cs="Times New Roman"/>
        </w:rPr>
        <w:t xml:space="preserve"> </w:t>
      </w:r>
      <w:r w:rsidR="0097377D" w:rsidRPr="003531AD">
        <w:rPr>
          <w:rFonts w:ascii="Times New Roman" w:hAnsi="Times New Roman" w:cs="Times New Roman"/>
        </w:rPr>
        <w:t>其他</w:t>
      </w:r>
      <w:r w:rsidR="004061AC" w:rsidRPr="003531AD">
        <w:rPr>
          <w:rFonts w:ascii="Times New Roman" w:hAnsi="Times New Roman" w:cs="Times New Roman"/>
        </w:rPr>
        <w:t>资产构成</w:t>
      </w:r>
    </w:p>
    <w:tbl>
      <w:tblPr>
        <w:tblStyle w:val="af7"/>
        <w:tblW w:w="5000" w:type="pct"/>
        <w:jc w:val="center"/>
        <w:tblLayout w:type="fixed"/>
        <w:tblLook w:val="04A0" w:firstRow="1" w:lastRow="0" w:firstColumn="1" w:lastColumn="0" w:noHBand="0" w:noVBand="1"/>
      </w:tblPr>
      <w:tblGrid>
        <w:gridCol w:w="725"/>
        <w:gridCol w:w="3193"/>
        <w:gridCol w:w="5368"/>
      </w:tblGrid>
      <w:tr w:rsidR="00220C32" w:rsidRPr="00D46439" w:rsidTr="005E0774">
        <w:trPr>
          <w:jc w:val="center"/>
        </w:trPr>
        <w:tc>
          <w:tcPr>
            <w:tcW w:w="709" w:type="dxa"/>
            <w:vAlign w:val="center"/>
          </w:tcPr>
          <w:p w:rsidR="00F31F6E" w:rsidRPr="00D46439" w:rsidRDefault="00F31F6E" w:rsidP="00D46439">
            <w:pPr>
              <w:ind w:firstLine="0"/>
              <w:jc w:val="center"/>
            </w:pPr>
            <w:r w:rsidRPr="00D46439">
              <w:t>序号</w:t>
            </w:r>
          </w:p>
        </w:tc>
        <w:tc>
          <w:tcPr>
            <w:tcW w:w="3119" w:type="dxa"/>
            <w:vAlign w:val="center"/>
          </w:tcPr>
          <w:p w:rsidR="00F31F6E" w:rsidRPr="00D46439" w:rsidRDefault="00F31F6E" w:rsidP="00D46439">
            <w:pPr>
              <w:ind w:firstLine="0"/>
              <w:jc w:val="center"/>
            </w:pPr>
            <w:r w:rsidRPr="00D46439">
              <w:t>名称</w:t>
            </w:r>
          </w:p>
        </w:tc>
        <w:tc>
          <w:tcPr>
            <w:tcW w:w="5244" w:type="dxa"/>
            <w:vAlign w:val="center"/>
          </w:tcPr>
          <w:p w:rsidR="00F31F6E" w:rsidRPr="00D46439" w:rsidRDefault="00F31F6E" w:rsidP="00D46439">
            <w:pPr>
              <w:ind w:firstLine="0"/>
              <w:jc w:val="center"/>
            </w:pPr>
            <w:r w:rsidRPr="00D46439">
              <w:t>金额</w:t>
            </w:r>
            <w:r w:rsidRPr="00D46439">
              <w:t>(</w:t>
            </w:r>
            <w:r w:rsidRPr="00D46439">
              <w:t>元</w:t>
            </w:r>
            <w:r w:rsidRPr="00D46439">
              <w:t>)</w:t>
            </w:r>
          </w:p>
        </w:tc>
      </w:tr>
      <w:tr w:rsidR="00220C32" w:rsidRPr="00D46439" w:rsidTr="005E0774">
        <w:trPr>
          <w:jc w:val="center"/>
        </w:trPr>
        <w:tc>
          <w:tcPr>
            <w:tcW w:w="709" w:type="dxa"/>
            <w:vAlign w:val="center"/>
          </w:tcPr>
          <w:p w:rsidR="00F31F6E" w:rsidRPr="00D46439" w:rsidRDefault="00F31F6E" w:rsidP="00D46439">
            <w:pPr>
              <w:ind w:firstLine="0"/>
              <w:jc w:val="center"/>
            </w:pPr>
            <w:r w:rsidRPr="00D46439">
              <w:t>1</w:t>
            </w:r>
          </w:p>
        </w:tc>
        <w:tc>
          <w:tcPr>
            <w:tcW w:w="3119" w:type="dxa"/>
            <w:vAlign w:val="center"/>
          </w:tcPr>
          <w:p w:rsidR="00F31F6E" w:rsidRPr="00D46439" w:rsidRDefault="00F31F6E" w:rsidP="00D46439">
            <w:pPr>
              <w:ind w:firstLine="0"/>
            </w:pPr>
            <w:r w:rsidRPr="00D46439">
              <w:t>存出保证金</w:t>
            </w:r>
          </w:p>
        </w:tc>
        <w:tc>
          <w:tcPr>
            <w:tcW w:w="5244" w:type="dxa"/>
            <w:vAlign w:val="center"/>
          </w:tcPr>
          <w:p w:rsidR="00F31F6E" w:rsidRPr="00D46439" w:rsidRDefault="00F31F6E" w:rsidP="00D46439">
            <w:pPr>
              <w:ind w:firstLine="0"/>
              <w:jc w:val="right"/>
            </w:pPr>
            <w:r w:rsidRPr="00D46439">
              <w:t>-</w:t>
            </w:r>
          </w:p>
        </w:tc>
      </w:tr>
      <w:tr w:rsidR="00220C32" w:rsidRPr="00D46439" w:rsidTr="005E0774">
        <w:trPr>
          <w:jc w:val="center"/>
        </w:trPr>
        <w:tc>
          <w:tcPr>
            <w:tcW w:w="709" w:type="dxa"/>
            <w:vAlign w:val="center"/>
          </w:tcPr>
          <w:p w:rsidR="00F31F6E" w:rsidRPr="00D46439" w:rsidRDefault="00F31F6E" w:rsidP="00D46439">
            <w:pPr>
              <w:ind w:firstLine="0"/>
              <w:jc w:val="center"/>
            </w:pPr>
            <w:r w:rsidRPr="00D46439">
              <w:t>2</w:t>
            </w:r>
          </w:p>
        </w:tc>
        <w:tc>
          <w:tcPr>
            <w:tcW w:w="3119" w:type="dxa"/>
            <w:vAlign w:val="center"/>
          </w:tcPr>
          <w:p w:rsidR="00F31F6E" w:rsidRPr="00D46439" w:rsidRDefault="00F31F6E" w:rsidP="00D46439">
            <w:pPr>
              <w:ind w:firstLine="0"/>
            </w:pPr>
            <w:r w:rsidRPr="00D46439">
              <w:t>应收证券清算款</w:t>
            </w:r>
          </w:p>
        </w:tc>
        <w:tc>
          <w:tcPr>
            <w:tcW w:w="5244" w:type="dxa"/>
            <w:vAlign w:val="center"/>
          </w:tcPr>
          <w:p w:rsidR="00F31F6E" w:rsidRPr="00D46439" w:rsidRDefault="00F31F6E" w:rsidP="00D46439">
            <w:pPr>
              <w:ind w:firstLine="0"/>
              <w:jc w:val="right"/>
            </w:pPr>
            <w:r w:rsidRPr="00D46439">
              <w:t>1,536,000.00</w:t>
            </w:r>
          </w:p>
        </w:tc>
      </w:tr>
      <w:tr w:rsidR="00220C32" w:rsidRPr="00D46439" w:rsidTr="005E0774">
        <w:trPr>
          <w:jc w:val="center"/>
        </w:trPr>
        <w:tc>
          <w:tcPr>
            <w:tcW w:w="709" w:type="dxa"/>
            <w:vAlign w:val="center"/>
          </w:tcPr>
          <w:p w:rsidR="00F31F6E" w:rsidRPr="00D46439" w:rsidRDefault="00F31F6E" w:rsidP="00D46439">
            <w:pPr>
              <w:ind w:firstLine="0"/>
              <w:jc w:val="center"/>
            </w:pPr>
            <w:r w:rsidRPr="00D46439">
              <w:t>3</w:t>
            </w:r>
          </w:p>
        </w:tc>
        <w:tc>
          <w:tcPr>
            <w:tcW w:w="3119" w:type="dxa"/>
            <w:vAlign w:val="center"/>
          </w:tcPr>
          <w:p w:rsidR="00F31F6E" w:rsidRPr="00D46439" w:rsidRDefault="00F31F6E" w:rsidP="00D46439">
            <w:pPr>
              <w:ind w:firstLine="0"/>
            </w:pPr>
            <w:r w:rsidRPr="00D46439">
              <w:t>应收股利</w:t>
            </w:r>
          </w:p>
        </w:tc>
        <w:tc>
          <w:tcPr>
            <w:tcW w:w="5244" w:type="dxa"/>
            <w:vAlign w:val="center"/>
          </w:tcPr>
          <w:p w:rsidR="00F31F6E" w:rsidRPr="00D46439" w:rsidRDefault="00F31F6E" w:rsidP="00D46439">
            <w:pPr>
              <w:ind w:firstLine="0"/>
              <w:jc w:val="right"/>
            </w:pPr>
            <w:r w:rsidRPr="00D46439">
              <w:t>-</w:t>
            </w:r>
          </w:p>
        </w:tc>
      </w:tr>
      <w:tr w:rsidR="00220C32" w:rsidRPr="00D46439" w:rsidTr="005E0774">
        <w:trPr>
          <w:jc w:val="center"/>
        </w:trPr>
        <w:tc>
          <w:tcPr>
            <w:tcW w:w="709" w:type="dxa"/>
            <w:vAlign w:val="center"/>
          </w:tcPr>
          <w:p w:rsidR="00F31F6E" w:rsidRPr="00D46439" w:rsidRDefault="00F31F6E" w:rsidP="00D46439">
            <w:pPr>
              <w:ind w:firstLine="0"/>
              <w:jc w:val="center"/>
            </w:pPr>
            <w:r w:rsidRPr="00D46439">
              <w:t>4</w:t>
            </w:r>
          </w:p>
        </w:tc>
        <w:tc>
          <w:tcPr>
            <w:tcW w:w="3119" w:type="dxa"/>
            <w:vAlign w:val="center"/>
          </w:tcPr>
          <w:p w:rsidR="00F31F6E" w:rsidRPr="00D46439" w:rsidRDefault="00F31F6E" w:rsidP="00D46439">
            <w:pPr>
              <w:ind w:firstLine="0"/>
            </w:pPr>
            <w:r w:rsidRPr="00D46439">
              <w:t>应收利息</w:t>
            </w:r>
          </w:p>
        </w:tc>
        <w:tc>
          <w:tcPr>
            <w:tcW w:w="5244" w:type="dxa"/>
            <w:vAlign w:val="center"/>
          </w:tcPr>
          <w:p w:rsidR="00F31F6E" w:rsidRPr="00D46439" w:rsidRDefault="00F31F6E" w:rsidP="00D46439">
            <w:pPr>
              <w:ind w:firstLine="0"/>
              <w:jc w:val="right"/>
            </w:pPr>
            <w:r w:rsidRPr="00D46439">
              <w:t>10,705,601.20</w:t>
            </w:r>
          </w:p>
        </w:tc>
      </w:tr>
      <w:tr w:rsidR="00220C32" w:rsidRPr="00D46439" w:rsidTr="005E0774">
        <w:trPr>
          <w:jc w:val="center"/>
        </w:trPr>
        <w:tc>
          <w:tcPr>
            <w:tcW w:w="709" w:type="dxa"/>
            <w:vAlign w:val="center"/>
          </w:tcPr>
          <w:p w:rsidR="00F31F6E" w:rsidRPr="00D46439" w:rsidRDefault="00F31F6E" w:rsidP="00D46439">
            <w:pPr>
              <w:ind w:firstLine="0"/>
              <w:jc w:val="center"/>
            </w:pPr>
            <w:r w:rsidRPr="00D46439">
              <w:t>5</w:t>
            </w:r>
          </w:p>
        </w:tc>
        <w:tc>
          <w:tcPr>
            <w:tcW w:w="3119" w:type="dxa"/>
            <w:vAlign w:val="center"/>
          </w:tcPr>
          <w:p w:rsidR="00F31F6E" w:rsidRPr="00D46439" w:rsidRDefault="00F31F6E" w:rsidP="00D46439">
            <w:pPr>
              <w:ind w:firstLine="0"/>
            </w:pPr>
            <w:r w:rsidRPr="00D46439">
              <w:t>应收申购款</w:t>
            </w:r>
          </w:p>
        </w:tc>
        <w:tc>
          <w:tcPr>
            <w:tcW w:w="5244" w:type="dxa"/>
            <w:vAlign w:val="center"/>
          </w:tcPr>
          <w:p w:rsidR="00F31F6E" w:rsidRPr="00D46439" w:rsidRDefault="00F31F6E" w:rsidP="00D46439">
            <w:pPr>
              <w:ind w:firstLine="0"/>
              <w:jc w:val="right"/>
            </w:pPr>
            <w:r w:rsidRPr="00D46439">
              <w:t>79.93</w:t>
            </w:r>
          </w:p>
        </w:tc>
      </w:tr>
      <w:tr w:rsidR="00220C32" w:rsidRPr="00D46439" w:rsidTr="005E0774">
        <w:trPr>
          <w:jc w:val="center"/>
        </w:trPr>
        <w:tc>
          <w:tcPr>
            <w:tcW w:w="709" w:type="dxa"/>
            <w:vAlign w:val="center"/>
          </w:tcPr>
          <w:p w:rsidR="00F31F6E" w:rsidRPr="00D46439" w:rsidRDefault="00F31F6E" w:rsidP="00D46439">
            <w:pPr>
              <w:ind w:firstLine="0"/>
              <w:jc w:val="center"/>
            </w:pPr>
            <w:r w:rsidRPr="00D46439">
              <w:t>6</w:t>
            </w:r>
          </w:p>
        </w:tc>
        <w:tc>
          <w:tcPr>
            <w:tcW w:w="3119" w:type="dxa"/>
            <w:vAlign w:val="center"/>
          </w:tcPr>
          <w:p w:rsidR="00F31F6E" w:rsidRPr="00D46439" w:rsidRDefault="00F31F6E" w:rsidP="00D46439">
            <w:pPr>
              <w:ind w:firstLine="0"/>
            </w:pPr>
            <w:r w:rsidRPr="00D46439">
              <w:t>其他应收款</w:t>
            </w:r>
          </w:p>
        </w:tc>
        <w:tc>
          <w:tcPr>
            <w:tcW w:w="5244" w:type="dxa"/>
            <w:vAlign w:val="center"/>
          </w:tcPr>
          <w:p w:rsidR="00F31F6E" w:rsidRPr="00D46439" w:rsidRDefault="00F31F6E" w:rsidP="00D46439">
            <w:pPr>
              <w:ind w:firstLine="0"/>
              <w:jc w:val="right"/>
            </w:pPr>
            <w:r w:rsidRPr="00D46439">
              <w:t>-</w:t>
            </w:r>
          </w:p>
        </w:tc>
      </w:tr>
      <w:tr w:rsidR="00220C32" w:rsidRPr="00D46439" w:rsidTr="005E0774">
        <w:trPr>
          <w:jc w:val="center"/>
        </w:trPr>
        <w:tc>
          <w:tcPr>
            <w:tcW w:w="709" w:type="dxa"/>
            <w:vAlign w:val="center"/>
          </w:tcPr>
          <w:p w:rsidR="00EB2C07" w:rsidRPr="00D46439" w:rsidRDefault="00EB2C07" w:rsidP="00D46439">
            <w:pPr>
              <w:ind w:firstLine="0"/>
              <w:jc w:val="center"/>
            </w:pPr>
            <w:r w:rsidRPr="00D46439">
              <w:t>7</w:t>
            </w:r>
          </w:p>
        </w:tc>
        <w:tc>
          <w:tcPr>
            <w:tcW w:w="3119" w:type="dxa"/>
            <w:vAlign w:val="center"/>
          </w:tcPr>
          <w:p w:rsidR="00EB2C07" w:rsidRPr="00D46439" w:rsidRDefault="00EB2C07" w:rsidP="00D46439">
            <w:pPr>
              <w:ind w:firstLine="0"/>
            </w:pPr>
            <w:r w:rsidRPr="00D46439">
              <w:t>待摊费用</w:t>
            </w:r>
          </w:p>
        </w:tc>
        <w:tc>
          <w:tcPr>
            <w:tcW w:w="5244" w:type="dxa"/>
            <w:vAlign w:val="center"/>
          </w:tcPr>
          <w:p w:rsidR="00EB2C07" w:rsidRPr="00D46439" w:rsidRDefault="00EB2C07" w:rsidP="00D46439">
            <w:pPr>
              <w:ind w:firstLine="0"/>
              <w:jc w:val="right"/>
            </w:pPr>
            <w:r w:rsidRPr="00D46439">
              <w:t>-</w:t>
            </w:r>
          </w:p>
        </w:tc>
      </w:tr>
      <w:tr w:rsidR="00220C32" w:rsidRPr="00D46439" w:rsidTr="005E0774">
        <w:trPr>
          <w:jc w:val="center"/>
        </w:trPr>
        <w:tc>
          <w:tcPr>
            <w:tcW w:w="709" w:type="dxa"/>
            <w:vAlign w:val="center"/>
          </w:tcPr>
          <w:p w:rsidR="00F31F6E" w:rsidRPr="00D46439" w:rsidRDefault="00F31F6E" w:rsidP="00D46439">
            <w:pPr>
              <w:ind w:firstLine="0"/>
              <w:jc w:val="center"/>
            </w:pPr>
            <w:r w:rsidRPr="00D46439">
              <w:t>8</w:t>
            </w:r>
          </w:p>
        </w:tc>
        <w:tc>
          <w:tcPr>
            <w:tcW w:w="3119" w:type="dxa"/>
            <w:vAlign w:val="center"/>
          </w:tcPr>
          <w:p w:rsidR="00F31F6E" w:rsidRPr="00D46439" w:rsidRDefault="00F31F6E" w:rsidP="00D46439">
            <w:pPr>
              <w:ind w:firstLine="0"/>
            </w:pPr>
            <w:r w:rsidRPr="00D46439">
              <w:t>其他</w:t>
            </w:r>
          </w:p>
        </w:tc>
        <w:tc>
          <w:tcPr>
            <w:tcW w:w="5244" w:type="dxa"/>
            <w:vAlign w:val="center"/>
          </w:tcPr>
          <w:p w:rsidR="00F31F6E" w:rsidRPr="00D46439" w:rsidRDefault="00F31F6E" w:rsidP="00D46439">
            <w:pPr>
              <w:ind w:firstLine="0"/>
              <w:jc w:val="right"/>
            </w:pPr>
            <w:r w:rsidRPr="00D46439">
              <w:t>-</w:t>
            </w:r>
          </w:p>
        </w:tc>
      </w:tr>
      <w:tr w:rsidR="00220C32" w:rsidRPr="00D46439" w:rsidTr="005E0774">
        <w:trPr>
          <w:jc w:val="center"/>
        </w:trPr>
        <w:tc>
          <w:tcPr>
            <w:tcW w:w="709" w:type="dxa"/>
            <w:vAlign w:val="center"/>
          </w:tcPr>
          <w:p w:rsidR="00F31F6E" w:rsidRPr="00D46439" w:rsidRDefault="00F31F6E" w:rsidP="00D46439">
            <w:pPr>
              <w:ind w:firstLine="0"/>
              <w:jc w:val="center"/>
            </w:pPr>
            <w:r w:rsidRPr="00D46439">
              <w:t>9</w:t>
            </w:r>
          </w:p>
        </w:tc>
        <w:tc>
          <w:tcPr>
            <w:tcW w:w="3119" w:type="dxa"/>
            <w:vAlign w:val="center"/>
          </w:tcPr>
          <w:p w:rsidR="00F31F6E" w:rsidRPr="00D46439" w:rsidRDefault="00F31F6E" w:rsidP="00D46439">
            <w:pPr>
              <w:ind w:firstLine="0"/>
            </w:pPr>
            <w:r w:rsidRPr="00D46439">
              <w:t>合计</w:t>
            </w:r>
          </w:p>
        </w:tc>
        <w:tc>
          <w:tcPr>
            <w:tcW w:w="5244" w:type="dxa"/>
            <w:vAlign w:val="center"/>
          </w:tcPr>
          <w:p w:rsidR="00F31F6E" w:rsidRPr="00D46439" w:rsidRDefault="00F31F6E" w:rsidP="00D46439">
            <w:pPr>
              <w:ind w:firstLine="0"/>
              <w:jc w:val="right"/>
            </w:pPr>
            <w:r w:rsidRPr="00D46439">
              <w:t>12,241,681.13</w:t>
            </w:r>
          </w:p>
        </w:tc>
      </w:tr>
    </w:tbl>
    <w:p w:rsidR="004061AC" w:rsidRPr="003531AD" w:rsidRDefault="003259C8" w:rsidP="00CA6AE6">
      <w:pPr>
        <w:pStyle w:val="41"/>
        <w:rPr>
          <w:rFonts w:ascii="Times New Roman" w:hAnsi="Times New Roman" w:cs="Times New Roman"/>
        </w:rPr>
      </w:pPr>
      <w:r w:rsidRPr="003531AD">
        <w:rPr>
          <w:rFonts w:ascii="Times New Roman" w:hAnsi="Times New Roman" w:cs="Times New Roman"/>
        </w:rPr>
        <w:t>5</w:t>
      </w:r>
      <w:r w:rsidR="00275745" w:rsidRPr="003531AD">
        <w:rPr>
          <w:rFonts w:ascii="Times New Roman" w:hAnsi="Times New Roman" w:cs="Times New Roman"/>
        </w:rPr>
        <w:t>.</w:t>
      </w:r>
      <w:r w:rsidR="0059076B" w:rsidRPr="003531AD">
        <w:rPr>
          <w:rFonts w:ascii="Times New Roman" w:hAnsi="Times New Roman" w:cs="Times New Roman"/>
        </w:rPr>
        <w:t>11.4</w:t>
      </w:r>
      <w:r w:rsidR="00321311" w:rsidRPr="003531AD">
        <w:rPr>
          <w:rFonts w:ascii="Times New Roman" w:hAnsi="Times New Roman" w:cs="Times New Roman"/>
        </w:rPr>
        <w:t xml:space="preserve"> </w:t>
      </w:r>
      <w:r w:rsidR="004061AC" w:rsidRPr="003531AD">
        <w:rPr>
          <w:rFonts w:ascii="Times New Roman" w:hAnsi="Times New Roman" w:cs="Times New Roman"/>
        </w:rPr>
        <w:t>报告期末持有的处于转股期的可转换债券明细</w:t>
      </w:r>
    </w:p>
    <w:p w:rsidR="00526424" w:rsidRPr="003531AD" w:rsidRDefault="004061AC" w:rsidP="00526424">
      <w:pPr>
        <w:pStyle w:val="new0"/>
        <w:rPr>
          <w:rFonts w:ascii="Times New Roman" w:hAnsi="Times New Roman" w:cs="Times New Roman"/>
        </w:rPr>
      </w:pPr>
      <w:r w:rsidRPr="003531AD">
        <w:rPr>
          <w:rFonts w:ascii="Times New Roman" w:hAnsi="Times New Roman" w:cs="Times New Roman"/>
        </w:rPr>
        <w:t>报告期末本基金未持有处于转股期的可转换债券。</w:t>
      </w:r>
    </w:p>
    <w:p w:rsidR="004061AC" w:rsidRPr="003531AD" w:rsidRDefault="003259C8" w:rsidP="00CA6AE6">
      <w:pPr>
        <w:pStyle w:val="41"/>
        <w:rPr>
          <w:rFonts w:ascii="Times New Roman" w:hAnsi="Times New Roman" w:cs="Times New Roman"/>
        </w:rPr>
      </w:pPr>
      <w:r w:rsidRPr="003531AD">
        <w:rPr>
          <w:rFonts w:ascii="Times New Roman" w:hAnsi="Times New Roman" w:cs="Times New Roman"/>
        </w:rPr>
        <w:t>5</w:t>
      </w:r>
      <w:r w:rsidR="004061AC" w:rsidRPr="003531AD">
        <w:rPr>
          <w:rFonts w:ascii="Times New Roman" w:hAnsi="Times New Roman" w:cs="Times New Roman"/>
        </w:rPr>
        <w:t>.</w:t>
      </w:r>
      <w:r w:rsidR="0059076B" w:rsidRPr="003531AD">
        <w:rPr>
          <w:rFonts w:ascii="Times New Roman" w:hAnsi="Times New Roman" w:cs="Times New Roman"/>
        </w:rPr>
        <w:t>11.5</w:t>
      </w:r>
      <w:r w:rsidR="004061AC" w:rsidRPr="003531AD">
        <w:rPr>
          <w:rFonts w:ascii="Times New Roman" w:hAnsi="Times New Roman" w:cs="Times New Roman"/>
        </w:rPr>
        <w:t>报告</w:t>
      </w:r>
      <w:proofErr w:type="gramStart"/>
      <w:r w:rsidR="004061AC" w:rsidRPr="003531AD">
        <w:rPr>
          <w:rFonts w:ascii="Times New Roman" w:hAnsi="Times New Roman" w:cs="Times New Roman"/>
        </w:rPr>
        <w:t>期末前</w:t>
      </w:r>
      <w:proofErr w:type="gramEnd"/>
      <w:r w:rsidR="004061AC" w:rsidRPr="003531AD">
        <w:rPr>
          <w:rFonts w:ascii="Times New Roman" w:hAnsi="Times New Roman" w:cs="Times New Roman"/>
        </w:rPr>
        <w:t>十名股票中存在流通受限情况的说明</w:t>
      </w:r>
    </w:p>
    <w:p w:rsidR="00526424" w:rsidRPr="003531AD" w:rsidRDefault="004061AC" w:rsidP="00526424">
      <w:pPr>
        <w:pStyle w:val="new0"/>
        <w:rPr>
          <w:rFonts w:ascii="Times New Roman" w:hAnsi="Times New Roman" w:cs="Times New Roman"/>
        </w:rPr>
      </w:pPr>
      <w:r w:rsidRPr="003531AD">
        <w:rPr>
          <w:rFonts w:ascii="Times New Roman" w:hAnsi="Times New Roman" w:cs="Times New Roman"/>
        </w:rPr>
        <w:t>本基金本报告期末未持有股票。</w:t>
      </w:r>
    </w:p>
    <w:p w:rsidR="004061AC" w:rsidRPr="003531AD" w:rsidRDefault="003259C8" w:rsidP="00321311">
      <w:pPr>
        <w:pStyle w:val="41"/>
        <w:rPr>
          <w:rFonts w:ascii="Times New Roman" w:hAnsi="Times New Roman" w:cs="Times New Roman"/>
        </w:rPr>
      </w:pPr>
      <w:r w:rsidRPr="003531AD">
        <w:rPr>
          <w:rFonts w:ascii="Times New Roman" w:hAnsi="Times New Roman" w:cs="Times New Roman"/>
        </w:rPr>
        <w:t>5</w:t>
      </w:r>
      <w:r w:rsidR="004061AC" w:rsidRPr="003531AD">
        <w:rPr>
          <w:rFonts w:ascii="Times New Roman" w:hAnsi="Times New Roman" w:cs="Times New Roman"/>
        </w:rPr>
        <w:t>.</w:t>
      </w:r>
      <w:r w:rsidR="0059076B" w:rsidRPr="003531AD">
        <w:rPr>
          <w:rFonts w:ascii="Times New Roman" w:hAnsi="Times New Roman" w:cs="Times New Roman"/>
        </w:rPr>
        <w:t>11.6</w:t>
      </w:r>
      <w:r w:rsidR="001675CD" w:rsidRPr="003531AD">
        <w:rPr>
          <w:rFonts w:ascii="Times New Roman" w:hAnsi="Times New Roman" w:cs="Times New Roman"/>
        </w:rPr>
        <w:t>投资组合报告附注的其他文字描述部分</w:t>
      </w:r>
    </w:p>
    <w:p w:rsidR="004061AC" w:rsidRPr="003531AD" w:rsidRDefault="004061AC" w:rsidP="00CA6AE6">
      <w:pPr>
        <w:pStyle w:val="new0"/>
        <w:rPr>
          <w:rFonts w:ascii="Times New Roman" w:hAnsi="Times New Roman" w:cs="Times New Roman"/>
        </w:rPr>
      </w:pPr>
      <w:r w:rsidRPr="003531AD">
        <w:rPr>
          <w:rFonts w:ascii="Times New Roman" w:hAnsi="Times New Roman" w:cs="Times New Roman"/>
        </w:rPr>
        <w:t>由于四舍五入的原因，分项之和与合计项之间可能存在尾差。</w:t>
      </w:r>
    </w:p>
    <w:p w:rsidR="004061AC" w:rsidRPr="003531AD" w:rsidRDefault="004061AC" w:rsidP="00CA6AE6">
      <w:pPr>
        <w:pStyle w:val="2"/>
        <w:ind w:left="210" w:right="210"/>
        <w:rPr>
          <w:rFonts w:ascii="Times New Roman" w:hAnsi="Times New Roman" w:cs="Times New Roman"/>
        </w:rPr>
      </w:pPr>
      <w:r w:rsidRPr="003531AD">
        <w:rPr>
          <w:rFonts w:ascii="Times New Roman" w:hAnsi="Times New Roman" w:cs="Times New Roman"/>
        </w:rPr>
        <w:t xml:space="preserve">§6  </w:t>
      </w:r>
      <w:r w:rsidRPr="003531AD">
        <w:rPr>
          <w:rFonts w:ascii="Times New Roman" w:hAnsi="Times New Roman" w:cs="Times New Roman"/>
        </w:rPr>
        <w:t>开放式基金份额变动</w:t>
      </w:r>
    </w:p>
    <w:p w:rsidR="004061AC" w:rsidRPr="003531AD" w:rsidRDefault="004061AC" w:rsidP="00CA6AE6">
      <w:pPr>
        <w:pStyle w:val="af9"/>
        <w:jc w:val="right"/>
        <w:rPr>
          <w:rFonts w:ascii="Times New Roman" w:hAnsi="Times New Roman" w:cs="Times New Roman"/>
        </w:rPr>
      </w:pPr>
      <w:r w:rsidRPr="003531AD">
        <w:rPr>
          <w:rFonts w:ascii="Times New Roman" w:hAnsi="Times New Roman" w:cs="Times New Roman"/>
        </w:rPr>
        <w:t>单位：份</w:t>
      </w:r>
    </w:p>
    <w:tbl>
      <w:tblPr>
        <w:tblW w:w="5000" w:type="pct"/>
        <w:jc w:val="center"/>
        <w:tblLayout w:type="fixed"/>
        <w:tblLook w:val="0000" w:firstRow="0" w:lastRow="0" w:firstColumn="0" w:lastColumn="0" w:noHBand="0" w:noVBand="0"/>
      </w:tblPr>
      <w:tblGrid>
        <w:gridCol w:w="4829"/>
        <w:gridCol w:w="4457"/>
      </w:tblGrid>
      <w:tr w:rsidR="00220C32" w:rsidRPr="00D46439" w:rsidTr="005E0774">
        <w:trPr>
          <w:jc w:val="center"/>
        </w:trPr>
        <w:tc>
          <w:tcPr>
            <w:tcW w:w="4718" w:type="dxa"/>
            <w:tcBorders>
              <w:top w:val="single" w:sz="8" w:space="0" w:color="000000"/>
              <w:left w:val="single" w:sz="8" w:space="0" w:color="000000"/>
              <w:bottom w:val="single" w:sz="8" w:space="0" w:color="000000"/>
              <w:right w:val="single" w:sz="8" w:space="0" w:color="000000"/>
            </w:tcBorders>
            <w:vAlign w:val="center"/>
          </w:tcPr>
          <w:p w:rsidR="004061AC" w:rsidRPr="00D46439" w:rsidRDefault="004061AC" w:rsidP="00D46439">
            <w:pPr>
              <w:ind w:firstLine="0"/>
            </w:pPr>
            <w:r w:rsidRPr="00D46439">
              <w:t>本报告期期</w:t>
            </w:r>
            <w:proofErr w:type="gramStart"/>
            <w:r w:rsidRPr="00D46439">
              <w:t>初基金</w:t>
            </w:r>
            <w:proofErr w:type="gramEnd"/>
            <w:r w:rsidRPr="00D46439">
              <w:t>份额总额</w:t>
            </w:r>
          </w:p>
        </w:tc>
        <w:tc>
          <w:tcPr>
            <w:tcW w:w="4354" w:type="dxa"/>
            <w:tcBorders>
              <w:top w:val="single" w:sz="8" w:space="0" w:color="000000"/>
              <w:left w:val="single" w:sz="8" w:space="0" w:color="000000"/>
              <w:bottom w:val="single" w:sz="8" w:space="0" w:color="000000"/>
              <w:right w:val="single" w:sz="8" w:space="0" w:color="000000"/>
            </w:tcBorders>
            <w:vAlign w:val="center"/>
          </w:tcPr>
          <w:p w:rsidR="004061AC" w:rsidRPr="00D46439" w:rsidRDefault="006D7FF8" w:rsidP="00D46439">
            <w:pPr>
              <w:ind w:firstLine="0"/>
              <w:jc w:val="right"/>
            </w:pPr>
            <w:r w:rsidRPr="00D46439">
              <w:t>500,394,523.13</w:t>
            </w:r>
          </w:p>
        </w:tc>
      </w:tr>
      <w:tr w:rsidR="00220C32" w:rsidRPr="00D46439" w:rsidTr="005E0774">
        <w:trPr>
          <w:jc w:val="center"/>
        </w:trPr>
        <w:tc>
          <w:tcPr>
            <w:tcW w:w="4718" w:type="dxa"/>
            <w:tcBorders>
              <w:top w:val="single" w:sz="8" w:space="0" w:color="000000"/>
              <w:left w:val="single" w:sz="8" w:space="0" w:color="000000"/>
              <w:bottom w:val="single" w:sz="8" w:space="0" w:color="000000"/>
              <w:right w:val="single" w:sz="8" w:space="0" w:color="000000"/>
            </w:tcBorders>
            <w:vAlign w:val="center"/>
          </w:tcPr>
          <w:p w:rsidR="004061AC" w:rsidRPr="00D46439" w:rsidRDefault="00FE179F" w:rsidP="00D46439">
            <w:pPr>
              <w:ind w:firstLine="0"/>
            </w:pPr>
            <w:r w:rsidRPr="00D46439">
              <w:t>报告</w:t>
            </w:r>
            <w:proofErr w:type="gramStart"/>
            <w:r w:rsidRPr="00D46439">
              <w:t>期</w:t>
            </w:r>
            <w:r w:rsidR="004061AC" w:rsidRPr="00D46439">
              <w:t>基金</w:t>
            </w:r>
            <w:proofErr w:type="gramEnd"/>
            <w:r w:rsidR="004061AC" w:rsidRPr="00D46439">
              <w:t>总申购份额</w:t>
            </w:r>
          </w:p>
        </w:tc>
        <w:tc>
          <w:tcPr>
            <w:tcW w:w="4354" w:type="dxa"/>
            <w:tcBorders>
              <w:top w:val="single" w:sz="8" w:space="0" w:color="000000"/>
              <w:left w:val="single" w:sz="8" w:space="0" w:color="000000"/>
              <w:bottom w:val="single" w:sz="8" w:space="0" w:color="000000"/>
              <w:right w:val="single" w:sz="8" w:space="0" w:color="000000"/>
            </w:tcBorders>
            <w:vAlign w:val="center"/>
          </w:tcPr>
          <w:p w:rsidR="004061AC" w:rsidRPr="00D46439" w:rsidRDefault="004061AC" w:rsidP="00D46439">
            <w:pPr>
              <w:ind w:firstLine="0"/>
              <w:jc w:val="right"/>
            </w:pPr>
            <w:r w:rsidRPr="00D46439">
              <w:t>6,586.67</w:t>
            </w:r>
          </w:p>
        </w:tc>
      </w:tr>
      <w:tr w:rsidR="00220C32" w:rsidRPr="00D46439" w:rsidTr="005E0774">
        <w:trPr>
          <w:jc w:val="center"/>
        </w:trPr>
        <w:tc>
          <w:tcPr>
            <w:tcW w:w="4718" w:type="dxa"/>
            <w:tcBorders>
              <w:top w:val="single" w:sz="8" w:space="0" w:color="000000"/>
              <w:left w:val="single" w:sz="8" w:space="0" w:color="000000"/>
              <w:bottom w:val="single" w:sz="8" w:space="0" w:color="000000"/>
              <w:right w:val="single" w:sz="8" w:space="0" w:color="000000"/>
            </w:tcBorders>
            <w:vAlign w:val="center"/>
          </w:tcPr>
          <w:p w:rsidR="004061AC" w:rsidRPr="00D46439" w:rsidRDefault="004061AC" w:rsidP="00D46439">
            <w:pPr>
              <w:ind w:firstLine="0"/>
            </w:pPr>
            <w:r w:rsidRPr="00D46439">
              <w:t>减：</w:t>
            </w:r>
            <w:r w:rsidR="00FE179F" w:rsidRPr="00D46439">
              <w:t>报告</w:t>
            </w:r>
            <w:proofErr w:type="gramStart"/>
            <w:r w:rsidR="00FE179F" w:rsidRPr="00D46439">
              <w:t>期</w:t>
            </w:r>
            <w:r w:rsidRPr="00D46439">
              <w:t>基金</w:t>
            </w:r>
            <w:proofErr w:type="gramEnd"/>
            <w:r w:rsidRPr="00D46439">
              <w:t>总赎回份额</w:t>
            </w:r>
          </w:p>
        </w:tc>
        <w:tc>
          <w:tcPr>
            <w:tcW w:w="4354" w:type="dxa"/>
            <w:tcBorders>
              <w:top w:val="single" w:sz="8" w:space="0" w:color="000000"/>
              <w:left w:val="single" w:sz="8" w:space="0" w:color="000000"/>
              <w:bottom w:val="single" w:sz="8" w:space="0" w:color="000000"/>
              <w:right w:val="single" w:sz="8" w:space="0" w:color="000000"/>
            </w:tcBorders>
            <w:vAlign w:val="center"/>
          </w:tcPr>
          <w:p w:rsidR="004061AC" w:rsidRPr="00D46439" w:rsidRDefault="004061AC" w:rsidP="00D46439">
            <w:pPr>
              <w:ind w:firstLine="0"/>
              <w:jc w:val="right"/>
            </w:pPr>
            <w:r w:rsidRPr="00D46439">
              <w:t>107,577.19</w:t>
            </w:r>
          </w:p>
        </w:tc>
      </w:tr>
      <w:tr w:rsidR="00220C32" w:rsidRPr="00D46439" w:rsidTr="005E0774">
        <w:trPr>
          <w:jc w:val="center"/>
        </w:trPr>
        <w:tc>
          <w:tcPr>
            <w:tcW w:w="4718" w:type="dxa"/>
            <w:tcBorders>
              <w:top w:val="single" w:sz="8" w:space="0" w:color="000000"/>
              <w:left w:val="single" w:sz="8" w:space="0" w:color="000000"/>
              <w:bottom w:val="single" w:sz="8" w:space="0" w:color="000000"/>
              <w:right w:val="single" w:sz="8" w:space="0" w:color="000000"/>
            </w:tcBorders>
            <w:vAlign w:val="center"/>
          </w:tcPr>
          <w:p w:rsidR="004061AC" w:rsidRPr="00D46439" w:rsidRDefault="00FE179F" w:rsidP="00D46439">
            <w:pPr>
              <w:ind w:firstLine="0"/>
            </w:pPr>
            <w:r w:rsidRPr="00D46439">
              <w:t>报告</w:t>
            </w:r>
            <w:proofErr w:type="gramStart"/>
            <w:r w:rsidRPr="00D46439">
              <w:t>期</w:t>
            </w:r>
            <w:r w:rsidR="004061AC" w:rsidRPr="00D46439">
              <w:t>基金</w:t>
            </w:r>
            <w:proofErr w:type="gramEnd"/>
            <w:r w:rsidR="004061AC" w:rsidRPr="00D46439">
              <w:t>拆分变动份额</w:t>
            </w:r>
          </w:p>
        </w:tc>
        <w:tc>
          <w:tcPr>
            <w:tcW w:w="4354" w:type="dxa"/>
            <w:tcBorders>
              <w:top w:val="single" w:sz="8" w:space="0" w:color="000000"/>
              <w:left w:val="single" w:sz="8" w:space="0" w:color="000000"/>
              <w:bottom w:val="single" w:sz="8" w:space="0" w:color="000000"/>
              <w:right w:val="single" w:sz="8" w:space="0" w:color="000000"/>
            </w:tcBorders>
            <w:vAlign w:val="center"/>
          </w:tcPr>
          <w:p w:rsidR="004061AC" w:rsidRPr="00D46439" w:rsidRDefault="004061AC" w:rsidP="00D46439">
            <w:pPr>
              <w:ind w:firstLine="0"/>
              <w:jc w:val="right"/>
            </w:pPr>
            <w:r w:rsidRPr="00D46439">
              <w:t>-</w:t>
            </w:r>
          </w:p>
        </w:tc>
      </w:tr>
      <w:tr w:rsidR="00220C32" w:rsidRPr="00D46439" w:rsidTr="005E0774">
        <w:trPr>
          <w:jc w:val="center"/>
        </w:trPr>
        <w:tc>
          <w:tcPr>
            <w:tcW w:w="4718" w:type="dxa"/>
            <w:tcBorders>
              <w:top w:val="single" w:sz="8" w:space="0" w:color="000000"/>
              <w:left w:val="single" w:sz="8" w:space="0" w:color="000000"/>
              <w:bottom w:val="single" w:sz="8" w:space="0" w:color="000000"/>
              <w:right w:val="single" w:sz="8" w:space="0" w:color="000000"/>
            </w:tcBorders>
            <w:vAlign w:val="center"/>
          </w:tcPr>
          <w:p w:rsidR="006D7FF8" w:rsidRPr="00D46439" w:rsidRDefault="006D7FF8" w:rsidP="00D46439">
            <w:pPr>
              <w:ind w:firstLine="0"/>
            </w:pPr>
            <w:r w:rsidRPr="00D46439">
              <w:t>本报告期期末基金份额总额</w:t>
            </w:r>
          </w:p>
        </w:tc>
        <w:tc>
          <w:tcPr>
            <w:tcW w:w="4354" w:type="dxa"/>
            <w:tcBorders>
              <w:top w:val="single" w:sz="8" w:space="0" w:color="000000"/>
              <w:left w:val="single" w:sz="8" w:space="0" w:color="000000"/>
              <w:bottom w:val="single" w:sz="8" w:space="0" w:color="000000"/>
              <w:right w:val="single" w:sz="8" w:space="0" w:color="000000"/>
            </w:tcBorders>
            <w:vAlign w:val="center"/>
          </w:tcPr>
          <w:p w:rsidR="006D7FF8" w:rsidRPr="00D46439" w:rsidRDefault="006D7FF8" w:rsidP="00D46439">
            <w:pPr>
              <w:ind w:firstLine="0"/>
              <w:jc w:val="right"/>
            </w:pPr>
            <w:r w:rsidRPr="00D46439">
              <w:t>500,293,532.61</w:t>
            </w:r>
          </w:p>
        </w:tc>
      </w:tr>
    </w:tbl>
    <w:p w:rsidR="00EB374A" w:rsidRPr="003531AD" w:rsidRDefault="00EB374A" w:rsidP="00CA6AE6">
      <w:pPr>
        <w:pStyle w:val="2"/>
        <w:ind w:left="210" w:right="210"/>
        <w:rPr>
          <w:rFonts w:ascii="Times New Roman" w:hAnsi="Times New Roman" w:cs="Times New Roman"/>
        </w:rPr>
      </w:pPr>
      <w:r w:rsidRPr="003531AD">
        <w:rPr>
          <w:rFonts w:ascii="Times New Roman" w:hAnsi="Times New Roman" w:cs="Times New Roman"/>
        </w:rPr>
        <w:lastRenderedPageBreak/>
        <w:t xml:space="preserve">§7  </w:t>
      </w:r>
      <w:r w:rsidRPr="003531AD">
        <w:rPr>
          <w:rFonts w:ascii="Times New Roman" w:hAnsi="Times New Roman" w:cs="Times New Roman"/>
        </w:rPr>
        <w:t>基金管理人运用</w:t>
      </w:r>
      <w:proofErr w:type="gramStart"/>
      <w:r w:rsidRPr="003531AD">
        <w:rPr>
          <w:rFonts w:ascii="Times New Roman" w:hAnsi="Times New Roman" w:cs="Times New Roman"/>
        </w:rPr>
        <w:t>固有资金</w:t>
      </w:r>
      <w:proofErr w:type="gramEnd"/>
      <w:r w:rsidRPr="003531AD">
        <w:rPr>
          <w:rFonts w:ascii="Times New Roman" w:hAnsi="Times New Roman" w:cs="Times New Roman"/>
        </w:rPr>
        <w:t>投资本基金情况</w:t>
      </w:r>
    </w:p>
    <w:p w:rsidR="00EB374A" w:rsidRPr="003531AD" w:rsidRDefault="00EB374A" w:rsidP="00CA6AE6">
      <w:pPr>
        <w:pStyle w:val="xx"/>
        <w:rPr>
          <w:rFonts w:ascii="Times New Roman" w:hAnsi="Times New Roman" w:cs="Times New Roman"/>
        </w:rPr>
      </w:pPr>
      <w:r w:rsidRPr="003531AD">
        <w:rPr>
          <w:rFonts w:ascii="Times New Roman" w:hAnsi="Times New Roman" w:cs="Times New Roman"/>
        </w:rPr>
        <w:t xml:space="preserve">7.1 </w:t>
      </w:r>
      <w:r w:rsidRPr="003531AD">
        <w:rPr>
          <w:rFonts w:ascii="Times New Roman" w:hAnsi="Times New Roman" w:cs="Times New Roman"/>
        </w:rPr>
        <w:t>基金管理人持有本基金份额变动情况</w:t>
      </w:r>
    </w:p>
    <w:p w:rsidR="00CD7AA8" w:rsidRPr="003531AD" w:rsidRDefault="00CD7AA8" w:rsidP="002F26CB">
      <w:pPr>
        <w:pStyle w:val="new0"/>
        <w:rPr>
          <w:rFonts w:ascii="Times New Roman" w:hAnsi="Times New Roman" w:cs="Times New Roman"/>
        </w:rPr>
      </w:pPr>
      <w:r w:rsidRPr="003531AD">
        <w:rPr>
          <w:rFonts w:ascii="Times New Roman" w:hAnsi="Times New Roman" w:cs="Times New Roman"/>
        </w:rPr>
        <w:t>基金管理人未持有本基金份额。</w:t>
      </w:r>
    </w:p>
    <w:p w:rsidR="00EB374A" w:rsidRPr="003531AD" w:rsidRDefault="00EB374A" w:rsidP="00CA6AE6">
      <w:pPr>
        <w:pStyle w:val="xx"/>
        <w:rPr>
          <w:rFonts w:ascii="Times New Roman" w:hAnsi="Times New Roman" w:cs="Times New Roman"/>
        </w:rPr>
      </w:pPr>
      <w:r w:rsidRPr="003531AD">
        <w:rPr>
          <w:rFonts w:ascii="Times New Roman" w:hAnsi="Times New Roman" w:cs="Times New Roman"/>
        </w:rPr>
        <w:t xml:space="preserve">7.2 </w:t>
      </w:r>
      <w:r w:rsidRPr="003531AD">
        <w:rPr>
          <w:rFonts w:ascii="Times New Roman" w:hAnsi="Times New Roman" w:cs="Times New Roman"/>
        </w:rPr>
        <w:t>基金管理人运用</w:t>
      </w:r>
      <w:proofErr w:type="gramStart"/>
      <w:r w:rsidRPr="003531AD">
        <w:rPr>
          <w:rFonts w:ascii="Times New Roman" w:hAnsi="Times New Roman" w:cs="Times New Roman"/>
        </w:rPr>
        <w:t>固有资金</w:t>
      </w:r>
      <w:proofErr w:type="gramEnd"/>
      <w:r w:rsidRPr="003531AD">
        <w:rPr>
          <w:rFonts w:ascii="Times New Roman" w:hAnsi="Times New Roman" w:cs="Times New Roman"/>
        </w:rPr>
        <w:t>投资本基金交易明细</w:t>
      </w:r>
    </w:p>
    <w:p w:rsidR="00526424" w:rsidRPr="003531AD" w:rsidRDefault="00EB374A" w:rsidP="00526424">
      <w:pPr>
        <w:pStyle w:val="new0"/>
        <w:rPr>
          <w:rFonts w:ascii="Times New Roman" w:hAnsi="Times New Roman" w:cs="Times New Roman"/>
        </w:rPr>
      </w:pPr>
      <w:r w:rsidRPr="003531AD">
        <w:rPr>
          <w:rFonts w:ascii="Times New Roman" w:hAnsi="Times New Roman" w:cs="Times New Roman"/>
        </w:rPr>
        <w:t>报告期内基金管理人未发生运用</w:t>
      </w:r>
      <w:proofErr w:type="gramStart"/>
      <w:r w:rsidRPr="003531AD">
        <w:rPr>
          <w:rFonts w:ascii="Times New Roman" w:hAnsi="Times New Roman" w:cs="Times New Roman"/>
        </w:rPr>
        <w:t>固有资金</w:t>
      </w:r>
      <w:proofErr w:type="gramEnd"/>
      <w:r w:rsidRPr="003531AD">
        <w:rPr>
          <w:rFonts w:ascii="Times New Roman" w:hAnsi="Times New Roman" w:cs="Times New Roman"/>
        </w:rPr>
        <w:t>申购、赎回或者买卖本基金的情况。</w:t>
      </w:r>
    </w:p>
    <w:p w:rsidR="00452BAA" w:rsidRPr="003531AD" w:rsidRDefault="00452BAA" w:rsidP="00452BAA">
      <w:pPr>
        <w:pStyle w:val="2"/>
        <w:ind w:left="210" w:right="210"/>
        <w:rPr>
          <w:rFonts w:ascii="Times New Roman" w:hAnsi="Times New Roman" w:cs="Times New Roman"/>
        </w:rPr>
      </w:pPr>
      <w:r w:rsidRPr="003531AD">
        <w:rPr>
          <w:rFonts w:ascii="Times New Roman" w:hAnsi="Times New Roman" w:cs="Times New Roman"/>
        </w:rPr>
        <w:t>§8</w:t>
      </w:r>
      <w:r w:rsidRPr="003531AD">
        <w:rPr>
          <w:rFonts w:ascii="Times New Roman" w:hAnsi="Times New Roman" w:cs="Times New Roman"/>
        </w:rPr>
        <w:t>影响投资者决策的其他重要信息</w:t>
      </w:r>
    </w:p>
    <w:p w:rsidR="00452BAA" w:rsidRPr="003531AD" w:rsidRDefault="00452BAA" w:rsidP="00452BAA">
      <w:pPr>
        <w:pStyle w:val="xx"/>
        <w:ind w:firstLine="482"/>
        <w:rPr>
          <w:rFonts w:ascii="Times New Roman" w:hAnsi="Times New Roman" w:cs="Times New Roman"/>
        </w:rPr>
      </w:pPr>
      <w:r w:rsidRPr="003531AD">
        <w:rPr>
          <w:rFonts w:ascii="Times New Roman" w:hAnsi="Times New Roman" w:cs="Times New Roman"/>
        </w:rPr>
        <w:t xml:space="preserve">8.1 </w:t>
      </w:r>
      <w:r w:rsidRPr="003531AD">
        <w:rPr>
          <w:rFonts w:ascii="Times New Roman" w:hAnsi="Times New Roman" w:cs="Times New Roman"/>
        </w:rPr>
        <w:t>报告期内单一投资者持有基金份额比例达到或超过</w:t>
      </w:r>
      <w:r w:rsidRPr="003531AD">
        <w:rPr>
          <w:rFonts w:ascii="Times New Roman" w:hAnsi="Times New Roman" w:cs="Times New Roman"/>
        </w:rPr>
        <w:t>20%</w:t>
      </w:r>
      <w:r w:rsidRPr="003531AD">
        <w:rPr>
          <w:rFonts w:ascii="Times New Roman" w:hAnsi="Times New Roman" w:cs="Times New Roman"/>
        </w:rPr>
        <w:t>的情况</w:t>
      </w:r>
    </w:p>
    <w:tbl>
      <w:tblPr>
        <w:tblStyle w:val="af7"/>
        <w:tblW w:w="5000" w:type="pct"/>
        <w:jc w:val="center"/>
        <w:tblLayout w:type="fixed"/>
        <w:tblLook w:val="04A0" w:firstRow="1" w:lastRow="0" w:firstColumn="1" w:lastColumn="0" w:noHBand="0" w:noVBand="1"/>
      </w:tblPr>
      <w:tblGrid>
        <w:gridCol w:w="675"/>
        <w:gridCol w:w="567"/>
        <w:gridCol w:w="1560"/>
        <w:gridCol w:w="1842"/>
        <w:gridCol w:w="725"/>
        <w:gridCol w:w="835"/>
        <w:gridCol w:w="1842"/>
        <w:gridCol w:w="1240"/>
      </w:tblGrid>
      <w:tr w:rsidR="00452BAA" w:rsidRPr="00D46439" w:rsidTr="00376E86">
        <w:trPr>
          <w:trHeight w:val="20"/>
          <w:jc w:val="center"/>
        </w:trPr>
        <w:tc>
          <w:tcPr>
            <w:tcW w:w="675" w:type="dxa"/>
            <w:vMerge w:val="restart"/>
            <w:vAlign w:val="center"/>
          </w:tcPr>
          <w:p w:rsidR="00452BAA" w:rsidRPr="00D46439" w:rsidRDefault="00452BAA" w:rsidP="00D46439">
            <w:pPr>
              <w:ind w:firstLine="0"/>
              <w:jc w:val="center"/>
            </w:pPr>
            <w:r w:rsidRPr="00D46439">
              <w:t>投资者类别</w:t>
            </w:r>
          </w:p>
        </w:tc>
        <w:tc>
          <w:tcPr>
            <w:tcW w:w="5529" w:type="dxa"/>
            <w:gridSpan w:val="5"/>
            <w:vAlign w:val="center"/>
          </w:tcPr>
          <w:p w:rsidR="00452BAA" w:rsidRPr="00D46439" w:rsidRDefault="00452BAA" w:rsidP="00D46439">
            <w:pPr>
              <w:ind w:firstLine="0"/>
              <w:jc w:val="center"/>
            </w:pPr>
            <w:r w:rsidRPr="00D46439">
              <w:t>报告期内持有基金份额变化情况</w:t>
            </w:r>
          </w:p>
        </w:tc>
        <w:tc>
          <w:tcPr>
            <w:tcW w:w="3082" w:type="dxa"/>
            <w:gridSpan w:val="2"/>
            <w:vAlign w:val="center"/>
          </w:tcPr>
          <w:p w:rsidR="00452BAA" w:rsidRPr="00D46439" w:rsidRDefault="00452BAA" w:rsidP="00D46439">
            <w:pPr>
              <w:ind w:firstLine="0"/>
              <w:jc w:val="center"/>
            </w:pPr>
            <w:r w:rsidRPr="00D46439">
              <w:t>报告期末持有基金情况</w:t>
            </w:r>
          </w:p>
        </w:tc>
      </w:tr>
      <w:tr w:rsidR="00452BAA" w:rsidRPr="00D46439" w:rsidTr="00376E86">
        <w:trPr>
          <w:trHeight w:val="20"/>
          <w:jc w:val="center"/>
        </w:trPr>
        <w:tc>
          <w:tcPr>
            <w:tcW w:w="675" w:type="dxa"/>
            <w:vMerge/>
            <w:vAlign w:val="center"/>
          </w:tcPr>
          <w:p w:rsidR="00452BAA" w:rsidRPr="00D46439" w:rsidRDefault="00452BAA" w:rsidP="00D46439">
            <w:pPr>
              <w:ind w:firstLine="0"/>
              <w:jc w:val="center"/>
            </w:pPr>
          </w:p>
        </w:tc>
        <w:tc>
          <w:tcPr>
            <w:tcW w:w="567" w:type="dxa"/>
            <w:vAlign w:val="center"/>
          </w:tcPr>
          <w:p w:rsidR="00452BAA" w:rsidRPr="00D46439" w:rsidRDefault="00452BAA" w:rsidP="00D46439">
            <w:pPr>
              <w:ind w:firstLine="0"/>
              <w:jc w:val="center"/>
            </w:pPr>
            <w:r w:rsidRPr="00D46439">
              <w:t>序号</w:t>
            </w:r>
          </w:p>
        </w:tc>
        <w:tc>
          <w:tcPr>
            <w:tcW w:w="1560" w:type="dxa"/>
            <w:vAlign w:val="center"/>
          </w:tcPr>
          <w:p w:rsidR="00452BAA" w:rsidRPr="00D46439" w:rsidRDefault="00452BAA" w:rsidP="00D46439">
            <w:pPr>
              <w:ind w:firstLine="0"/>
              <w:jc w:val="center"/>
            </w:pPr>
            <w:r w:rsidRPr="00D46439">
              <w:t>持有基金份额比例达到或者超过</w:t>
            </w:r>
            <w:r w:rsidRPr="00D46439">
              <w:t>20%</w:t>
            </w:r>
            <w:r w:rsidRPr="00D46439">
              <w:t>的时间区间</w:t>
            </w:r>
          </w:p>
        </w:tc>
        <w:tc>
          <w:tcPr>
            <w:tcW w:w="1842" w:type="dxa"/>
            <w:vAlign w:val="center"/>
          </w:tcPr>
          <w:p w:rsidR="00452BAA" w:rsidRPr="00D46439" w:rsidRDefault="00452BAA" w:rsidP="00D46439">
            <w:pPr>
              <w:ind w:firstLine="0"/>
              <w:jc w:val="center"/>
            </w:pPr>
            <w:r w:rsidRPr="00D46439">
              <w:t>期初份额</w:t>
            </w:r>
          </w:p>
          <w:p w:rsidR="00452BAA" w:rsidRPr="00D46439" w:rsidRDefault="00452BAA" w:rsidP="00D46439">
            <w:pPr>
              <w:ind w:firstLine="0"/>
              <w:jc w:val="center"/>
            </w:pPr>
          </w:p>
        </w:tc>
        <w:tc>
          <w:tcPr>
            <w:tcW w:w="725" w:type="dxa"/>
            <w:vAlign w:val="center"/>
          </w:tcPr>
          <w:p w:rsidR="00452BAA" w:rsidRPr="00D46439" w:rsidRDefault="00452BAA" w:rsidP="00D46439">
            <w:pPr>
              <w:ind w:firstLine="0"/>
              <w:jc w:val="center"/>
            </w:pPr>
            <w:r w:rsidRPr="00D46439">
              <w:t>申购份额</w:t>
            </w:r>
          </w:p>
          <w:p w:rsidR="00452BAA" w:rsidRPr="00D46439" w:rsidRDefault="00452BAA" w:rsidP="00D46439">
            <w:pPr>
              <w:ind w:firstLine="0"/>
              <w:jc w:val="center"/>
            </w:pPr>
          </w:p>
        </w:tc>
        <w:tc>
          <w:tcPr>
            <w:tcW w:w="835" w:type="dxa"/>
            <w:vAlign w:val="center"/>
          </w:tcPr>
          <w:p w:rsidR="00452BAA" w:rsidRPr="00D46439" w:rsidRDefault="00452BAA" w:rsidP="00D46439">
            <w:pPr>
              <w:ind w:firstLine="0"/>
              <w:jc w:val="center"/>
            </w:pPr>
            <w:r w:rsidRPr="00D46439">
              <w:t>赎回份额</w:t>
            </w:r>
          </w:p>
        </w:tc>
        <w:tc>
          <w:tcPr>
            <w:tcW w:w="1842" w:type="dxa"/>
            <w:vAlign w:val="center"/>
          </w:tcPr>
          <w:p w:rsidR="00452BAA" w:rsidRPr="00D46439" w:rsidRDefault="00452BAA" w:rsidP="00D46439">
            <w:pPr>
              <w:ind w:firstLine="0"/>
              <w:jc w:val="center"/>
            </w:pPr>
            <w:r w:rsidRPr="00D46439">
              <w:t>持有份额</w:t>
            </w:r>
          </w:p>
        </w:tc>
        <w:tc>
          <w:tcPr>
            <w:tcW w:w="1240" w:type="dxa"/>
            <w:vAlign w:val="center"/>
          </w:tcPr>
          <w:p w:rsidR="00452BAA" w:rsidRPr="00D46439" w:rsidRDefault="00452BAA" w:rsidP="00D46439">
            <w:pPr>
              <w:ind w:firstLine="0"/>
              <w:jc w:val="center"/>
            </w:pPr>
            <w:r w:rsidRPr="00D46439">
              <w:t>份额占比</w:t>
            </w:r>
          </w:p>
        </w:tc>
      </w:tr>
      <w:tr w:rsidR="008729F7" w:rsidTr="00376E86">
        <w:trPr>
          <w:jc w:val="center"/>
        </w:trPr>
        <w:tc>
          <w:tcPr>
            <w:tcW w:w="675" w:type="dxa"/>
            <w:vAlign w:val="center"/>
          </w:tcPr>
          <w:p w:rsidR="008729F7" w:rsidRDefault="00DC7FED" w:rsidP="00376E86">
            <w:pPr>
              <w:ind w:firstLine="0"/>
            </w:pPr>
            <w:r>
              <w:t>机构</w:t>
            </w:r>
          </w:p>
        </w:tc>
        <w:tc>
          <w:tcPr>
            <w:tcW w:w="567" w:type="dxa"/>
            <w:vAlign w:val="center"/>
          </w:tcPr>
          <w:p w:rsidR="008729F7" w:rsidRDefault="00DC7FED" w:rsidP="00376E86">
            <w:pPr>
              <w:ind w:firstLine="0"/>
              <w:jc w:val="center"/>
            </w:pPr>
            <w:r>
              <w:t>1</w:t>
            </w:r>
          </w:p>
        </w:tc>
        <w:tc>
          <w:tcPr>
            <w:tcW w:w="1560" w:type="dxa"/>
            <w:vAlign w:val="center"/>
          </w:tcPr>
          <w:p w:rsidR="008729F7" w:rsidRDefault="00DC7FED" w:rsidP="00DB2857">
            <w:pPr>
              <w:ind w:firstLine="0"/>
              <w:jc w:val="center"/>
            </w:pPr>
            <w:r>
              <w:t>2019-10-01~2019-12-31</w:t>
            </w:r>
          </w:p>
        </w:tc>
        <w:tc>
          <w:tcPr>
            <w:tcW w:w="1842" w:type="dxa"/>
            <w:vAlign w:val="center"/>
          </w:tcPr>
          <w:p w:rsidR="008729F7" w:rsidRDefault="00DC7FED" w:rsidP="00376E86">
            <w:pPr>
              <w:ind w:firstLine="0"/>
              <w:jc w:val="right"/>
            </w:pPr>
            <w:r>
              <w:t>500,024,694.44</w:t>
            </w:r>
          </w:p>
        </w:tc>
        <w:tc>
          <w:tcPr>
            <w:tcW w:w="725" w:type="dxa"/>
            <w:vAlign w:val="center"/>
          </w:tcPr>
          <w:p w:rsidR="008729F7" w:rsidRDefault="00DC7FED">
            <w:pPr>
              <w:jc w:val="right"/>
            </w:pPr>
            <w:r>
              <w:t>-</w:t>
            </w:r>
          </w:p>
        </w:tc>
        <w:tc>
          <w:tcPr>
            <w:tcW w:w="835" w:type="dxa"/>
            <w:vAlign w:val="center"/>
          </w:tcPr>
          <w:p w:rsidR="008729F7" w:rsidRDefault="00DC7FED">
            <w:pPr>
              <w:jc w:val="right"/>
            </w:pPr>
            <w:r>
              <w:t>-</w:t>
            </w:r>
          </w:p>
        </w:tc>
        <w:tc>
          <w:tcPr>
            <w:tcW w:w="1842" w:type="dxa"/>
            <w:vAlign w:val="center"/>
          </w:tcPr>
          <w:p w:rsidR="008729F7" w:rsidRDefault="00DC7FED" w:rsidP="00376E86">
            <w:pPr>
              <w:ind w:firstLine="0"/>
              <w:jc w:val="right"/>
            </w:pPr>
            <w:r>
              <w:t>500,024,694.44</w:t>
            </w:r>
          </w:p>
        </w:tc>
        <w:tc>
          <w:tcPr>
            <w:tcW w:w="1240" w:type="dxa"/>
            <w:vAlign w:val="center"/>
          </w:tcPr>
          <w:p w:rsidR="008729F7" w:rsidRDefault="00DC7FED">
            <w:pPr>
              <w:jc w:val="right"/>
            </w:pPr>
            <w:r>
              <w:t>99.95%</w:t>
            </w:r>
          </w:p>
        </w:tc>
      </w:tr>
      <w:tr w:rsidR="00452BAA" w:rsidRPr="0023786F" w:rsidTr="00376E86">
        <w:trPr>
          <w:jc w:val="center"/>
        </w:trPr>
        <w:tc>
          <w:tcPr>
            <w:tcW w:w="9286" w:type="dxa"/>
            <w:gridSpan w:val="8"/>
            <w:vAlign w:val="center"/>
          </w:tcPr>
          <w:p w:rsidR="00452BAA" w:rsidRPr="0023786F" w:rsidRDefault="00452BAA" w:rsidP="0023786F">
            <w:pPr>
              <w:ind w:firstLine="0"/>
              <w:jc w:val="center"/>
            </w:pPr>
            <w:r w:rsidRPr="0023786F">
              <w:t>产品特有风险</w:t>
            </w:r>
          </w:p>
        </w:tc>
      </w:tr>
      <w:tr w:rsidR="00452BAA" w:rsidRPr="0023786F" w:rsidTr="00376E86">
        <w:trPr>
          <w:jc w:val="center"/>
        </w:trPr>
        <w:tc>
          <w:tcPr>
            <w:tcW w:w="9286" w:type="dxa"/>
            <w:gridSpan w:val="8"/>
            <w:vAlign w:val="center"/>
          </w:tcPr>
          <w:p w:rsidR="008729F7" w:rsidRDefault="00DC7FED">
            <w:pPr>
              <w:ind w:firstLine="0"/>
            </w:pPr>
            <w:r>
              <w:t>本报告期内，本基金出现单一份额持有人持有基金份额占比超过</w:t>
            </w:r>
            <w:r>
              <w:t>20%</w:t>
            </w:r>
            <w:r>
              <w:t>的情况，当该基金份额持有人选择大比例赎回时，可能引发巨额赎回。若发生巨额赎回而本基金没有足够现金时，存在一定的流动性风险；为应对巨额赎回而进行投资标的变现时，可能存在</w:t>
            </w:r>
            <w:proofErr w:type="gramStart"/>
            <w:r>
              <w:t>仓位</w:t>
            </w:r>
            <w:proofErr w:type="gramEnd"/>
            <w:r>
              <w:t>调整困难，甚至对基金份额净值造成不利影响。基金经理会对可能出现的巨额赎回情况进行充分准备并做好流动性管理，但当基金出现巨额赎回并被全部确认时，申请赎回的基金份额持有人有可能面临赎回款项被延缓支付的风险，未赎回的基金份额持有人有可能承担短期内基金资产变现冲击成本对基金份额净值产生的不利影响。</w:t>
            </w:r>
          </w:p>
          <w:p w:rsidR="008729F7" w:rsidRDefault="00DC7FED">
            <w:pPr>
              <w:ind w:firstLine="0"/>
            </w:pPr>
            <w:r>
              <w:t>本基金出现单一份额持有人持有基金份额占比超过</w:t>
            </w:r>
            <w:r>
              <w:t>20%</w:t>
            </w:r>
            <w:r>
              <w:t>的情况，根据基金合同相关约定，该份额持有人可以独立向基金管理人申请召开基金份额持有人大会，并有权自行召集基金份额持有人大会。该基金份额持有人可以根据自身需要独立提出持有人大会议案并就相关事项进行表决。基金管理人会对该议案的合理性进行评估，充分向所有基金份额持有人揭示议案的相关风险。</w:t>
            </w:r>
          </w:p>
          <w:p w:rsidR="008729F7" w:rsidRDefault="00DC7FED">
            <w:pPr>
              <w:ind w:firstLine="0"/>
            </w:pPr>
            <w:r>
              <w:t>在极端情况下，当持有基金份额</w:t>
            </w:r>
            <w:proofErr w:type="gramStart"/>
            <w:r>
              <w:t>占比较</w:t>
            </w:r>
            <w:proofErr w:type="gramEnd"/>
            <w:r>
              <w:t>高的基金份额持有人大量赎回本基金时，可能导致在其赎回后本基金资产规模连续六十个工作日低于</w:t>
            </w:r>
            <w:r>
              <w:t>5000</w:t>
            </w:r>
            <w:r>
              <w:t>万元，基金还可能面临转换运作方式、与其他基金合并或者终止基金合同等情形。</w:t>
            </w:r>
            <w:r>
              <w:t xml:space="preserve"> </w:t>
            </w:r>
          </w:p>
          <w:p w:rsidR="00452BAA" w:rsidRPr="0023786F" w:rsidRDefault="00452BAA" w:rsidP="00E31C5E">
            <w:pPr>
              <w:ind w:firstLine="0"/>
            </w:pPr>
            <w:r w:rsidRPr="0023786F">
              <w:t>此外，当</w:t>
            </w:r>
            <w:proofErr w:type="gramStart"/>
            <w:r w:rsidRPr="0023786F">
              <w:t>单一基金</w:t>
            </w:r>
            <w:proofErr w:type="gramEnd"/>
            <w:r w:rsidRPr="0023786F">
              <w:t>份额持有人所持有的基金份额已经达到或超过本基金规模的</w:t>
            </w:r>
            <w:r w:rsidRPr="0023786F">
              <w:t>50%</w:t>
            </w:r>
            <w:r w:rsidRPr="0023786F">
              <w:t>或者接受某笔或者某些申购或转换转入申请有可能导致单一投资者持有基金份额的比例达到或者超过</w:t>
            </w:r>
            <w:r w:rsidRPr="0023786F">
              <w:t>50%</w:t>
            </w:r>
            <w:r w:rsidRPr="0023786F">
              <w:t>时，本基金管理人可拒绝该持有人对本</w:t>
            </w:r>
            <w:proofErr w:type="gramStart"/>
            <w:r w:rsidRPr="0023786F">
              <w:t>基金基金</w:t>
            </w:r>
            <w:proofErr w:type="gramEnd"/>
            <w:r w:rsidRPr="0023786F">
              <w:t>份额提出的申购及转换转入申请。</w:t>
            </w:r>
          </w:p>
        </w:tc>
      </w:tr>
    </w:tbl>
    <w:p w:rsidR="00452BAA" w:rsidRPr="003531AD" w:rsidRDefault="00452BAA" w:rsidP="00452BAA">
      <w:pPr>
        <w:pStyle w:val="xx"/>
        <w:ind w:firstLine="482"/>
        <w:rPr>
          <w:rFonts w:ascii="Times New Roman" w:hAnsi="Times New Roman" w:cs="Times New Roman"/>
        </w:rPr>
      </w:pPr>
      <w:r w:rsidRPr="003531AD">
        <w:rPr>
          <w:rFonts w:ascii="Times New Roman" w:hAnsi="Times New Roman" w:cs="Times New Roman"/>
        </w:rPr>
        <w:t xml:space="preserve">8.2 </w:t>
      </w:r>
      <w:r w:rsidRPr="003531AD">
        <w:rPr>
          <w:rFonts w:ascii="Times New Roman" w:hAnsi="Times New Roman" w:cs="Times New Roman"/>
        </w:rPr>
        <w:t>影响投资者决策的其他重要信息</w:t>
      </w:r>
    </w:p>
    <w:p w:rsidR="002D2F45" w:rsidRPr="002D2F45" w:rsidRDefault="002D2F45" w:rsidP="002D2F45">
      <w:pPr>
        <w:pStyle w:val="new0"/>
        <w:rPr>
          <w:rFonts w:ascii="Times New Roman" w:hAnsi="Times New Roman" w:cs="Times New Roman" w:hint="eastAsia"/>
        </w:rPr>
      </w:pPr>
      <w:r w:rsidRPr="002D2F45">
        <w:rPr>
          <w:rFonts w:ascii="Times New Roman" w:hAnsi="Times New Roman" w:cs="Times New Roman" w:hint="eastAsia"/>
        </w:rPr>
        <w:t>博时基金管理有限公司是中国内地首批成立的五家基金管理公司之一。“为国民创造财富”是博时的使命。博时的投资理念是“做投资价值的发现者”。截至</w:t>
      </w:r>
      <w:r w:rsidRPr="002D2F45">
        <w:rPr>
          <w:rFonts w:ascii="Times New Roman" w:hAnsi="Times New Roman" w:cs="Times New Roman" w:hint="eastAsia"/>
        </w:rPr>
        <w:t>2019</w:t>
      </w:r>
      <w:r w:rsidRPr="002D2F45">
        <w:rPr>
          <w:rFonts w:ascii="Times New Roman" w:hAnsi="Times New Roman" w:cs="Times New Roman" w:hint="eastAsia"/>
        </w:rPr>
        <w:t>年</w:t>
      </w:r>
      <w:r w:rsidRPr="002D2F45">
        <w:rPr>
          <w:rFonts w:ascii="Times New Roman" w:hAnsi="Times New Roman" w:cs="Times New Roman" w:hint="eastAsia"/>
        </w:rPr>
        <w:t>12</w:t>
      </w:r>
      <w:r w:rsidRPr="002D2F45">
        <w:rPr>
          <w:rFonts w:ascii="Times New Roman" w:hAnsi="Times New Roman" w:cs="Times New Roman" w:hint="eastAsia"/>
        </w:rPr>
        <w:t>月</w:t>
      </w:r>
      <w:r w:rsidRPr="002D2F45">
        <w:rPr>
          <w:rFonts w:ascii="Times New Roman" w:hAnsi="Times New Roman" w:cs="Times New Roman" w:hint="eastAsia"/>
        </w:rPr>
        <w:t>31</w:t>
      </w:r>
      <w:r w:rsidRPr="002D2F45">
        <w:rPr>
          <w:rFonts w:ascii="Times New Roman" w:hAnsi="Times New Roman" w:cs="Times New Roman" w:hint="eastAsia"/>
        </w:rPr>
        <w:t>日，博时基金公司共管理</w:t>
      </w:r>
      <w:r w:rsidRPr="002D2F45">
        <w:rPr>
          <w:rFonts w:ascii="Times New Roman" w:hAnsi="Times New Roman" w:cs="Times New Roman" w:hint="eastAsia"/>
        </w:rPr>
        <w:t>199</w:t>
      </w:r>
      <w:r w:rsidRPr="002D2F45">
        <w:rPr>
          <w:rFonts w:ascii="Times New Roman" w:hAnsi="Times New Roman" w:cs="Times New Roman" w:hint="eastAsia"/>
        </w:rPr>
        <w:t>只开放式基金，并受全国社会保障基金理事会委托管理部分社保基金，以及多个企业年金、职业年金及特定专户，管理资产总规模逾</w:t>
      </w:r>
      <w:r w:rsidRPr="002D2F45">
        <w:rPr>
          <w:rFonts w:ascii="Times New Roman" w:hAnsi="Times New Roman" w:cs="Times New Roman" w:hint="eastAsia"/>
        </w:rPr>
        <w:t>10668</w:t>
      </w:r>
      <w:r w:rsidRPr="002D2F45">
        <w:rPr>
          <w:rFonts w:ascii="Times New Roman" w:hAnsi="Times New Roman" w:cs="Times New Roman" w:hint="eastAsia"/>
        </w:rPr>
        <w:t>亿元人民币，剔除货币基金与短期理财债券基金后，</w:t>
      </w:r>
      <w:r w:rsidRPr="002D2F45">
        <w:rPr>
          <w:rFonts w:ascii="Times New Roman" w:hAnsi="Times New Roman" w:cs="Times New Roman" w:hint="eastAsia"/>
        </w:rPr>
        <w:lastRenderedPageBreak/>
        <w:t>博时基金公</w:t>
      </w:r>
      <w:proofErr w:type="gramStart"/>
      <w:r w:rsidRPr="002D2F45">
        <w:rPr>
          <w:rFonts w:ascii="Times New Roman" w:hAnsi="Times New Roman" w:cs="Times New Roman" w:hint="eastAsia"/>
        </w:rPr>
        <w:t>募资产</w:t>
      </w:r>
      <w:proofErr w:type="gramEnd"/>
      <w:r w:rsidRPr="002D2F45">
        <w:rPr>
          <w:rFonts w:ascii="Times New Roman" w:hAnsi="Times New Roman" w:cs="Times New Roman" w:hint="eastAsia"/>
        </w:rPr>
        <w:t>管理总规模逾</w:t>
      </w:r>
      <w:r w:rsidRPr="002D2F45">
        <w:rPr>
          <w:rFonts w:ascii="Times New Roman" w:hAnsi="Times New Roman" w:cs="Times New Roman" w:hint="eastAsia"/>
        </w:rPr>
        <w:t>3270</w:t>
      </w:r>
      <w:r w:rsidRPr="002D2F45">
        <w:rPr>
          <w:rFonts w:ascii="Times New Roman" w:hAnsi="Times New Roman" w:cs="Times New Roman" w:hint="eastAsia"/>
        </w:rPr>
        <w:t>亿元人民币，累计分红逾</w:t>
      </w:r>
      <w:r w:rsidRPr="002D2F45">
        <w:rPr>
          <w:rFonts w:ascii="Times New Roman" w:hAnsi="Times New Roman" w:cs="Times New Roman" w:hint="eastAsia"/>
        </w:rPr>
        <w:t>1206</w:t>
      </w:r>
      <w:r w:rsidRPr="002D2F45">
        <w:rPr>
          <w:rFonts w:ascii="Times New Roman" w:hAnsi="Times New Roman" w:cs="Times New Roman" w:hint="eastAsia"/>
        </w:rPr>
        <w:t>亿元人民币，是目前我国资产管理规模最大的基金公司之一。</w:t>
      </w:r>
    </w:p>
    <w:p w:rsidR="002D2F45" w:rsidRPr="002D2F45" w:rsidRDefault="002D2F45" w:rsidP="002D2F45">
      <w:pPr>
        <w:pStyle w:val="new0"/>
        <w:rPr>
          <w:rFonts w:ascii="Times New Roman" w:hAnsi="Times New Roman" w:cs="Times New Roman" w:hint="eastAsia"/>
        </w:rPr>
      </w:pPr>
      <w:r w:rsidRPr="002D2F45">
        <w:rPr>
          <w:rFonts w:ascii="Times New Roman" w:hAnsi="Times New Roman" w:cs="Times New Roman" w:hint="eastAsia"/>
        </w:rPr>
        <w:t>1</w:t>
      </w:r>
      <w:r w:rsidRPr="002D2F45">
        <w:rPr>
          <w:rFonts w:ascii="Times New Roman" w:hAnsi="Times New Roman" w:cs="Times New Roman" w:hint="eastAsia"/>
        </w:rPr>
        <w:t>、</w:t>
      </w:r>
      <w:r w:rsidRPr="002D2F45">
        <w:rPr>
          <w:rFonts w:ascii="Times New Roman" w:hAnsi="Times New Roman" w:cs="Times New Roman" w:hint="eastAsia"/>
        </w:rPr>
        <w:t xml:space="preserve"> </w:t>
      </w:r>
      <w:r w:rsidRPr="002D2F45">
        <w:rPr>
          <w:rFonts w:ascii="Times New Roman" w:hAnsi="Times New Roman" w:cs="Times New Roman" w:hint="eastAsia"/>
        </w:rPr>
        <w:t>基金业绩</w:t>
      </w:r>
    </w:p>
    <w:p w:rsidR="002D2F45" w:rsidRPr="002D2F45" w:rsidRDefault="002D2F45" w:rsidP="002D2F45">
      <w:pPr>
        <w:pStyle w:val="new0"/>
        <w:rPr>
          <w:rFonts w:ascii="Times New Roman" w:hAnsi="Times New Roman" w:cs="Times New Roman" w:hint="eastAsia"/>
        </w:rPr>
      </w:pPr>
      <w:r w:rsidRPr="002D2F45">
        <w:rPr>
          <w:rFonts w:ascii="Times New Roman" w:hAnsi="Times New Roman" w:cs="Times New Roman" w:hint="eastAsia"/>
        </w:rPr>
        <w:t>根据银河证券基金研究中心统计，截至</w:t>
      </w:r>
      <w:r w:rsidRPr="002D2F45">
        <w:rPr>
          <w:rFonts w:ascii="Times New Roman" w:hAnsi="Times New Roman" w:cs="Times New Roman" w:hint="eastAsia"/>
        </w:rPr>
        <w:t>2019</w:t>
      </w:r>
      <w:r w:rsidRPr="002D2F45">
        <w:rPr>
          <w:rFonts w:ascii="Times New Roman" w:hAnsi="Times New Roman" w:cs="Times New Roman" w:hint="eastAsia"/>
        </w:rPr>
        <w:t>年</w:t>
      </w:r>
      <w:r w:rsidRPr="002D2F45">
        <w:rPr>
          <w:rFonts w:ascii="Times New Roman" w:hAnsi="Times New Roman" w:cs="Times New Roman" w:hint="eastAsia"/>
        </w:rPr>
        <w:t>4</w:t>
      </w:r>
      <w:r w:rsidRPr="002D2F45">
        <w:rPr>
          <w:rFonts w:ascii="Times New Roman" w:hAnsi="Times New Roman" w:cs="Times New Roman" w:hint="eastAsia"/>
        </w:rPr>
        <w:t>季末：</w:t>
      </w:r>
    </w:p>
    <w:p w:rsidR="002D2F45" w:rsidRPr="002D2F45" w:rsidRDefault="002D2F45" w:rsidP="002D2F45">
      <w:pPr>
        <w:pStyle w:val="new0"/>
        <w:rPr>
          <w:rFonts w:ascii="Times New Roman" w:hAnsi="Times New Roman" w:cs="Times New Roman" w:hint="eastAsia"/>
        </w:rPr>
      </w:pPr>
      <w:r w:rsidRPr="002D2F45">
        <w:rPr>
          <w:rFonts w:ascii="Times New Roman" w:hAnsi="Times New Roman" w:cs="Times New Roman" w:hint="eastAsia"/>
        </w:rPr>
        <w:t>博时旗下权益类基金业绩表现优异，</w:t>
      </w:r>
      <w:r w:rsidRPr="002D2F45">
        <w:rPr>
          <w:rFonts w:ascii="Times New Roman" w:hAnsi="Times New Roman" w:cs="Times New Roman" w:hint="eastAsia"/>
        </w:rPr>
        <w:t>70</w:t>
      </w:r>
      <w:r w:rsidRPr="002D2F45">
        <w:rPr>
          <w:rFonts w:ascii="Times New Roman" w:hAnsi="Times New Roman" w:cs="Times New Roman" w:hint="eastAsia"/>
        </w:rPr>
        <w:t>只产品（各类份额分开计算，不含</w:t>
      </w:r>
      <w:r w:rsidRPr="002D2F45">
        <w:rPr>
          <w:rFonts w:ascii="Times New Roman" w:hAnsi="Times New Roman" w:cs="Times New Roman" w:hint="eastAsia"/>
        </w:rPr>
        <w:t>QDII</w:t>
      </w:r>
      <w:r w:rsidRPr="002D2F45">
        <w:rPr>
          <w:rFonts w:ascii="Times New Roman" w:hAnsi="Times New Roman" w:cs="Times New Roman" w:hint="eastAsia"/>
        </w:rPr>
        <w:t>，下同）</w:t>
      </w:r>
      <w:r w:rsidRPr="002D2F45">
        <w:rPr>
          <w:rFonts w:ascii="Times New Roman" w:hAnsi="Times New Roman" w:cs="Times New Roman" w:hint="eastAsia"/>
        </w:rPr>
        <w:t>2019</w:t>
      </w:r>
      <w:r w:rsidRPr="002D2F45">
        <w:rPr>
          <w:rFonts w:ascii="Times New Roman" w:hAnsi="Times New Roman" w:cs="Times New Roman" w:hint="eastAsia"/>
        </w:rPr>
        <w:t>年净值增长率超过</w:t>
      </w:r>
      <w:r w:rsidRPr="002D2F45">
        <w:rPr>
          <w:rFonts w:ascii="Times New Roman" w:hAnsi="Times New Roman" w:cs="Times New Roman" w:hint="eastAsia"/>
        </w:rPr>
        <w:t>30%</w:t>
      </w:r>
      <w:r w:rsidRPr="002D2F45">
        <w:rPr>
          <w:rFonts w:ascii="Times New Roman" w:hAnsi="Times New Roman" w:cs="Times New Roman" w:hint="eastAsia"/>
        </w:rPr>
        <w:t>，</w:t>
      </w:r>
      <w:r w:rsidRPr="002D2F45">
        <w:rPr>
          <w:rFonts w:ascii="Times New Roman" w:hAnsi="Times New Roman" w:cs="Times New Roman" w:hint="eastAsia"/>
        </w:rPr>
        <w:t>38</w:t>
      </w:r>
      <w:r w:rsidRPr="002D2F45">
        <w:rPr>
          <w:rFonts w:ascii="Times New Roman" w:hAnsi="Times New Roman" w:cs="Times New Roman" w:hint="eastAsia"/>
        </w:rPr>
        <w:t>只产品净值增长率超过</w:t>
      </w:r>
      <w:r w:rsidRPr="002D2F45">
        <w:rPr>
          <w:rFonts w:ascii="Times New Roman" w:hAnsi="Times New Roman" w:cs="Times New Roman" w:hint="eastAsia"/>
        </w:rPr>
        <w:t>40%</w:t>
      </w:r>
      <w:r w:rsidRPr="002D2F45">
        <w:rPr>
          <w:rFonts w:ascii="Times New Roman" w:hAnsi="Times New Roman" w:cs="Times New Roman" w:hint="eastAsia"/>
        </w:rPr>
        <w:t>，</w:t>
      </w:r>
      <w:r w:rsidRPr="002D2F45">
        <w:rPr>
          <w:rFonts w:ascii="Times New Roman" w:hAnsi="Times New Roman" w:cs="Times New Roman" w:hint="eastAsia"/>
        </w:rPr>
        <w:t>10</w:t>
      </w:r>
      <w:r w:rsidRPr="002D2F45">
        <w:rPr>
          <w:rFonts w:ascii="Times New Roman" w:hAnsi="Times New Roman" w:cs="Times New Roman" w:hint="eastAsia"/>
        </w:rPr>
        <w:t>只产品净值增长率超过</w:t>
      </w:r>
      <w:r w:rsidRPr="002D2F45">
        <w:rPr>
          <w:rFonts w:ascii="Times New Roman" w:hAnsi="Times New Roman" w:cs="Times New Roman" w:hint="eastAsia"/>
        </w:rPr>
        <w:t>60%</w:t>
      </w:r>
      <w:r w:rsidRPr="002D2F45">
        <w:rPr>
          <w:rFonts w:ascii="Times New Roman" w:hAnsi="Times New Roman" w:cs="Times New Roman" w:hint="eastAsia"/>
        </w:rPr>
        <w:t>，</w:t>
      </w:r>
      <w:r w:rsidRPr="002D2F45">
        <w:rPr>
          <w:rFonts w:ascii="Times New Roman" w:hAnsi="Times New Roman" w:cs="Times New Roman" w:hint="eastAsia"/>
        </w:rPr>
        <w:t>4</w:t>
      </w:r>
      <w:r w:rsidRPr="002D2F45">
        <w:rPr>
          <w:rFonts w:ascii="Times New Roman" w:hAnsi="Times New Roman" w:cs="Times New Roman" w:hint="eastAsia"/>
        </w:rPr>
        <w:t>只产品净值增长率超过</w:t>
      </w:r>
      <w:r w:rsidRPr="002D2F45">
        <w:rPr>
          <w:rFonts w:ascii="Times New Roman" w:hAnsi="Times New Roman" w:cs="Times New Roman" w:hint="eastAsia"/>
        </w:rPr>
        <w:t>80%</w:t>
      </w:r>
      <w:r w:rsidRPr="002D2F45">
        <w:rPr>
          <w:rFonts w:ascii="Times New Roman" w:hAnsi="Times New Roman" w:cs="Times New Roman" w:hint="eastAsia"/>
        </w:rPr>
        <w:t>，</w:t>
      </w:r>
      <w:r w:rsidRPr="002D2F45">
        <w:rPr>
          <w:rFonts w:ascii="Times New Roman" w:hAnsi="Times New Roman" w:cs="Times New Roman" w:hint="eastAsia"/>
        </w:rPr>
        <w:t>2</w:t>
      </w:r>
      <w:r w:rsidRPr="002D2F45">
        <w:rPr>
          <w:rFonts w:ascii="Times New Roman" w:hAnsi="Times New Roman" w:cs="Times New Roman" w:hint="eastAsia"/>
        </w:rPr>
        <w:t>只产品净值增长率超过</w:t>
      </w:r>
      <w:r w:rsidRPr="002D2F45">
        <w:rPr>
          <w:rFonts w:ascii="Times New Roman" w:hAnsi="Times New Roman" w:cs="Times New Roman" w:hint="eastAsia"/>
        </w:rPr>
        <w:t>90%</w:t>
      </w:r>
      <w:r w:rsidRPr="002D2F45">
        <w:rPr>
          <w:rFonts w:ascii="Times New Roman" w:hAnsi="Times New Roman" w:cs="Times New Roman" w:hint="eastAsia"/>
        </w:rPr>
        <w:t>；从相对排名来看，</w:t>
      </w:r>
      <w:r w:rsidRPr="002D2F45">
        <w:rPr>
          <w:rFonts w:ascii="Times New Roman" w:hAnsi="Times New Roman" w:cs="Times New Roman" w:hint="eastAsia"/>
        </w:rPr>
        <w:t>62</w:t>
      </w:r>
      <w:r w:rsidRPr="002D2F45">
        <w:rPr>
          <w:rFonts w:ascii="Times New Roman" w:hAnsi="Times New Roman" w:cs="Times New Roman" w:hint="eastAsia"/>
        </w:rPr>
        <w:t>只产品</w:t>
      </w:r>
      <w:r w:rsidRPr="002D2F45">
        <w:rPr>
          <w:rFonts w:ascii="Times New Roman" w:hAnsi="Times New Roman" w:cs="Times New Roman" w:hint="eastAsia"/>
        </w:rPr>
        <w:t>2019</w:t>
      </w:r>
      <w:r w:rsidRPr="002D2F45">
        <w:rPr>
          <w:rFonts w:ascii="Times New Roman" w:hAnsi="Times New Roman" w:cs="Times New Roman" w:hint="eastAsia"/>
        </w:rPr>
        <w:t>年净值增长率银河证券同类排名在前</w:t>
      </w:r>
      <w:r w:rsidRPr="002D2F45">
        <w:rPr>
          <w:rFonts w:ascii="Times New Roman" w:hAnsi="Times New Roman" w:cs="Times New Roman" w:hint="eastAsia"/>
        </w:rPr>
        <w:t>1/2</w:t>
      </w:r>
      <w:r w:rsidRPr="002D2F45">
        <w:rPr>
          <w:rFonts w:ascii="Times New Roman" w:hAnsi="Times New Roman" w:cs="Times New Roman" w:hint="eastAsia"/>
        </w:rPr>
        <w:t>，</w:t>
      </w:r>
      <w:r w:rsidRPr="002D2F45">
        <w:rPr>
          <w:rFonts w:ascii="Times New Roman" w:hAnsi="Times New Roman" w:cs="Times New Roman" w:hint="eastAsia"/>
        </w:rPr>
        <w:t>32</w:t>
      </w:r>
      <w:r w:rsidRPr="002D2F45">
        <w:rPr>
          <w:rFonts w:ascii="Times New Roman" w:hAnsi="Times New Roman" w:cs="Times New Roman" w:hint="eastAsia"/>
        </w:rPr>
        <w:t>只产品同类排名在前</w:t>
      </w:r>
      <w:r w:rsidRPr="002D2F45">
        <w:rPr>
          <w:rFonts w:ascii="Times New Roman" w:hAnsi="Times New Roman" w:cs="Times New Roman" w:hint="eastAsia"/>
        </w:rPr>
        <w:t>1/4</w:t>
      </w:r>
      <w:r w:rsidRPr="002D2F45">
        <w:rPr>
          <w:rFonts w:ascii="Times New Roman" w:hAnsi="Times New Roman" w:cs="Times New Roman" w:hint="eastAsia"/>
        </w:rPr>
        <w:t>，</w:t>
      </w:r>
      <w:r w:rsidRPr="002D2F45">
        <w:rPr>
          <w:rFonts w:ascii="Times New Roman" w:hAnsi="Times New Roman" w:cs="Times New Roman" w:hint="eastAsia"/>
        </w:rPr>
        <w:t>13</w:t>
      </w:r>
      <w:r w:rsidRPr="002D2F45">
        <w:rPr>
          <w:rFonts w:ascii="Times New Roman" w:hAnsi="Times New Roman" w:cs="Times New Roman" w:hint="eastAsia"/>
        </w:rPr>
        <w:t>只产品同类排名在前</w:t>
      </w:r>
      <w:r w:rsidRPr="002D2F45">
        <w:rPr>
          <w:rFonts w:ascii="Times New Roman" w:hAnsi="Times New Roman" w:cs="Times New Roman" w:hint="eastAsia"/>
        </w:rPr>
        <w:t>10</w:t>
      </w:r>
      <w:r w:rsidRPr="002D2F45">
        <w:rPr>
          <w:rFonts w:ascii="Times New Roman" w:hAnsi="Times New Roman" w:cs="Times New Roman" w:hint="eastAsia"/>
        </w:rPr>
        <w:t>，</w:t>
      </w:r>
      <w:r w:rsidRPr="002D2F45">
        <w:rPr>
          <w:rFonts w:ascii="Times New Roman" w:hAnsi="Times New Roman" w:cs="Times New Roman" w:hint="eastAsia"/>
        </w:rPr>
        <w:t>2</w:t>
      </w:r>
      <w:r w:rsidRPr="002D2F45">
        <w:rPr>
          <w:rFonts w:ascii="Times New Roman" w:hAnsi="Times New Roman" w:cs="Times New Roman" w:hint="eastAsia"/>
        </w:rPr>
        <w:t>只产品同类排名第</w:t>
      </w:r>
      <w:r w:rsidRPr="002D2F45">
        <w:rPr>
          <w:rFonts w:ascii="Times New Roman" w:hAnsi="Times New Roman" w:cs="Times New Roman" w:hint="eastAsia"/>
        </w:rPr>
        <w:t>1</w:t>
      </w:r>
      <w:r w:rsidRPr="002D2F45">
        <w:rPr>
          <w:rFonts w:ascii="Times New Roman" w:hAnsi="Times New Roman" w:cs="Times New Roman" w:hint="eastAsia"/>
        </w:rPr>
        <w:t>。</w:t>
      </w:r>
    </w:p>
    <w:p w:rsidR="002D2F45" w:rsidRPr="002D2F45" w:rsidRDefault="002D2F45" w:rsidP="002D2F45">
      <w:pPr>
        <w:pStyle w:val="new0"/>
        <w:rPr>
          <w:rFonts w:ascii="Times New Roman" w:hAnsi="Times New Roman" w:cs="Times New Roman" w:hint="eastAsia"/>
        </w:rPr>
      </w:pPr>
      <w:r w:rsidRPr="002D2F45">
        <w:rPr>
          <w:rFonts w:ascii="Times New Roman" w:hAnsi="Times New Roman" w:cs="Times New Roman" w:hint="eastAsia"/>
        </w:rPr>
        <w:t>其中，博时回报混合、博时医疗保健混合</w:t>
      </w:r>
      <w:r w:rsidRPr="002D2F45">
        <w:rPr>
          <w:rFonts w:ascii="Times New Roman" w:hAnsi="Times New Roman" w:cs="Times New Roman" w:hint="eastAsia"/>
        </w:rPr>
        <w:t>2019</w:t>
      </w:r>
      <w:r w:rsidRPr="002D2F45">
        <w:rPr>
          <w:rFonts w:ascii="Times New Roman" w:hAnsi="Times New Roman" w:cs="Times New Roman" w:hint="eastAsia"/>
        </w:rPr>
        <w:t>年净值增长率双双同类排名第</w:t>
      </w:r>
      <w:r w:rsidRPr="002D2F45">
        <w:rPr>
          <w:rFonts w:ascii="Times New Roman" w:hAnsi="Times New Roman" w:cs="Times New Roman" w:hint="eastAsia"/>
        </w:rPr>
        <w:t>1</w:t>
      </w:r>
      <w:r w:rsidRPr="002D2F45">
        <w:rPr>
          <w:rFonts w:ascii="Times New Roman" w:hAnsi="Times New Roman" w:cs="Times New Roman" w:hint="eastAsia"/>
        </w:rPr>
        <w:t>，</w:t>
      </w:r>
      <w:proofErr w:type="gramStart"/>
      <w:r w:rsidRPr="002D2F45">
        <w:rPr>
          <w:rFonts w:ascii="Times New Roman" w:hAnsi="Times New Roman" w:cs="Times New Roman" w:hint="eastAsia"/>
        </w:rPr>
        <w:t>博时弘泰</w:t>
      </w:r>
      <w:proofErr w:type="gramEnd"/>
      <w:r w:rsidRPr="002D2F45">
        <w:rPr>
          <w:rFonts w:ascii="Times New Roman" w:hAnsi="Times New Roman" w:cs="Times New Roman" w:hint="eastAsia"/>
        </w:rPr>
        <w:t>定期开放混合、</w:t>
      </w:r>
      <w:proofErr w:type="gramStart"/>
      <w:r w:rsidRPr="002D2F45">
        <w:rPr>
          <w:rFonts w:ascii="Times New Roman" w:hAnsi="Times New Roman" w:cs="Times New Roman" w:hint="eastAsia"/>
        </w:rPr>
        <w:t>博时荣享</w:t>
      </w:r>
      <w:proofErr w:type="gramEnd"/>
      <w:r w:rsidRPr="002D2F45">
        <w:rPr>
          <w:rFonts w:ascii="Times New Roman" w:hAnsi="Times New Roman" w:cs="Times New Roman" w:hint="eastAsia"/>
        </w:rPr>
        <w:t>回报灵活配置定期开放混合</w:t>
      </w:r>
      <w:r w:rsidRPr="002D2F45">
        <w:rPr>
          <w:rFonts w:ascii="Times New Roman" w:hAnsi="Times New Roman" w:cs="Times New Roman" w:hint="eastAsia"/>
        </w:rPr>
        <w:t>(C</w:t>
      </w:r>
      <w:r w:rsidRPr="002D2F45">
        <w:rPr>
          <w:rFonts w:ascii="Times New Roman" w:hAnsi="Times New Roman" w:cs="Times New Roman" w:hint="eastAsia"/>
        </w:rPr>
        <w:t>类</w:t>
      </w:r>
      <w:r w:rsidRPr="002D2F45">
        <w:rPr>
          <w:rFonts w:ascii="Times New Roman" w:hAnsi="Times New Roman" w:cs="Times New Roman" w:hint="eastAsia"/>
        </w:rPr>
        <w:t xml:space="preserve">) </w:t>
      </w:r>
      <w:r w:rsidRPr="002D2F45">
        <w:rPr>
          <w:rFonts w:ascii="Times New Roman" w:hAnsi="Times New Roman" w:cs="Times New Roman" w:hint="eastAsia"/>
        </w:rPr>
        <w:t>同类排名第</w:t>
      </w:r>
      <w:r w:rsidRPr="002D2F45">
        <w:rPr>
          <w:rFonts w:ascii="Times New Roman" w:hAnsi="Times New Roman" w:cs="Times New Roman" w:hint="eastAsia"/>
        </w:rPr>
        <w:t>2</w:t>
      </w:r>
      <w:r w:rsidRPr="002D2F45">
        <w:rPr>
          <w:rFonts w:ascii="Times New Roman" w:hAnsi="Times New Roman" w:cs="Times New Roman" w:hint="eastAsia"/>
        </w:rPr>
        <w:t>，博时文体娱乐主题混合、博时丝路主题股票</w:t>
      </w:r>
      <w:r w:rsidRPr="002D2F45">
        <w:rPr>
          <w:rFonts w:ascii="Times New Roman" w:hAnsi="Times New Roman" w:cs="Times New Roman" w:hint="eastAsia"/>
        </w:rPr>
        <w:t>(C</w:t>
      </w:r>
      <w:r w:rsidRPr="002D2F45">
        <w:rPr>
          <w:rFonts w:ascii="Times New Roman" w:hAnsi="Times New Roman" w:cs="Times New Roman" w:hint="eastAsia"/>
        </w:rPr>
        <w:t>类</w:t>
      </w:r>
      <w:r w:rsidRPr="002D2F45">
        <w:rPr>
          <w:rFonts w:ascii="Times New Roman" w:hAnsi="Times New Roman" w:cs="Times New Roman" w:hint="eastAsia"/>
        </w:rPr>
        <w:t>)</w:t>
      </w:r>
      <w:r w:rsidRPr="002D2F45">
        <w:rPr>
          <w:rFonts w:ascii="Times New Roman" w:hAnsi="Times New Roman" w:cs="Times New Roman" w:hint="eastAsia"/>
        </w:rPr>
        <w:t>、博时乐</w:t>
      </w:r>
      <w:proofErr w:type="gramStart"/>
      <w:r w:rsidRPr="002D2F45">
        <w:rPr>
          <w:rFonts w:ascii="Times New Roman" w:hAnsi="Times New Roman" w:cs="Times New Roman" w:hint="eastAsia"/>
        </w:rPr>
        <w:t>臻</w:t>
      </w:r>
      <w:proofErr w:type="gramEnd"/>
      <w:r w:rsidRPr="002D2F45">
        <w:rPr>
          <w:rFonts w:ascii="Times New Roman" w:hAnsi="Times New Roman" w:cs="Times New Roman" w:hint="eastAsia"/>
        </w:rPr>
        <w:t>定期开放混合、</w:t>
      </w:r>
      <w:proofErr w:type="gramStart"/>
      <w:r w:rsidRPr="002D2F45">
        <w:rPr>
          <w:rFonts w:ascii="Times New Roman" w:hAnsi="Times New Roman" w:cs="Times New Roman" w:hint="eastAsia"/>
        </w:rPr>
        <w:t>博时荣享</w:t>
      </w:r>
      <w:proofErr w:type="gramEnd"/>
      <w:r w:rsidRPr="002D2F45">
        <w:rPr>
          <w:rFonts w:ascii="Times New Roman" w:hAnsi="Times New Roman" w:cs="Times New Roman" w:hint="eastAsia"/>
        </w:rPr>
        <w:t>回报灵活配置定期开放混合</w:t>
      </w:r>
      <w:r w:rsidRPr="002D2F45">
        <w:rPr>
          <w:rFonts w:ascii="Times New Roman" w:hAnsi="Times New Roman" w:cs="Times New Roman" w:hint="eastAsia"/>
        </w:rPr>
        <w:t>(A</w:t>
      </w:r>
      <w:r w:rsidRPr="002D2F45">
        <w:rPr>
          <w:rFonts w:ascii="Times New Roman" w:hAnsi="Times New Roman" w:cs="Times New Roman" w:hint="eastAsia"/>
        </w:rPr>
        <w:t>类</w:t>
      </w:r>
      <w:r w:rsidRPr="002D2F45">
        <w:rPr>
          <w:rFonts w:ascii="Times New Roman" w:hAnsi="Times New Roman" w:cs="Times New Roman" w:hint="eastAsia"/>
        </w:rPr>
        <w:t>)</w:t>
      </w:r>
      <w:r w:rsidRPr="002D2F45">
        <w:rPr>
          <w:rFonts w:ascii="Times New Roman" w:hAnsi="Times New Roman" w:cs="Times New Roman" w:hint="eastAsia"/>
        </w:rPr>
        <w:t>、博</w:t>
      </w:r>
      <w:proofErr w:type="gramStart"/>
      <w:r w:rsidRPr="002D2F45">
        <w:rPr>
          <w:rFonts w:ascii="Times New Roman" w:hAnsi="Times New Roman" w:cs="Times New Roman" w:hint="eastAsia"/>
        </w:rPr>
        <w:t>时弘盈</w:t>
      </w:r>
      <w:proofErr w:type="gramEnd"/>
      <w:r w:rsidRPr="002D2F45">
        <w:rPr>
          <w:rFonts w:ascii="Times New Roman" w:hAnsi="Times New Roman" w:cs="Times New Roman" w:hint="eastAsia"/>
        </w:rPr>
        <w:t>定期开放混合</w:t>
      </w:r>
      <w:r w:rsidRPr="002D2F45">
        <w:rPr>
          <w:rFonts w:ascii="Times New Roman" w:hAnsi="Times New Roman" w:cs="Times New Roman" w:hint="eastAsia"/>
        </w:rPr>
        <w:t>(C</w:t>
      </w:r>
      <w:r w:rsidRPr="002D2F45">
        <w:rPr>
          <w:rFonts w:ascii="Times New Roman" w:hAnsi="Times New Roman" w:cs="Times New Roman" w:hint="eastAsia"/>
        </w:rPr>
        <w:t>类</w:t>
      </w:r>
      <w:r w:rsidRPr="002D2F45">
        <w:rPr>
          <w:rFonts w:ascii="Times New Roman" w:hAnsi="Times New Roman" w:cs="Times New Roman" w:hint="eastAsia"/>
        </w:rPr>
        <w:t>)</w:t>
      </w:r>
      <w:r w:rsidRPr="002D2F45">
        <w:rPr>
          <w:rFonts w:ascii="Times New Roman" w:hAnsi="Times New Roman" w:cs="Times New Roman" w:hint="eastAsia"/>
        </w:rPr>
        <w:t>、博时特许价值混合</w:t>
      </w:r>
      <w:r w:rsidRPr="002D2F45">
        <w:rPr>
          <w:rFonts w:ascii="Times New Roman" w:hAnsi="Times New Roman" w:cs="Times New Roman" w:hint="eastAsia"/>
        </w:rPr>
        <w:t>(A</w:t>
      </w:r>
      <w:r w:rsidRPr="002D2F45">
        <w:rPr>
          <w:rFonts w:ascii="Times New Roman" w:hAnsi="Times New Roman" w:cs="Times New Roman" w:hint="eastAsia"/>
        </w:rPr>
        <w:t>类</w:t>
      </w:r>
      <w:r w:rsidRPr="002D2F45">
        <w:rPr>
          <w:rFonts w:ascii="Times New Roman" w:hAnsi="Times New Roman" w:cs="Times New Roman" w:hint="eastAsia"/>
        </w:rPr>
        <w:t>)</w:t>
      </w:r>
      <w:r w:rsidRPr="002D2F45">
        <w:rPr>
          <w:rFonts w:ascii="Times New Roman" w:hAnsi="Times New Roman" w:cs="Times New Roman" w:hint="eastAsia"/>
        </w:rPr>
        <w:t>、博时中证</w:t>
      </w:r>
      <w:proofErr w:type="gramStart"/>
      <w:r w:rsidRPr="002D2F45">
        <w:rPr>
          <w:rFonts w:ascii="Times New Roman" w:hAnsi="Times New Roman" w:cs="Times New Roman" w:hint="eastAsia"/>
        </w:rPr>
        <w:t>银联智惠</w:t>
      </w:r>
      <w:proofErr w:type="gramEnd"/>
      <w:r w:rsidRPr="002D2F45">
        <w:rPr>
          <w:rFonts w:ascii="Times New Roman" w:hAnsi="Times New Roman" w:cs="Times New Roman" w:hint="eastAsia"/>
        </w:rPr>
        <w:t>大数据</w:t>
      </w:r>
      <w:r w:rsidRPr="002D2F45">
        <w:rPr>
          <w:rFonts w:ascii="Times New Roman" w:hAnsi="Times New Roman" w:cs="Times New Roman" w:hint="eastAsia"/>
        </w:rPr>
        <w:t>100</w:t>
      </w:r>
      <w:r w:rsidRPr="002D2F45">
        <w:rPr>
          <w:rFonts w:ascii="Times New Roman" w:hAnsi="Times New Roman" w:cs="Times New Roman" w:hint="eastAsia"/>
        </w:rPr>
        <w:t>指数</w:t>
      </w:r>
      <w:r w:rsidRPr="002D2F45">
        <w:rPr>
          <w:rFonts w:ascii="Times New Roman" w:hAnsi="Times New Roman" w:cs="Times New Roman" w:hint="eastAsia"/>
        </w:rPr>
        <w:t>(C</w:t>
      </w:r>
      <w:r w:rsidRPr="002D2F45">
        <w:rPr>
          <w:rFonts w:ascii="Times New Roman" w:hAnsi="Times New Roman" w:cs="Times New Roman" w:hint="eastAsia"/>
        </w:rPr>
        <w:t>类</w:t>
      </w:r>
      <w:r w:rsidRPr="002D2F45">
        <w:rPr>
          <w:rFonts w:ascii="Times New Roman" w:hAnsi="Times New Roman" w:cs="Times New Roman" w:hint="eastAsia"/>
        </w:rPr>
        <w:t>)</w:t>
      </w:r>
      <w:r w:rsidRPr="002D2F45">
        <w:rPr>
          <w:rFonts w:ascii="Times New Roman" w:hAnsi="Times New Roman" w:cs="Times New Roman" w:hint="eastAsia"/>
        </w:rPr>
        <w:t>、博时量化平衡混合、博时中证淘金大数据</w:t>
      </w:r>
      <w:r w:rsidRPr="002D2F45">
        <w:rPr>
          <w:rFonts w:ascii="Times New Roman" w:hAnsi="Times New Roman" w:cs="Times New Roman" w:hint="eastAsia"/>
        </w:rPr>
        <w:t>100</w:t>
      </w:r>
      <w:r w:rsidRPr="002D2F45">
        <w:rPr>
          <w:rFonts w:ascii="Times New Roman" w:hAnsi="Times New Roman" w:cs="Times New Roman" w:hint="eastAsia"/>
        </w:rPr>
        <w:t>指数</w:t>
      </w:r>
      <w:r w:rsidRPr="002D2F45">
        <w:rPr>
          <w:rFonts w:ascii="Times New Roman" w:hAnsi="Times New Roman" w:cs="Times New Roman" w:hint="eastAsia"/>
        </w:rPr>
        <w:t>(I</w:t>
      </w:r>
      <w:r w:rsidRPr="002D2F45">
        <w:rPr>
          <w:rFonts w:ascii="Times New Roman" w:hAnsi="Times New Roman" w:cs="Times New Roman" w:hint="eastAsia"/>
        </w:rPr>
        <w:t>类</w:t>
      </w:r>
      <w:r w:rsidRPr="002D2F45">
        <w:rPr>
          <w:rFonts w:ascii="Times New Roman" w:hAnsi="Times New Roman" w:cs="Times New Roman" w:hint="eastAsia"/>
        </w:rPr>
        <w:t>)</w:t>
      </w:r>
      <w:r w:rsidRPr="002D2F45">
        <w:rPr>
          <w:rFonts w:ascii="Times New Roman" w:hAnsi="Times New Roman" w:cs="Times New Roman" w:hint="eastAsia"/>
        </w:rPr>
        <w:t>同类排名分别为第</w:t>
      </w:r>
      <w:r w:rsidRPr="002D2F45">
        <w:rPr>
          <w:rFonts w:ascii="Times New Roman" w:hAnsi="Times New Roman" w:cs="Times New Roman" w:hint="eastAsia"/>
        </w:rPr>
        <w:t>4</w:t>
      </w:r>
      <w:r w:rsidRPr="002D2F45">
        <w:rPr>
          <w:rFonts w:ascii="Times New Roman" w:hAnsi="Times New Roman" w:cs="Times New Roman" w:hint="eastAsia"/>
        </w:rPr>
        <w:t>、第</w:t>
      </w:r>
      <w:r w:rsidRPr="002D2F45">
        <w:rPr>
          <w:rFonts w:ascii="Times New Roman" w:hAnsi="Times New Roman" w:cs="Times New Roman" w:hint="eastAsia"/>
        </w:rPr>
        <w:t>4</w:t>
      </w:r>
      <w:r w:rsidRPr="002D2F45">
        <w:rPr>
          <w:rFonts w:ascii="Times New Roman" w:hAnsi="Times New Roman" w:cs="Times New Roman" w:hint="eastAsia"/>
        </w:rPr>
        <w:t>、第</w:t>
      </w:r>
      <w:r w:rsidRPr="002D2F45">
        <w:rPr>
          <w:rFonts w:ascii="Times New Roman" w:hAnsi="Times New Roman" w:cs="Times New Roman" w:hint="eastAsia"/>
        </w:rPr>
        <w:t>7</w:t>
      </w:r>
      <w:r w:rsidRPr="002D2F45">
        <w:rPr>
          <w:rFonts w:ascii="Times New Roman" w:hAnsi="Times New Roman" w:cs="Times New Roman" w:hint="eastAsia"/>
        </w:rPr>
        <w:t>、第</w:t>
      </w:r>
      <w:r w:rsidRPr="002D2F45">
        <w:rPr>
          <w:rFonts w:ascii="Times New Roman" w:hAnsi="Times New Roman" w:cs="Times New Roman" w:hint="eastAsia"/>
        </w:rPr>
        <w:t>7</w:t>
      </w:r>
      <w:r w:rsidRPr="002D2F45">
        <w:rPr>
          <w:rFonts w:ascii="Times New Roman" w:hAnsi="Times New Roman" w:cs="Times New Roman" w:hint="eastAsia"/>
        </w:rPr>
        <w:t>、第</w:t>
      </w:r>
      <w:r w:rsidRPr="002D2F45">
        <w:rPr>
          <w:rFonts w:ascii="Times New Roman" w:hAnsi="Times New Roman" w:cs="Times New Roman" w:hint="eastAsia"/>
        </w:rPr>
        <w:t>7</w:t>
      </w:r>
      <w:r w:rsidRPr="002D2F45">
        <w:rPr>
          <w:rFonts w:ascii="Times New Roman" w:hAnsi="Times New Roman" w:cs="Times New Roman" w:hint="eastAsia"/>
        </w:rPr>
        <w:t>、第</w:t>
      </w:r>
      <w:r w:rsidRPr="002D2F45">
        <w:rPr>
          <w:rFonts w:ascii="Times New Roman" w:hAnsi="Times New Roman" w:cs="Times New Roman" w:hint="eastAsia"/>
        </w:rPr>
        <w:t>8</w:t>
      </w:r>
      <w:r w:rsidRPr="002D2F45">
        <w:rPr>
          <w:rFonts w:ascii="Times New Roman" w:hAnsi="Times New Roman" w:cs="Times New Roman" w:hint="eastAsia"/>
        </w:rPr>
        <w:t>、第</w:t>
      </w:r>
      <w:r w:rsidRPr="002D2F45">
        <w:rPr>
          <w:rFonts w:ascii="Times New Roman" w:hAnsi="Times New Roman" w:cs="Times New Roman" w:hint="eastAsia"/>
        </w:rPr>
        <w:t>8</w:t>
      </w:r>
      <w:r w:rsidRPr="002D2F45">
        <w:rPr>
          <w:rFonts w:ascii="Times New Roman" w:hAnsi="Times New Roman" w:cs="Times New Roman" w:hint="eastAsia"/>
        </w:rPr>
        <w:t>、第</w:t>
      </w:r>
      <w:r w:rsidRPr="002D2F45">
        <w:rPr>
          <w:rFonts w:ascii="Times New Roman" w:hAnsi="Times New Roman" w:cs="Times New Roman" w:hint="eastAsia"/>
        </w:rPr>
        <w:t>10</w:t>
      </w:r>
      <w:r w:rsidRPr="002D2F45">
        <w:rPr>
          <w:rFonts w:ascii="Times New Roman" w:hAnsi="Times New Roman" w:cs="Times New Roman" w:hint="eastAsia"/>
        </w:rPr>
        <w:t>、第</w:t>
      </w:r>
      <w:r w:rsidRPr="002D2F45">
        <w:rPr>
          <w:rFonts w:ascii="Times New Roman" w:hAnsi="Times New Roman" w:cs="Times New Roman" w:hint="eastAsia"/>
        </w:rPr>
        <w:t>10</w:t>
      </w:r>
      <w:r w:rsidRPr="002D2F45">
        <w:rPr>
          <w:rFonts w:ascii="Times New Roman" w:hAnsi="Times New Roman" w:cs="Times New Roman" w:hint="eastAsia"/>
        </w:rPr>
        <w:t>，博时睿利事件驱动灵活配置混合</w:t>
      </w:r>
      <w:r w:rsidRPr="002D2F45">
        <w:rPr>
          <w:rFonts w:ascii="Times New Roman" w:hAnsi="Times New Roman" w:cs="Times New Roman" w:hint="eastAsia"/>
        </w:rPr>
        <w:t>(LOF)</w:t>
      </w:r>
      <w:r w:rsidRPr="002D2F45">
        <w:rPr>
          <w:rFonts w:ascii="Times New Roman" w:hAnsi="Times New Roman" w:cs="Times New Roman" w:hint="eastAsia"/>
        </w:rPr>
        <w:t>、博时鑫泽灵活配置混合</w:t>
      </w:r>
      <w:r w:rsidRPr="002D2F45">
        <w:rPr>
          <w:rFonts w:ascii="Times New Roman" w:hAnsi="Times New Roman" w:cs="Times New Roman" w:hint="eastAsia"/>
        </w:rPr>
        <w:t>(C</w:t>
      </w:r>
      <w:r w:rsidRPr="002D2F45">
        <w:rPr>
          <w:rFonts w:ascii="Times New Roman" w:hAnsi="Times New Roman" w:cs="Times New Roman" w:hint="eastAsia"/>
        </w:rPr>
        <w:t>类</w:t>
      </w:r>
      <w:r w:rsidRPr="002D2F45">
        <w:rPr>
          <w:rFonts w:ascii="Times New Roman" w:hAnsi="Times New Roman" w:cs="Times New Roman" w:hint="eastAsia"/>
        </w:rPr>
        <w:t>)</w:t>
      </w:r>
      <w:r w:rsidRPr="002D2F45">
        <w:rPr>
          <w:rFonts w:ascii="Times New Roman" w:hAnsi="Times New Roman" w:cs="Times New Roman" w:hint="eastAsia"/>
        </w:rPr>
        <w:t>、博</w:t>
      </w:r>
      <w:proofErr w:type="gramStart"/>
      <w:r w:rsidRPr="002D2F45">
        <w:rPr>
          <w:rFonts w:ascii="Times New Roman" w:hAnsi="Times New Roman" w:cs="Times New Roman" w:hint="eastAsia"/>
        </w:rPr>
        <w:t>时裕益</w:t>
      </w:r>
      <w:proofErr w:type="gramEnd"/>
      <w:r w:rsidRPr="002D2F45">
        <w:rPr>
          <w:rFonts w:ascii="Times New Roman" w:hAnsi="Times New Roman" w:cs="Times New Roman" w:hint="eastAsia"/>
        </w:rPr>
        <w:t>灵活配置混合同类排名均在前</w:t>
      </w:r>
      <w:r w:rsidRPr="002D2F45">
        <w:rPr>
          <w:rFonts w:ascii="Times New Roman" w:hAnsi="Times New Roman" w:cs="Times New Roman" w:hint="eastAsia"/>
        </w:rPr>
        <w:t>1/1</w:t>
      </w:r>
      <w:bookmarkStart w:id="0" w:name="_GoBack"/>
      <w:bookmarkEnd w:id="0"/>
      <w:r w:rsidRPr="002D2F45">
        <w:rPr>
          <w:rFonts w:ascii="Times New Roman" w:hAnsi="Times New Roman" w:cs="Times New Roman" w:hint="eastAsia"/>
        </w:rPr>
        <w:t>0</w:t>
      </w:r>
      <w:r w:rsidRPr="002D2F45">
        <w:rPr>
          <w:rFonts w:ascii="Times New Roman" w:hAnsi="Times New Roman" w:cs="Times New Roman" w:hint="eastAsia"/>
        </w:rPr>
        <w:t>，博时鑫源灵活配置混合</w:t>
      </w:r>
      <w:r w:rsidRPr="002D2F45">
        <w:rPr>
          <w:rFonts w:ascii="Times New Roman" w:hAnsi="Times New Roman" w:cs="Times New Roman" w:hint="eastAsia"/>
        </w:rPr>
        <w:t>(C</w:t>
      </w:r>
      <w:r w:rsidRPr="002D2F45">
        <w:rPr>
          <w:rFonts w:ascii="Times New Roman" w:hAnsi="Times New Roman" w:cs="Times New Roman" w:hint="eastAsia"/>
        </w:rPr>
        <w:t>类</w:t>
      </w:r>
      <w:r w:rsidRPr="002D2F45">
        <w:rPr>
          <w:rFonts w:ascii="Times New Roman" w:hAnsi="Times New Roman" w:cs="Times New Roman" w:hint="eastAsia"/>
        </w:rPr>
        <w:t>)</w:t>
      </w:r>
      <w:r w:rsidRPr="002D2F45">
        <w:rPr>
          <w:rFonts w:ascii="Times New Roman" w:hAnsi="Times New Roman" w:cs="Times New Roman" w:hint="eastAsia"/>
        </w:rPr>
        <w:t>、</w:t>
      </w:r>
      <w:proofErr w:type="gramStart"/>
      <w:r w:rsidRPr="002D2F45">
        <w:rPr>
          <w:rFonts w:ascii="Times New Roman" w:hAnsi="Times New Roman" w:cs="Times New Roman" w:hint="eastAsia"/>
        </w:rPr>
        <w:t>博时厚泽</w:t>
      </w:r>
      <w:proofErr w:type="gramEnd"/>
      <w:r w:rsidRPr="002D2F45">
        <w:rPr>
          <w:rFonts w:ascii="Times New Roman" w:hAnsi="Times New Roman" w:cs="Times New Roman" w:hint="eastAsia"/>
        </w:rPr>
        <w:t>回报灵活配置混合</w:t>
      </w:r>
      <w:r w:rsidRPr="002D2F45">
        <w:rPr>
          <w:rFonts w:ascii="Times New Roman" w:hAnsi="Times New Roman" w:cs="Times New Roman" w:hint="eastAsia"/>
        </w:rPr>
        <w:t>(C</w:t>
      </w:r>
      <w:r w:rsidRPr="002D2F45">
        <w:rPr>
          <w:rFonts w:ascii="Times New Roman" w:hAnsi="Times New Roman" w:cs="Times New Roman" w:hint="eastAsia"/>
        </w:rPr>
        <w:t>类</w:t>
      </w:r>
      <w:r w:rsidRPr="002D2F45">
        <w:rPr>
          <w:rFonts w:ascii="Times New Roman" w:hAnsi="Times New Roman" w:cs="Times New Roman" w:hint="eastAsia"/>
        </w:rPr>
        <w:t>)</w:t>
      </w:r>
      <w:r w:rsidRPr="002D2F45">
        <w:rPr>
          <w:rFonts w:ascii="Times New Roman" w:hAnsi="Times New Roman" w:cs="Times New Roman" w:hint="eastAsia"/>
        </w:rPr>
        <w:t>、博时互联网主题灵活配置混合、博时新兴消费主题混合、博时沪港深优质企业灵活配置混合</w:t>
      </w:r>
      <w:r w:rsidRPr="002D2F45">
        <w:rPr>
          <w:rFonts w:ascii="Times New Roman" w:hAnsi="Times New Roman" w:cs="Times New Roman" w:hint="eastAsia"/>
        </w:rPr>
        <w:t>(C</w:t>
      </w:r>
      <w:r w:rsidRPr="002D2F45">
        <w:rPr>
          <w:rFonts w:ascii="Times New Roman" w:hAnsi="Times New Roman" w:cs="Times New Roman" w:hint="eastAsia"/>
        </w:rPr>
        <w:t>类</w:t>
      </w:r>
      <w:r w:rsidRPr="002D2F45">
        <w:rPr>
          <w:rFonts w:ascii="Times New Roman" w:hAnsi="Times New Roman" w:cs="Times New Roman" w:hint="eastAsia"/>
        </w:rPr>
        <w:t>)</w:t>
      </w:r>
      <w:r w:rsidRPr="002D2F45">
        <w:rPr>
          <w:rFonts w:ascii="Times New Roman" w:hAnsi="Times New Roman" w:cs="Times New Roman" w:hint="eastAsia"/>
        </w:rPr>
        <w:t>、博时鑫泽灵活配置混合</w:t>
      </w:r>
      <w:r w:rsidRPr="002D2F45">
        <w:rPr>
          <w:rFonts w:ascii="Times New Roman" w:hAnsi="Times New Roman" w:cs="Times New Roman" w:hint="eastAsia"/>
        </w:rPr>
        <w:t>(A</w:t>
      </w:r>
      <w:r w:rsidRPr="002D2F45">
        <w:rPr>
          <w:rFonts w:ascii="Times New Roman" w:hAnsi="Times New Roman" w:cs="Times New Roman" w:hint="eastAsia"/>
        </w:rPr>
        <w:t>类</w:t>
      </w:r>
      <w:r w:rsidRPr="002D2F45">
        <w:rPr>
          <w:rFonts w:ascii="Times New Roman" w:hAnsi="Times New Roman" w:cs="Times New Roman" w:hint="eastAsia"/>
        </w:rPr>
        <w:t>)</w:t>
      </w:r>
      <w:r w:rsidRPr="002D2F45">
        <w:rPr>
          <w:rFonts w:ascii="Times New Roman" w:hAnsi="Times New Roman" w:cs="Times New Roman" w:hint="eastAsia"/>
        </w:rPr>
        <w:t>、博时鑫源灵活配置混合</w:t>
      </w:r>
      <w:r w:rsidRPr="002D2F45">
        <w:rPr>
          <w:rFonts w:ascii="Times New Roman" w:hAnsi="Times New Roman" w:cs="Times New Roman" w:hint="eastAsia"/>
        </w:rPr>
        <w:t>(A</w:t>
      </w:r>
      <w:r w:rsidRPr="002D2F45">
        <w:rPr>
          <w:rFonts w:ascii="Times New Roman" w:hAnsi="Times New Roman" w:cs="Times New Roman" w:hint="eastAsia"/>
        </w:rPr>
        <w:t>类</w:t>
      </w:r>
      <w:r w:rsidRPr="002D2F45">
        <w:rPr>
          <w:rFonts w:ascii="Times New Roman" w:hAnsi="Times New Roman" w:cs="Times New Roman" w:hint="eastAsia"/>
        </w:rPr>
        <w:t>)</w:t>
      </w:r>
      <w:r w:rsidRPr="002D2F45">
        <w:rPr>
          <w:rFonts w:ascii="Times New Roman" w:hAnsi="Times New Roman" w:cs="Times New Roman" w:hint="eastAsia"/>
        </w:rPr>
        <w:t>、博</w:t>
      </w:r>
      <w:proofErr w:type="gramStart"/>
      <w:r w:rsidRPr="002D2F45">
        <w:rPr>
          <w:rFonts w:ascii="Times New Roman" w:hAnsi="Times New Roman" w:cs="Times New Roman" w:hint="eastAsia"/>
        </w:rPr>
        <w:t>时创新</w:t>
      </w:r>
      <w:proofErr w:type="gramEnd"/>
      <w:r w:rsidRPr="002D2F45">
        <w:rPr>
          <w:rFonts w:ascii="Times New Roman" w:hAnsi="Times New Roman" w:cs="Times New Roman" w:hint="eastAsia"/>
        </w:rPr>
        <w:t>驱动灵活配置混合</w:t>
      </w:r>
      <w:r w:rsidRPr="002D2F45">
        <w:rPr>
          <w:rFonts w:ascii="Times New Roman" w:hAnsi="Times New Roman" w:cs="Times New Roman" w:hint="eastAsia"/>
        </w:rPr>
        <w:t>(C</w:t>
      </w:r>
      <w:r w:rsidRPr="002D2F45">
        <w:rPr>
          <w:rFonts w:ascii="Times New Roman" w:hAnsi="Times New Roman" w:cs="Times New Roman" w:hint="eastAsia"/>
        </w:rPr>
        <w:t>类</w:t>
      </w:r>
      <w:r w:rsidRPr="002D2F45">
        <w:rPr>
          <w:rFonts w:ascii="Times New Roman" w:hAnsi="Times New Roman" w:cs="Times New Roman" w:hint="eastAsia"/>
        </w:rPr>
        <w:t>)</w:t>
      </w:r>
      <w:r w:rsidRPr="002D2F45">
        <w:rPr>
          <w:rFonts w:ascii="Times New Roman" w:hAnsi="Times New Roman" w:cs="Times New Roman" w:hint="eastAsia"/>
        </w:rPr>
        <w:t>、博时颐泰混合</w:t>
      </w:r>
      <w:r w:rsidRPr="002D2F45">
        <w:rPr>
          <w:rFonts w:ascii="Times New Roman" w:hAnsi="Times New Roman" w:cs="Times New Roman" w:hint="eastAsia"/>
        </w:rPr>
        <w:t>(A</w:t>
      </w:r>
      <w:r w:rsidRPr="002D2F45">
        <w:rPr>
          <w:rFonts w:ascii="Times New Roman" w:hAnsi="Times New Roman" w:cs="Times New Roman" w:hint="eastAsia"/>
        </w:rPr>
        <w:t>类</w:t>
      </w:r>
      <w:r w:rsidRPr="002D2F45">
        <w:rPr>
          <w:rFonts w:ascii="Times New Roman" w:hAnsi="Times New Roman" w:cs="Times New Roman" w:hint="eastAsia"/>
        </w:rPr>
        <w:t>)</w:t>
      </w:r>
      <w:r w:rsidRPr="002D2F45">
        <w:rPr>
          <w:rFonts w:ascii="Times New Roman" w:hAnsi="Times New Roman" w:cs="Times New Roman" w:hint="eastAsia"/>
        </w:rPr>
        <w:t>、博时新起点灵活配置混合</w:t>
      </w:r>
      <w:r w:rsidRPr="002D2F45">
        <w:rPr>
          <w:rFonts w:ascii="Times New Roman" w:hAnsi="Times New Roman" w:cs="Times New Roman" w:hint="eastAsia"/>
        </w:rPr>
        <w:t>(C</w:t>
      </w:r>
      <w:r w:rsidRPr="002D2F45">
        <w:rPr>
          <w:rFonts w:ascii="Times New Roman" w:hAnsi="Times New Roman" w:cs="Times New Roman" w:hint="eastAsia"/>
        </w:rPr>
        <w:t>类</w:t>
      </w:r>
      <w:r w:rsidRPr="002D2F45">
        <w:rPr>
          <w:rFonts w:ascii="Times New Roman" w:hAnsi="Times New Roman" w:cs="Times New Roman" w:hint="eastAsia"/>
        </w:rPr>
        <w:t>)</w:t>
      </w:r>
      <w:r w:rsidRPr="002D2F45">
        <w:rPr>
          <w:rFonts w:ascii="Times New Roman" w:hAnsi="Times New Roman" w:cs="Times New Roman" w:hint="eastAsia"/>
        </w:rPr>
        <w:t>、博时新兴成长混合、博时颐泰混合</w:t>
      </w:r>
      <w:r w:rsidRPr="002D2F45">
        <w:rPr>
          <w:rFonts w:ascii="Times New Roman" w:hAnsi="Times New Roman" w:cs="Times New Roman" w:hint="eastAsia"/>
        </w:rPr>
        <w:t>(C</w:t>
      </w:r>
      <w:r w:rsidRPr="002D2F45">
        <w:rPr>
          <w:rFonts w:ascii="Times New Roman" w:hAnsi="Times New Roman" w:cs="Times New Roman" w:hint="eastAsia"/>
        </w:rPr>
        <w:t>类</w:t>
      </w:r>
      <w:r w:rsidRPr="002D2F45">
        <w:rPr>
          <w:rFonts w:ascii="Times New Roman" w:hAnsi="Times New Roman" w:cs="Times New Roman" w:hint="eastAsia"/>
        </w:rPr>
        <w:t>)</w:t>
      </w:r>
      <w:r w:rsidRPr="002D2F45">
        <w:rPr>
          <w:rFonts w:ascii="Times New Roman" w:hAnsi="Times New Roman" w:cs="Times New Roman" w:hint="eastAsia"/>
        </w:rPr>
        <w:t>、博时新起点灵活配置混合</w:t>
      </w:r>
      <w:r w:rsidRPr="002D2F45">
        <w:rPr>
          <w:rFonts w:ascii="Times New Roman" w:hAnsi="Times New Roman" w:cs="Times New Roman" w:hint="eastAsia"/>
        </w:rPr>
        <w:t>(A</w:t>
      </w:r>
      <w:r w:rsidRPr="002D2F45">
        <w:rPr>
          <w:rFonts w:ascii="Times New Roman" w:hAnsi="Times New Roman" w:cs="Times New Roman" w:hint="eastAsia"/>
        </w:rPr>
        <w:t>类</w:t>
      </w:r>
      <w:r w:rsidRPr="002D2F45">
        <w:rPr>
          <w:rFonts w:ascii="Times New Roman" w:hAnsi="Times New Roman" w:cs="Times New Roman" w:hint="eastAsia"/>
        </w:rPr>
        <w:t>)</w:t>
      </w:r>
      <w:r w:rsidRPr="002D2F45">
        <w:rPr>
          <w:rFonts w:ascii="Times New Roman" w:hAnsi="Times New Roman" w:cs="Times New Roman" w:hint="eastAsia"/>
        </w:rPr>
        <w:t>、</w:t>
      </w:r>
      <w:proofErr w:type="gramStart"/>
      <w:r w:rsidRPr="002D2F45">
        <w:rPr>
          <w:rFonts w:ascii="Times New Roman" w:hAnsi="Times New Roman" w:cs="Times New Roman" w:hint="eastAsia"/>
        </w:rPr>
        <w:t>博时厚泽</w:t>
      </w:r>
      <w:proofErr w:type="gramEnd"/>
      <w:r w:rsidRPr="002D2F45">
        <w:rPr>
          <w:rFonts w:ascii="Times New Roman" w:hAnsi="Times New Roman" w:cs="Times New Roman" w:hint="eastAsia"/>
        </w:rPr>
        <w:t>回报灵活配置混合</w:t>
      </w:r>
      <w:r w:rsidRPr="002D2F45">
        <w:rPr>
          <w:rFonts w:ascii="Times New Roman" w:hAnsi="Times New Roman" w:cs="Times New Roman" w:hint="eastAsia"/>
        </w:rPr>
        <w:t>(A</w:t>
      </w:r>
      <w:r w:rsidRPr="002D2F45">
        <w:rPr>
          <w:rFonts w:ascii="Times New Roman" w:hAnsi="Times New Roman" w:cs="Times New Roman" w:hint="eastAsia"/>
        </w:rPr>
        <w:t>类</w:t>
      </w:r>
      <w:r w:rsidRPr="002D2F45">
        <w:rPr>
          <w:rFonts w:ascii="Times New Roman" w:hAnsi="Times New Roman" w:cs="Times New Roman" w:hint="eastAsia"/>
        </w:rPr>
        <w:t>)</w:t>
      </w:r>
      <w:r w:rsidRPr="002D2F45">
        <w:rPr>
          <w:rFonts w:ascii="Times New Roman" w:hAnsi="Times New Roman" w:cs="Times New Roman" w:hint="eastAsia"/>
        </w:rPr>
        <w:t>、博时鑫瑞灵活配置混合</w:t>
      </w:r>
      <w:r w:rsidRPr="002D2F45">
        <w:rPr>
          <w:rFonts w:ascii="Times New Roman" w:hAnsi="Times New Roman" w:cs="Times New Roman" w:hint="eastAsia"/>
        </w:rPr>
        <w:t>(C</w:t>
      </w:r>
      <w:r w:rsidRPr="002D2F45">
        <w:rPr>
          <w:rFonts w:ascii="Times New Roman" w:hAnsi="Times New Roman" w:cs="Times New Roman" w:hint="eastAsia"/>
        </w:rPr>
        <w:t>类</w:t>
      </w:r>
      <w:r w:rsidRPr="002D2F45">
        <w:rPr>
          <w:rFonts w:ascii="Times New Roman" w:hAnsi="Times New Roman" w:cs="Times New Roman" w:hint="eastAsia"/>
        </w:rPr>
        <w:t>)</w:t>
      </w:r>
      <w:r w:rsidRPr="002D2F45">
        <w:rPr>
          <w:rFonts w:ascii="Times New Roman" w:hAnsi="Times New Roman" w:cs="Times New Roman" w:hint="eastAsia"/>
        </w:rPr>
        <w:t>、博</w:t>
      </w:r>
      <w:proofErr w:type="gramStart"/>
      <w:r w:rsidRPr="002D2F45">
        <w:rPr>
          <w:rFonts w:ascii="Times New Roman" w:hAnsi="Times New Roman" w:cs="Times New Roman" w:hint="eastAsia"/>
        </w:rPr>
        <w:t>时战略</w:t>
      </w:r>
      <w:proofErr w:type="gramEnd"/>
      <w:r w:rsidRPr="002D2F45">
        <w:rPr>
          <w:rFonts w:ascii="Times New Roman" w:hAnsi="Times New Roman" w:cs="Times New Roman" w:hint="eastAsia"/>
        </w:rPr>
        <w:t>新兴产业混合、博时睿远事件驱动灵活配置混合</w:t>
      </w:r>
      <w:r w:rsidRPr="002D2F45">
        <w:rPr>
          <w:rFonts w:ascii="Times New Roman" w:hAnsi="Times New Roman" w:cs="Times New Roman" w:hint="eastAsia"/>
        </w:rPr>
        <w:t>(LOF)</w:t>
      </w:r>
      <w:r w:rsidRPr="002D2F45">
        <w:rPr>
          <w:rFonts w:ascii="Times New Roman" w:hAnsi="Times New Roman" w:cs="Times New Roman" w:hint="eastAsia"/>
        </w:rPr>
        <w:t>、博时沪港深优质企业灵活配置混合</w:t>
      </w:r>
      <w:r w:rsidRPr="002D2F45">
        <w:rPr>
          <w:rFonts w:ascii="Times New Roman" w:hAnsi="Times New Roman" w:cs="Times New Roman" w:hint="eastAsia"/>
        </w:rPr>
        <w:t>(A</w:t>
      </w:r>
      <w:r w:rsidRPr="002D2F45">
        <w:rPr>
          <w:rFonts w:ascii="Times New Roman" w:hAnsi="Times New Roman" w:cs="Times New Roman" w:hint="eastAsia"/>
        </w:rPr>
        <w:t>类</w:t>
      </w:r>
      <w:r w:rsidRPr="002D2F45">
        <w:rPr>
          <w:rFonts w:ascii="Times New Roman" w:hAnsi="Times New Roman" w:cs="Times New Roman" w:hint="eastAsia"/>
        </w:rPr>
        <w:t>)</w:t>
      </w:r>
      <w:r w:rsidRPr="002D2F45">
        <w:rPr>
          <w:rFonts w:ascii="Times New Roman" w:hAnsi="Times New Roman" w:cs="Times New Roman" w:hint="eastAsia"/>
        </w:rPr>
        <w:t>、博时策略灵活配置混合等产品</w:t>
      </w:r>
      <w:r w:rsidRPr="002D2F45">
        <w:rPr>
          <w:rFonts w:ascii="Times New Roman" w:hAnsi="Times New Roman" w:cs="Times New Roman" w:hint="eastAsia"/>
        </w:rPr>
        <w:t>2019</w:t>
      </w:r>
      <w:r w:rsidRPr="002D2F45">
        <w:rPr>
          <w:rFonts w:ascii="Times New Roman" w:hAnsi="Times New Roman" w:cs="Times New Roman" w:hint="eastAsia"/>
        </w:rPr>
        <w:t>年来净值增长率同类排名均在前</w:t>
      </w:r>
      <w:r w:rsidRPr="002D2F45">
        <w:rPr>
          <w:rFonts w:ascii="Times New Roman" w:hAnsi="Times New Roman" w:cs="Times New Roman" w:hint="eastAsia"/>
        </w:rPr>
        <w:t>1/4</w:t>
      </w:r>
      <w:r w:rsidRPr="002D2F45">
        <w:rPr>
          <w:rFonts w:ascii="Times New Roman" w:hAnsi="Times New Roman" w:cs="Times New Roman" w:hint="eastAsia"/>
        </w:rPr>
        <w:t>。此外，</w:t>
      </w:r>
      <w:proofErr w:type="gramStart"/>
      <w:r w:rsidRPr="002D2F45">
        <w:rPr>
          <w:rFonts w:ascii="Times New Roman" w:hAnsi="Times New Roman" w:cs="Times New Roman" w:hint="eastAsia"/>
        </w:rPr>
        <w:t>博时裕隆</w:t>
      </w:r>
      <w:proofErr w:type="gramEnd"/>
      <w:r w:rsidRPr="002D2F45">
        <w:rPr>
          <w:rFonts w:ascii="Times New Roman" w:hAnsi="Times New Roman" w:cs="Times New Roman" w:hint="eastAsia"/>
        </w:rPr>
        <w:t>灵活配置混合、博</w:t>
      </w:r>
      <w:proofErr w:type="gramStart"/>
      <w:r w:rsidRPr="002D2F45">
        <w:rPr>
          <w:rFonts w:ascii="Times New Roman" w:hAnsi="Times New Roman" w:cs="Times New Roman" w:hint="eastAsia"/>
        </w:rPr>
        <w:t>时主题</w:t>
      </w:r>
      <w:proofErr w:type="gramEnd"/>
      <w:r w:rsidRPr="002D2F45">
        <w:rPr>
          <w:rFonts w:ascii="Times New Roman" w:hAnsi="Times New Roman" w:cs="Times New Roman" w:hint="eastAsia"/>
        </w:rPr>
        <w:t>行业混合</w:t>
      </w:r>
      <w:r w:rsidRPr="002D2F45">
        <w:rPr>
          <w:rFonts w:ascii="Times New Roman" w:hAnsi="Times New Roman" w:cs="Times New Roman" w:hint="eastAsia"/>
        </w:rPr>
        <w:t>(LOF)</w:t>
      </w:r>
      <w:r w:rsidRPr="002D2F45">
        <w:rPr>
          <w:rFonts w:ascii="Times New Roman" w:hAnsi="Times New Roman" w:cs="Times New Roman" w:hint="eastAsia"/>
        </w:rPr>
        <w:t>、</w:t>
      </w:r>
      <w:proofErr w:type="gramStart"/>
      <w:r w:rsidRPr="002D2F45">
        <w:rPr>
          <w:rFonts w:ascii="Times New Roman" w:hAnsi="Times New Roman" w:cs="Times New Roman" w:hint="eastAsia"/>
        </w:rPr>
        <w:t>博时汇智</w:t>
      </w:r>
      <w:proofErr w:type="gramEnd"/>
      <w:r w:rsidRPr="002D2F45">
        <w:rPr>
          <w:rFonts w:ascii="Times New Roman" w:hAnsi="Times New Roman" w:cs="Times New Roman" w:hint="eastAsia"/>
        </w:rPr>
        <w:t>回报灵活配置混合、博时外延增长主题灵活配置混合、博</w:t>
      </w:r>
      <w:proofErr w:type="gramStart"/>
      <w:r w:rsidRPr="002D2F45">
        <w:rPr>
          <w:rFonts w:ascii="Times New Roman" w:hAnsi="Times New Roman" w:cs="Times New Roman" w:hint="eastAsia"/>
        </w:rPr>
        <w:t>时产业</w:t>
      </w:r>
      <w:proofErr w:type="gramEnd"/>
      <w:r w:rsidRPr="002D2F45">
        <w:rPr>
          <w:rFonts w:ascii="Times New Roman" w:hAnsi="Times New Roman" w:cs="Times New Roman" w:hint="eastAsia"/>
        </w:rPr>
        <w:t>新动力灵活配置混合</w:t>
      </w:r>
      <w:r w:rsidRPr="002D2F45">
        <w:rPr>
          <w:rFonts w:ascii="Times New Roman" w:hAnsi="Times New Roman" w:cs="Times New Roman" w:hint="eastAsia"/>
        </w:rPr>
        <w:t>(A</w:t>
      </w:r>
      <w:r w:rsidRPr="002D2F45">
        <w:rPr>
          <w:rFonts w:ascii="Times New Roman" w:hAnsi="Times New Roman" w:cs="Times New Roman" w:hint="eastAsia"/>
        </w:rPr>
        <w:t>类</w:t>
      </w:r>
      <w:r w:rsidRPr="002D2F45">
        <w:rPr>
          <w:rFonts w:ascii="Times New Roman" w:hAnsi="Times New Roman" w:cs="Times New Roman" w:hint="eastAsia"/>
        </w:rPr>
        <w:t>)</w:t>
      </w:r>
      <w:r w:rsidRPr="002D2F45">
        <w:rPr>
          <w:rFonts w:ascii="Times New Roman" w:hAnsi="Times New Roman" w:cs="Times New Roman" w:hint="eastAsia"/>
        </w:rPr>
        <w:t>等产品不仅</w:t>
      </w:r>
      <w:r w:rsidRPr="002D2F45">
        <w:rPr>
          <w:rFonts w:ascii="Times New Roman" w:hAnsi="Times New Roman" w:cs="Times New Roman" w:hint="eastAsia"/>
        </w:rPr>
        <w:t>2019</w:t>
      </w:r>
      <w:r w:rsidRPr="002D2F45">
        <w:rPr>
          <w:rFonts w:ascii="Times New Roman" w:hAnsi="Times New Roman" w:cs="Times New Roman" w:hint="eastAsia"/>
        </w:rPr>
        <w:t>年业绩表现较好，成立以来</w:t>
      </w:r>
      <w:proofErr w:type="gramStart"/>
      <w:r w:rsidRPr="002D2F45">
        <w:rPr>
          <w:rFonts w:ascii="Times New Roman" w:hAnsi="Times New Roman" w:cs="Times New Roman" w:hint="eastAsia"/>
        </w:rPr>
        <w:t>年化回报</w:t>
      </w:r>
      <w:proofErr w:type="gramEnd"/>
      <w:r w:rsidRPr="002D2F45">
        <w:rPr>
          <w:rFonts w:ascii="Times New Roman" w:hAnsi="Times New Roman" w:cs="Times New Roman" w:hint="eastAsia"/>
        </w:rPr>
        <w:t>亦可观，长期投资价值凸显。</w:t>
      </w:r>
    </w:p>
    <w:p w:rsidR="002D2F45" w:rsidRPr="002D2F45" w:rsidRDefault="002D2F45" w:rsidP="002D2F45">
      <w:pPr>
        <w:pStyle w:val="new0"/>
        <w:rPr>
          <w:rFonts w:ascii="Times New Roman" w:hAnsi="Times New Roman" w:cs="Times New Roman" w:hint="eastAsia"/>
        </w:rPr>
      </w:pPr>
      <w:r w:rsidRPr="002D2F45">
        <w:rPr>
          <w:rFonts w:ascii="Times New Roman" w:hAnsi="Times New Roman" w:cs="Times New Roman" w:hint="eastAsia"/>
        </w:rPr>
        <w:t>博</w:t>
      </w:r>
      <w:proofErr w:type="gramStart"/>
      <w:r w:rsidRPr="002D2F45">
        <w:rPr>
          <w:rFonts w:ascii="Times New Roman" w:hAnsi="Times New Roman" w:cs="Times New Roman" w:hint="eastAsia"/>
        </w:rPr>
        <w:t>时固定</w:t>
      </w:r>
      <w:proofErr w:type="gramEnd"/>
      <w:r w:rsidRPr="002D2F45">
        <w:rPr>
          <w:rFonts w:ascii="Times New Roman" w:hAnsi="Times New Roman" w:cs="Times New Roman" w:hint="eastAsia"/>
        </w:rPr>
        <w:t>收益类基金表现同样可圈可点，</w:t>
      </w:r>
      <w:r w:rsidRPr="002D2F45">
        <w:rPr>
          <w:rFonts w:ascii="Times New Roman" w:hAnsi="Times New Roman" w:cs="Times New Roman" w:hint="eastAsia"/>
        </w:rPr>
        <w:t>67</w:t>
      </w:r>
      <w:r w:rsidRPr="002D2F45">
        <w:rPr>
          <w:rFonts w:ascii="Times New Roman" w:hAnsi="Times New Roman" w:cs="Times New Roman" w:hint="eastAsia"/>
        </w:rPr>
        <w:t>只产品（各类份额分开计算，不含</w:t>
      </w:r>
      <w:r w:rsidRPr="002D2F45">
        <w:rPr>
          <w:rFonts w:ascii="Times New Roman" w:hAnsi="Times New Roman" w:cs="Times New Roman" w:hint="eastAsia"/>
        </w:rPr>
        <w:t>QDII</w:t>
      </w:r>
      <w:r w:rsidRPr="002D2F45">
        <w:rPr>
          <w:rFonts w:ascii="Times New Roman" w:hAnsi="Times New Roman" w:cs="Times New Roman" w:hint="eastAsia"/>
        </w:rPr>
        <w:t>，下同）</w:t>
      </w:r>
      <w:r w:rsidRPr="002D2F45">
        <w:rPr>
          <w:rFonts w:ascii="Times New Roman" w:hAnsi="Times New Roman" w:cs="Times New Roman" w:hint="eastAsia"/>
        </w:rPr>
        <w:t>2019</w:t>
      </w:r>
      <w:r w:rsidRPr="002D2F45">
        <w:rPr>
          <w:rFonts w:ascii="Times New Roman" w:hAnsi="Times New Roman" w:cs="Times New Roman" w:hint="eastAsia"/>
        </w:rPr>
        <w:t>年净值增长率超过</w:t>
      </w:r>
      <w:r w:rsidRPr="002D2F45">
        <w:rPr>
          <w:rFonts w:ascii="Times New Roman" w:hAnsi="Times New Roman" w:cs="Times New Roman" w:hint="eastAsia"/>
        </w:rPr>
        <w:t>4%</w:t>
      </w:r>
      <w:r w:rsidRPr="002D2F45">
        <w:rPr>
          <w:rFonts w:ascii="Times New Roman" w:hAnsi="Times New Roman" w:cs="Times New Roman" w:hint="eastAsia"/>
        </w:rPr>
        <w:t>，</w:t>
      </w:r>
      <w:r w:rsidRPr="002D2F45">
        <w:rPr>
          <w:rFonts w:ascii="Times New Roman" w:hAnsi="Times New Roman" w:cs="Times New Roman" w:hint="eastAsia"/>
        </w:rPr>
        <w:t>19</w:t>
      </w:r>
      <w:r w:rsidRPr="002D2F45">
        <w:rPr>
          <w:rFonts w:ascii="Times New Roman" w:hAnsi="Times New Roman" w:cs="Times New Roman" w:hint="eastAsia"/>
        </w:rPr>
        <w:t>只产品净值增长率超过</w:t>
      </w:r>
      <w:r w:rsidRPr="002D2F45">
        <w:rPr>
          <w:rFonts w:ascii="Times New Roman" w:hAnsi="Times New Roman" w:cs="Times New Roman" w:hint="eastAsia"/>
        </w:rPr>
        <w:t>6%</w:t>
      </w:r>
      <w:r w:rsidRPr="002D2F45">
        <w:rPr>
          <w:rFonts w:ascii="Times New Roman" w:hAnsi="Times New Roman" w:cs="Times New Roman" w:hint="eastAsia"/>
        </w:rPr>
        <w:t>，</w:t>
      </w:r>
      <w:r w:rsidRPr="002D2F45">
        <w:rPr>
          <w:rFonts w:ascii="Times New Roman" w:hAnsi="Times New Roman" w:cs="Times New Roman" w:hint="eastAsia"/>
        </w:rPr>
        <w:t>8</w:t>
      </w:r>
      <w:r w:rsidRPr="002D2F45">
        <w:rPr>
          <w:rFonts w:ascii="Times New Roman" w:hAnsi="Times New Roman" w:cs="Times New Roman" w:hint="eastAsia"/>
        </w:rPr>
        <w:t>只产品净值增长率超过</w:t>
      </w:r>
      <w:r w:rsidRPr="002D2F45">
        <w:rPr>
          <w:rFonts w:ascii="Times New Roman" w:hAnsi="Times New Roman" w:cs="Times New Roman" w:hint="eastAsia"/>
        </w:rPr>
        <w:t>10%</w:t>
      </w:r>
      <w:r w:rsidRPr="002D2F45">
        <w:rPr>
          <w:rFonts w:ascii="Times New Roman" w:hAnsi="Times New Roman" w:cs="Times New Roman" w:hint="eastAsia"/>
        </w:rPr>
        <w:t>，</w:t>
      </w:r>
      <w:r w:rsidRPr="002D2F45">
        <w:rPr>
          <w:rFonts w:ascii="Times New Roman" w:hAnsi="Times New Roman" w:cs="Times New Roman" w:hint="eastAsia"/>
        </w:rPr>
        <w:t>2</w:t>
      </w:r>
      <w:r w:rsidRPr="002D2F45">
        <w:rPr>
          <w:rFonts w:ascii="Times New Roman" w:hAnsi="Times New Roman" w:cs="Times New Roman" w:hint="eastAsia"/>
        </w:rPr>
        <w:t>只产品净值增长率超过</w:t>
      </w:r>
      <w:r w:rsidRPr="002D2F45">
        <w:rPr>
          <w:rFonts w:ascii="Times New Roman" w:hAnsi="Times New Roman" w:cs="Times New Roman" w:hint="eastAsia"/>
        </w:rPr>
        <w:t>30%</w:t>
      </w:r>
      <w:r w:rsidRPr="002D2F45">
        <w:rPr>
          <w:rFonts w:ascii="Times New Roman" w:hAnsi="Times New Roman" w:cs="Times New Roman" w:hint="eastAsia"/>
        </w:rPr>
        <w:t>；从相对排名来看，</w:t>
      </w:r>
      <w:r w:rsidRPr="002D2F45">
        <w:rPr>
          <w:rFonts w:ascii="Times New Roman" w:hAnsi="Times New Roman" w:cs="Times New Roman" w:hint="eastAsia"/>
        </w:rPr>
        <w:t>68</w:t>
      </w:r>
      <w:r w:rsidRPr="002D2F45">
        <w:rPr>
          <w:rFonts w:ascii="Times New Roman" w:hAnsi="Times New Roman" w:cs="Times New Roman" w:hint="eastAsia"/>
        </w:rPr>
        <w:t>只产品</w:t>
      </w:r>
      <w:r w:rsidRPr="002D2F45">
        <w:rPr>
          <w:rFonts w:ascii="Times New Roman" w:hAnsi="Times New Roman" w:cs="Times New Roman" w:hint="eastAsia"/>
        </w:rPr>
        <w:t>2019</w:t>
      </w:r>
      <w:r w:rsidRPr="002D2F45">
        <w:rPr>
          <w:rFonts w:ascii="Times New Roman" w:hAnsi="Times New Roman" w:cs="Times New Roman" w:hint="eastAsia"/>
        </w:rPr>
        <w:t>年净值增长率银河证券同类排名在前</w:t>
      </w:r>
      <w:r w:rsidRPr="002D2F45">
        <w:rPr>
          <w:rFonts w:ascii="Times New Roman" w:hAnsi="Times New Roman" w:cs="Times New Roman" w:hint="eastAsia"/>
        </w:rPr>
        <w:t>1/2</w:t>
      </w:r>
      <w:r w:rsidRPr="002D2F45">
        <w:rPr>
          <w:rFonts w:ascii="Times New Roman" w:hAnsi="Times New Roman" w:cs="Times New Roman" w:hint="eastAsia"/>
        </w:rPr>
        <w:t>，</w:t>
      </w:r>
      <w:r w:rsidRPr="002D2F45">
        <w:rPr>
          <w:rFonts w:ascii="Times New Roman" w:hAnsi="Times New Roman" w:cs="Times New Roman" w:hint="eastAsia"/>
        </w:rPr>
        <w:t>40</w:t>
      </w:r>
      <w:r w:rsidRPr="002D2F45">
        <w:rPr>
          <w:rFonts w:ascii="Times New Roman" w:hAnsi="Times New Roman" w:cs="Times New Roman" w:hint="eastAsia"/>
        </w:rPr>
        <w:t>只产品同类排名在前</w:t>
      </w:r>
      <w:r w:rsidRPr="002D2F45">
        <w:rPr>
          <w:rFonts w:ascii="Times New Roman" w:hAnsi="Times New Roman" w:cs="Times New Roman" w:hint="eastAsia"/>
        </w:rPr>
        <w:t>1/4</w:t>
      </w:r>
      <w:r w:rsidRPr="002D2F45">
        <w:rPr>
          <w:rFonts w:ascii="Times New Roman" w:hAnsi="Times New Roman" w:cs="Times New Roman" w:hint="eastAsia"/>
        </w:rPr>
        <w:t>，</w:t>
      </w:r>
      <w:r w:rsidRPr="002D2F45">
        <w:rPr>
          <w:rFonts w:ascii="Times New Roman" w:hAnsi="Times New Roman" w:cs="Times New Roman" w:hint="eastAsia"/>
        </w:rPr>
        <w:t>18</w:t>
      </w:r>
      <w:r w:rsidRPr="002D2F45">
        <w:rPr>
          <w:rFonts w:ascii="Times New Roman" w:hAnsi="Times New Roman" w:cs="Times New Roman" w:hint="eastAsia"/>
        </w:rPr>
        <w:t>只产品同类排名在前</w:t>
      </w:r>
      <w:r w:rsidRPr="002D2F45">
        <w:rPr>
          <w:rFonts w:ascii="Times New Roman" w:hAnsi="Times New Roman" w:cs="Times New Roman" w:hint="eastAsia"/>
        </w:rPr>
        <w:t>1/10</w:t>
      </w:r>
      <w:r w:rsidRPr="002D2F45">
        <w:rPr>
          <w:rFonts w:ascii="Times New Roman" w:hAnsi="Times New Roman" w:cs="Times New Roman" w:hint="eastAsia"/>
        </w:rPr>
        <w:t>，</w:t>
      </w:r>
      <w:r w:rsidRPr="002D2F45">
        <w:rPr>
          <w:rFonts w:ascii="Times New Roman" w:hAnsi="Times New Roman" w:cs="Times New Roman" w:hint="eastAsia"/>
        </w:rPr>
        <w:t>6</w:t>
      </w:r>
      <w:r w:rsidRPr="002D2F45">
        <w:rPr>
          <w:rFonts w:ascii="Times New Roman" w:hAnsi="Times New Roman" w:cs="Times New Roman" w:hint="eastAsia"/>
        </w:rPr>
        <w:t>只产品同类排名前</w:t>
      </w:r>
      <w:r w:rsidRPr="002D2F45">
        <w:rPr>
          <w:rFonts w:ascii="Times New Roman" w:hAnsi="Times New Roman" w:cs="Times New Roman" w:hint="eastAsia"/>
        </w:rPr>
        <w:t>5</w:t>
      </w:r>
      <w:r w:rsidRPr="002D2F45">
        <w:rPr>
          <w:rFonts w:ascii="Times New Roman" w:hAnsi="Times New Roman" w:cs="Times New Roman" w:hint="eastAsia"/>
        </w:rPr>
        <w:t>，</w:t>
      </w:r>
      <w:r w:rsidRPr="002D2F45">
        <w:rPr>
          <w:rFonts w:ascii="Times New Roman" w:hAnsi="Times New Roman" w:cs="Times New Roman" w:hint="eastAsia"/>
        </w:rPr>
        <w:t>1</w:t>
      </w:r>
      <w:r w:rsidRPr="002D2F45">
        <w:rPr>
          <w:rFonts w:ascii="Times New Roman" w:hAnsi="Times New Roman" w:cs="Times New Roman" w:hint="eastAsia"/>
        </w:rPr>
        <w:t>只产品同类排名第</w:t>
      </w:r>
      <w:r w:rsidRPr="002D2F45">
        <w:rPr>
          <w:rFonts w:ascii="Times New Roman" w:hAnsi="Times New Roman" w:cs="Times New Roman" w:hint="eastAsia"/>
        </w:rPr>
        <w:t>1</w:t>
      </w:r>
      <w:r w:rsidRPr="002D2F45">
        <w:rPr>
          <w:rFonts w:ascii="Times New Roman" w:hAnsi="Times New Roman" w:cs="Times New Roman" w:hint="eastAsia"/>
        </w:rPr>
        <w:t>。</w:t>
      </w:r>
    </w:p>
    <w:p w:rsidR="002D2F45" w:rsidRPr="002D2F45" w:rsidRDefault="002D2F45" w:rsidP="002D2F45">
      <w:pPr>
        <w:pStyle w:val="new0"/>
        <w:rPr>
          <w:rFonts w:ascii="Times New Roman" w:hAnsi="Times New Roman" w:cs="Times New Roman" w:hint="eastAsia"/>
        </w:rPr>
      </w:pPr>
      <w:r w:rsidRPr="002D2F45">
        <w:rPr>
          <w:rFonts w:ascii="Times New Roman" w:hAnsi="Times New Roman" w:cs="Times New Roman" w:hint="eastAsia"/>
        </w:rPr>
        <w:t>其中，博时安康</w:t>
      </w:r>
      <w:r w:rsidRPr="002D2F45">
        <w:rPr>
          <w:rFonts w:ascii="Times New Roman" w:hAnsi="Times New Roman" w:cs="Times New Roman" w:hint="eastAsia"/>
        </w:rPr>
        <w:t>18</w:t>
      </w:r>
      <w:r w:rsidRPr="002D2F45">
        <w:rPr>
          <w:rFonts w:ascii="Times New Roman" w:hAnsi="Times New Roman" w:cs="Times New Roman" w:hint="eastAsia"/>
        </w:rPr>
        <w:t>个月定期开放债券</w:t>
      </w:r>
      <w:r w:rsidRPr="002D2F45">
        <w:rPr>
          <w:rFonts w:ascii="Times New Roman" w:hAnsi="Times New Roman" w:cs="Times New Roman" w:hint="eastAsia"/>
        </w:rPr>
        <w:t>(LOF)2019</w:t>
      </w:r>
      <w:r w:rsidRPr="002D2F45">
        <w:rPr>
          <w:rFonts w:ascii="Times New Roman" w:hAnsi="Times New Roman" w:cs="Times New Roman" w:hint="eastAsia"/>
        </w:rPr>
        <w:t>年净值增长率同类排名第</w:t>
      </w:r>
      <w:r w:rsidRPr="002D2F45">
        <w:rPr>
          <w:rFonts w:ascii="Times New Roman" w:hAnsi="Times New Roman" w:cs="Times New Roman" w:hint="eastAsia"/>
        </w:rPr>
        <w:t>1</w:t>
      </w:r>
      <w:r w:rsidRPr="002D2F45">
        <w:rPr>
          <w:rFonts w:ascii="Times New Roman" w:hAnsi="Times New Roman" w:cs="Times New Roman" w:hint="eastAsia"/>
        </w:rPr>
        <w:t>，博</w:t>
      </w:r>
      <w:proofErr w:type="gramStart"/>
      <w:r w:rsidRPr="002D2F45">
        <w:rPr>
          <w:rFonts w:ascii="Times New Roman" w:hAnsi="Times New Roman" w:cs="Times New Roman" w:hint="eastAsia"/>
        </w:rPr>
        <w:t>时安盈债券</w:t>
      </w:r>
      <w:proofErr w:type="gramEnd"/>
      <w:r w:rsidRPr="002D2F45">
        <w:rPr>
          <w:rFonts w:ascii="Times New Roman" w:hAnsi="Times New Roman" w:cs="Times New Roman" w:hint="eastAsia"/>
        </w:rPr>
        <w:t>(A</w:t>
      </w:r>
      <w:r w:rsidRPr="002D2F45">
        <w:rPr>
          <w:rFonts w:ascii="Times New Roman" w:hAnsi="Times New Roman" w:cs="Times New Roman" w:hint="eastAsia"/>
        </w:rPr>
        <w:t>类</w:t>
      </w:r>
      <w:r w:rsidRPr="002D2F45">
        <w:rPr>
          <w:rFonts w:ascii="Times New Roman" w:hAnsi="Times New Roman" w:cs="Times New Roman" w:hint="eastAsia"/>
        </w:rPr>
        <w:t>)</w:t>
      </w:r>
      <w:r w:rsidRPr="002D2F45">
        <w:rPr>
          <w:rFonts w:ascii="Times New Roman" w:hAnsi="Times New Roman" w:cs="Times New Roman" w:hint="eastAsia"/>
        </w:rPr>
        <w:t>、博</w:t>
      </w:r>
      <w:proofErr w:type="gramStart"/>
      <w:r w:rsidRPr="002D2F45">
        <w:rPr>
          <w:rFonts w:ascii="Times New Roman" w:hAnsi="Times New Roman" w:cs="Times New Roman" w:hint="eastAsia"/>
        </w:rPr>
        <w:t>时安盈债券</w:t>
      </w:r>
      <w:proofErr w:type="gramEnd"/>
      <w:r w:rsidRPr="002D2F45">
        <w:rPr>
          <w:rFonts w:ascii="Times New Roman" w:hAnsi="Times New Roman" w:cs="Times New Roman" w:hint="eastAsia"/>
        </w:rPr>
        <w:t>(C</w:t>
      </w:r>
      <w:r w:rsidRPr="002D2F45">
        <w:rPr>
          <w:rFonts w:ascii="Times New Roman" w:hAnsi="Times New Roman" w:cs="Times New Roman" w:hint="eastAsia"/>
        </w:rPr>
        <w:t>类</w:t>
      </w:r>
      <w:r w:rsidRPr="002D2F45">
        <w:rPr>
          <w:rFonts w:ascii="Times New Roman" w:hAnsi="Times New Roman" w:cs="Times New Roman" w:hint="eastAsia"/>
        </w:rPr>
        <w:t>)</w:t>
      </w:r>
      <w:r w:rsidRPr="002D2F45">
        <w:rPr>
          <w:rFonts w:ascii="Times New Roman" w:hAnsi="Times New Roman" w:cs="Times New Roman" w:hint="eastAsia"/>
        </w:rPr>
        <w:t>、博时月月薪定期支付债券、博时转</w:t>
      </w:r>
      <w:proofErr w:type="gramStart"/>
      <w:r w:rsidRPr="002D2F45">
        <w:rPr>
          <w:rFonts w:ascii="Times New Roman" w:hAnsi="Times New Roman" w:cs="Times New Roman" w:hint="eastAsia"/>
        </w:rPr>
        <w:t>债增强</w:t>
      </w:r>
      <w:proofErr w:type="gramEnd"/>
      <w:r w:rsidRPr="002D2F45">
        <w:rPr>
          <w:rFonts w:ascii="Times New Roman" w:hAnsi="Times New Roman" w:cs="Times New Roman" w:hint="eastAsia"/>
        </w:rPr>
        <w:t>债券</w:t>
      </w:r>
      <w:r w:rsidRPr="002D2F45">
        <w:rPr>
          <w:rFonts w:ascii="Times New Roman" w:hAnsi="Times New Roman" w:cs="Times New Roman" w:hint="eastAsia"/>
        </w:rPr>
        <w:t>(C</w:t>
      </w:r>
      <w:r w:rsidRPr="002D2F45">
        <w:rPr>
          <w:rFonts w:ascii="Times New Roman" w:hAnsi="Times New Roman" w:cs="Times New Roman" w:hint="eastAsia"/>
        </w:rPr>
        <w:t>类</w:t>
      </w:r>
      <w:r w:rsidRPr="002D2F45">
        <w:rPr>
          <w:rFonts w:ascii="Times New Roman" w:hAnsi="Times New Roman" w:cs="Times New Roman" w:hint="eastAsia"/>
        </w:rPr>
        <w:t>)</w:t>
      </w:r>
      <w:r w:rsidRPr="002D2F45">
        <w:rPr>
          <w:rFonts w:ascii="Times New Roman" w:hAnsi="Times New Roman" w:cs="Times New Roman" w:hint="eastAsia"/>
        </w:rPr>
        <w:t>、博时安心收益定期开放债券</w:t>
      </w:r>
      <w:r w:rsidRPr="002D2F45">
        <w:rPr>
          <w:rFonts w:ascii="Times New Roman" w:hAnsi="Times New Roman" w:cs="Times New Roman" w:hint="eastAsia"/>
        </w:rPr>
        <w:t>(C</w:t>
      </w:r>
      <w:r w:rsidRPr="002D2F45">
        <w:rPr>
          <w:rFonts w:ascii="Times New Roman" w:hAnsi="Times New Roman" w:cs="Times New Roman" w:hint="eastAsia"/>
        </w:rPr>
        <w:t>类</w:t>
      </w:r>
      <w:r w:rsidRPr="002D2F45">
        <w:rPr>
          <w:rFonts w:ascii="Times New Roman" w:hAnsi="Times New Roman" w:cs="Times New Roman" w:hint="eastAsia"/>
        </w:rPr>
        <w:t>)</w:t>
      </w:r>
      <w:r w:rsidRPr="002D2F45">
        <w:rPr>
          <w:rFonts w:ascii="Times New Roman" w:hAnsi="Times New Roman" w:cs="Times New Roman" w:hint="eastAsia"/>
        </w:rPr>
        <w:t>同类排名分别在第</w:t>
      </w:r>
      <w:r w:rsidRPr="002D2F45">
        <w:rPr>
          <w:rFonts w:ascii="Times New Roman" w:hAnsi="Times New Roman" w:cs="Times New Roman" w:hint="eastAsia"/>
        </w:rPr>
        <w:t>2</w:t>
      </w:r>
      <w:r w:rsidRPr="002D2F45">
        <w:rPr>
          <w:rFonts w:ascii="Times New Roman" w:hAnsi="Times New Roman" w:cs="Times New Roman" w:hint="eastAsia"/>
        </w:rPr>
        <w:t>、第</w:t>
      </w:r>
      <w:r w:rsidRPr="002D2F45">
        <w:rPr>
          <w:rFonts w:ascii="Times New Roman" w:hAnsi="Times New Roman" w:cs="Times New Roman" w:hint="eastAsia"/>
        </w:rPr>
        <w:t>3</w:t>
      </w:r>
      <w:r w:rsidRPr="002D2F45">
        <w:rPr>
          <w:rFonts w:ascii="Times New Roman" w:hAnsi="Times New Roman" w:cs="Times New Roman" w:hint="eastAsia"/>
        </w:rPr>
        <w:t>、第</w:t>
      </w:r>
      <w:r w:rsidRPr="002D2F45">
        <w:rPr>
          <w:rFonts w:ascii="Times New Roman" w:hAnsi="Times New Roman" w:cs="Times New Roman" w:hint="eastAsia"/>
        </w:rPr>
        <w:t>4</w:t>
      </w:r>
      <w:r w:rsidRPr="002D2F45">
        <w:rPr>
          <w:rFonts w:ascii="Times New Roman" w:hAnsi="Times New Roman" w:cs="Times New Roman" w:hint="eastAsia"/>
        </w:rPr>
        <w:t>、第</w:t>
      </w:r>
      <w:r w:rsidRPr="002D2F45">
        <w:rPr>
          <w:rFonts w:ascii="Times New Roman" w:hAnsi="Times New Roman" w:cs="Times New Roman" w:hint="eastAsia"/>
        </w:rPr>
        <w:t>4</w:t>
      </w:r>
      <w:r w:rsidRPr="002D2F45">
        <w:rPr>
          <w:rFonts w:ascii="Times New Roman" w:hAnsi="Times New Roman" w:cs="Times New Roman" w:hint="eastAsia"/>
        </w:rPr>
        <w:t>、第</w:t>
      </w:r>
      <w:r w:rsidRPr="002D2F45">
        <w:rPr>
          <w:rFonts w:ascii="Times New Roman" w:hAnsi="Times New Roman" w:cs="Times New Roman" w:hint="eastAsia"/>
        </w:rPr>
        <w:t>5</w:t>
      </w:r>
      <w:r w:rsidRPr="002D2F45">
        <w:rPr>
          <w:rFonts w:ascii="Times New Roman" w:hAnsi="Times New Roman" w:cs="Times New Roman" w:hint="eastAsia"/>
        </w:rPr>
        <w:t>，博时富瑞纯</w:t>
      </w:r>
      <w:proofErr w:type="gramStart"/>
      <w:r w:rsidRPr="002D2F45">
        <w:rPr>
          <w:rFonts w:ascii="Times New Roman" w:hAnsi="Times New Roman" w:cs="Times New Roman" w:hint="eastAsia"/>
        </w:rPr>
        <w:t>债</w:t>
      </w:r>
      <w:proofErr w:type="gramEnd"/>
      <w:r w:rsidRPr="002D2F45">
        <w:rPr>
          <w:rFonts w:ascii="Times New Roman" w:hAnsi="Times New Roman" w:cs="Times New Roman" w:hint="eastAsia"/>
        </w:rPr>
        <w:t>债券</w:t>
      </w:r>
      <w:r w:rsidRPr="002D2F45">
        <w:rPr>
          <w:rFonts w:ascii="Times New Roman" w:hAnsi="Times New Roman" w:cs="Times New Roman" w:hint="eastAsia"/>
        </w:rPr>
        <w:t>(A</w:t>
      </w:r>
      <w:r w:rsidRPr="002D2F45">
        <w:rPr>
          <w:rFonts w:ascii="Times New Roman" w:hAnsi="Times New Roman" w:cs="Times New Roman" w:hint="eastAsia"/>
        </w:rPr>
        <w:t>类</w:t>
      </w:r>
      <w:r w:rsidRPr="002D2F45">
        <w:rPr>
          <w:rFonts w:ascii="Times New Roman" w:hAnsi="Times New Roman" w:cs="Times New Roman" w:hint="eastAsia"/>
        </w:rPr>
        <w:t>)</w:t>
      </w:r>
      <w:r w:rsidRPr="002D2F45">
        <w:rPr>
          <w:rFonts w:ascii="Times New Roman" w:hAnsi="Times New Roman" w:cs="Times New Roman" w:hint="eastAsia"/>
        </w:rPr>
        <w:t>、博时转</w:t>
      </w:r>
      <w:proofErr w:type="gramStart"/>
      <w:r w:rsidRPr="002D2F45">
        <w:rPr>
          <w:rFonts w:ascii="Times New Roman" w:hAnsi="Times New Roman" w:cs="Times New Roman" w:hint="eastAsia"/>
        </w:rPr>
        <w:t>债增强</w:t>
      </w:r>
      <w:proofErr w:type="gramEnd"/>
      <w:r w:rsidRPr="002D2F45">
        <w:rPr>
          <w:rFonts w:ascii="Times New Roman" w:hAnsi="Times New Roman" w:cs="Times New Roman" w:hint="eastAsia"/>
        </w:rPr>
        <w:t>债券</w:t>
      </w:r>
      <w:r w:rsidRPr="002D2F45">
        <w:rPr>
          <w:rFonts w:ascii="Times New Roman" w:hAnsi="Times New Roman" w:cs="Times New Roman" w:hint="eastAsia"/>
        </w:rPr>
        <w:t>(A</w:t>
      </w:r>
      <w:r w:rsidRPr="002D2F45">
        <w:rPr>
          <w:rFonts w:ascii="Times New Roman" w:hAnsi="Times New Roman" w:cs="Times New Roman" w:hint="eastAsia"/>
        </w:rPr>
        <w:t>类</w:t>
      </w:r>
      <w:r w:rsidRPr="002D2F45">
        <w:rPr>
          <w:rFonts w:ascii="Times New Roman" w:hAnsi="Times New Roman" w:cs="Times New Roman" w:hint="eastAsia"/>
        </w:rPr>
        <w:t>)</w:t>
      </w:r>
      <w:r w:rsidRPr="002D2F45">
        <w:rPr>
          <w:rFonts w:ascii="Times New Roman" w:hAnsi="Times New Roman" w:cs="Times New Roman" w:hint="eastAsia"/>
        </w:rPr>
        <w:t>、博时信用债券</w:t>
      </w:r>
      <w:r w:rsidRPr="002D2F45">
        <w:rPr>
          <w:rFonts w:ascii="Times New Roman" w:hAnsi="Times New Roman" w:cs="Times New Roman" w:hint="eastAsia"/>
        </w:rPr>
        <w:t>(C</w:t>
      </w:r>
      <w:r w:rsidRPr="002D2F45">
        <w:rPr>
          <w:rFonts w:ascii="Times New Roman" w:hAnsi="Times New Roman" w:cs="Times New Roman" w:hint="eastAsia"/>
        </w:rPr>
        <w:t>类</w:t>
      </w:r>
      <w:r w:rsidRPr="002D2F45">
        <w:rPr>
          <w:rFonts w:ascii="Times New Roman" w:hAnsi="Times New Roman" w:cs="Times New Roman" w:hint="eastAsia"/>
        </w:rPr>
        <w:t>)</w:t>
      </w:r>
      <w:r w:rsidRPr="002D2F45">
        <w:rPr>
          <w:rFonts w:ascii="Times New Roman" w:hAnsi="Times New Roman" w:cs="Times New Roman" w:hint="eastAsia"/>
        </w:rPr>
        <w:t>、博时安心收益定期开放债券</w:t>
      </w:r>
      <w:r w:rsidRPr="002D2F45">
        <w:rPr>
          <w:rFonts w:ascii="Times New Roman" w:hAnsi="Times New Roman" w:cs="Times New Roman" w:hint="eastAsia"/>
        </w:rPr>
        <w:t>(A</w:t>
      </w:r>
      <w:r w:rsidRPr="002D2F45">
        <w:rPr>
          <w:rFonts w:ascii="Times New Roman" w:hAnsi="Times New Roman" w:cs="Times New Roman" w:hint="eastAsia"/>
        </w:rPr>
        <w:t>类</w:t>
      </w:r>
      <w:r w:rsidRPr="002D2F45">
        <w:rPr>
          <w:rFonts w:ascii="Times New Roman" w:hAnsi="Times New Roman" w:cs="Times New Roman" w:hint="eastAsia"/>
        </w:rPr>
        <w:t>)</w:t>
      </w:r>
      <w:r w:rsidRPr="002D2F45">
        <w:rPr>
          <w:rFonts w:ascii="Times New Roman" w:hAnsi="Times New Roman" w:cs="Times New Roman" w:hint="eastAsia"/>
        </w:rPr>
        <w:t>、博</w:t>
      </w:r>
      <w:proofErr w:type="gramStart"/>
      <w:r w:rsidRPr="002D2F45">
        <w:rPr>
          <w:rFonts w:ascii="Times New Roman" w:hAnsi="Times New Roman" w:cs="Times New Roman" w:hint="eastAsia"/>
        </w:rPr>
        <w:t>时裕顺纯债</w:t>
      </w:r>
      <w:proofErr w:type="gramEnd"/>
      <w:r w:rsidRPr="002D2F45">
        <w:rPr>
          <w:rFonts w:ascii="Times New Roman" w:hAnsi="Times New Roman" w:cs="Times New Roman" w:hint="eastAsia"/>
        </w:rPr>
        <w:t>债券、博时</w:t>
      </w:r>
      <w:proofErr w:type="gramStart"/>
      <w:r w:rsidRPr="002D2F45">
        <w:rPr>
          <w:rFonts w:ascii="Times New Roman" w:hAnsi="Times New Roman" w:cs="Times New Roman" w:hint="eastAsia"/>
        </w:rPr>
        <w:t>合惠货币</w:t>
      </w:r>
      <w:proofErr w:type="gramEnd"/>
      <w:r w:rsidRPr="002D2F45">
        <w:rPr>
          <w:rFonts w:ascii="Times New Roman" w:hAnsi="Times New Roman" w:cs="Times New Roman" w:hint="eastAsia"/>
        </w:rPr>
        <w:t>(B</w:t>
      </w:r>
      <w:r w:rsidRPr="002D2F45">
        <w:rPr>
          <w:rFonts w:ascii="Times New Roman" w:hAnsi="Times New Roman" w:cs="Times New Roman" w:hint="eastAsia"/>
        </w:rPr>
        <w:t>类</w:t>
      </w:r>
      <w:r w:rsidRPr="002D2F45">
        <w:rPr>
          <w:rFonts w:ascii="Times New Roman" w:hAnsi="Times New Roman" w:cs="Times New Roman" w:hint="eastAsia"/>
        </w:rPr>
        <w:t>)</w:t>
      </w:r>
      <w:r w:rsidRPr="002D2F45">
        <w:rPr>
          <w:rFonts w:ascii="Times New Roman" w:hAnsi="Times New Roman" w:cs="Times New Roman" w:hint="eastAsia"/>
        </w:rPr>
        <w:t>、博时信用债券</w:t>
      </w:r>
      <w:r w:rsidRPr="002D2F45">
        <w:rPr>
          <w:rFonts w:ascii="Times New Roman" w:hAnsi="Times New Roman" w:cs="Times New Roman" w:hint="eastAsia"/>
        </w:rPr>
        <w:t>(A/B</w:t>
      </w:r>
      <w:r w:rsidRPr="002D2F45">
        <w:rPr>
          <w:rFonts w:ascii="Times New Roman" w:hAnsi="Times New Roman" w:cs="Times New Roman" w:hint="eastAsia"/>
        </w:rPr>
        <w:t>类</w:t>
      </w:r>
      <w:r w:rsidRPr="002D2F45">
        <w:rPr>
          <w:rFonts w:ascii="Times New Roman" w:hAnsi="Times New Roman" w:cs="Times New Roman" w:hint="eastAsia"/>
        </w:rPr>
        <w:t xml:space="preserve">) </w:t>
      </w:r>
      <w:r w:rsidRPr="002D2F45">
        <w:rPr>
          <w:rFonts w:ascii="Times New Roman" w:hAnsi="Times New Roman" w:cs="Times New Roman" w:hint="eastAsia"/>
        </w:rPr>
        <w:t>同类排名分别在第</w:t>
      </w:r>
      <w:r w:rsidRPr="002D2F45">
        <w:rPr>
          <w:rFonts w:ascii="Times New Roman" w:hAnsi="Times New Roman" w:cs="Times New Roman" w:hint="eastAsia"/>
        </w:rPr>
        <w:t>6</w:t>
      </w:r>
      <w:r w:rsidRPr="002D2F45">
        <w:rPr>
          <w:rFonts w:ascii="Times New Roman" w:hAnsi="Times New Roman" w:cs="Times New Roman" w:hint="eastAsia"/>
        </w:rPr>
        <w:t>、第</w:t>
      </w:r>
      <w:r w:rsidRPr="002D2F45">
        <w:rPr>
          <w:rFonts w:ascii="Times New Roman" w:hAnsi="Times New Roman" w:cs="Times New Roman" w:hint="eastAsia"/>
        </w:rPr>
        <w:t>6</w:t>
      </w:r>
      <w:r w:rsidRPr="002D2F45">
        <w:rPr>
          <w:rFonts w:ascii="Times New Roman" w:hAnsi="Times New Roman" w:cs="Times New Roman" w:hint="eastAsia"/>
        </w:rPr>
        <w:t>、第</w:t>
      </w:r>
      <w:r w:rsidRPr="002D2F45">
        <w:rPr>
          <w:rFonts w:ascii="Times New Roman" w:hAnsi="Times New Roman" w:cs="Times New Roman" w:hint="eastAsia"/>
        </w:rPr>
        <w:t>7</w:t>
      </w:r>
      <w:r w:rsidRPr="002D2F45">
        <w:rPr>
          <w:rFonts w:ascii="Times New Roman" w:hAnsi="Times New Roman" w:cs="Times New Roman" w:hint="eastAsia"/>
        </w:rPr>
        <w:t>、第</w:t>
      </w:r>
      <w:r w:rsidRPr="002D2F45">
        <w:rPr>
          <w:rFonts w:ascii="Times New Roman" w:hAnsi="Times New Roman" w:cs="Times New Roman" w:hint="eastAsia"/>
        </w:rPr>
        <w:t>8</w:t>
      </w:r>
      <w:r w:rsidRPr="002D2F45">
        <w:rPr>
          <w:rFonts w:ascii="Times New Roman" w:hAnsi="Times New Roman" w:cs="Times New Roman" w:hint="eastAsia"/>
        </w:rPr>
        <w:t>、第</w:t>
      </w:r>
      <w:r w:rsidRPr="002D2F45">
        <w:rPr>
          <w:rFonts w:ascii="Times New Roman" w:hAnsi="Times New Roman" w:cs="Times New Roman" w:hint="eastAsia"/>
        </w:rPr>
        <w:t>9</w:t>
      </w:r>
      <w:r w:rsidRPr="002D2F45">
        <w:rPr>
          <w:rFonts w:ascii="Times New Roman" w:hAnsi="Times New Roman" w:cs="Times New Roman" w:hint="eastAsia"/>
        </w:rPr>
        <w:t>、第</w:t>
      </w:r>
      <w:r w:rsidRPr="002D2F45">
        <w:rPr>
          <w:rFonts w:ascii="Times New Roman" w:hAnsi="Times New Roman" w:cs="Times New Roman" w:hint="eastAsia"/>
        </w:rPr>
        <w:t>9</w:t>
      </w:r>
      <w:r w:rsidRPr="002D2F45">
        <w:rPr>
          <w:rFonts w:ascii="Times New Roman" w:hAnsi="Times New Roman" w:cs="Times New Roman" w:hint="eastAsia"/>
        </w:rPr>
        <w:t>、第</w:t>
      </w:r>
      <w:r w:rsidRPr="002D2F45">
        <w:rPr>
          <w:rFonts w:ascii="Times New Roman" w:hAnsi="Times New Roman" w:cs="Times New Roman" w:hint="eastAsia"/>
        </w:rPr>
        <w:lastRenderedPageBreak/>
        <w:t>9</w:t>
      </w:r>
      <w:r w:rsidRPr="002D2F45">
        <w:rPr>
          <w:rFonts w:ascii="Times New Roman" w:hAnsi="Times New Roman" w:cs="Times New Roman" w:hint="eastAsia"/>
        </w:rPr>
        <w:t>，博</w:t>
      </w:r>
      <w:proofErr w:type="gramStart"/>
      <w:r w:rsidRPr="002D2F45">
        <w:rPr>
          <w:rFonts w:ascii="Times New Roman" w:hAnsi="Times New Roman" w:cs="Times New Roman" w:hint="eastAsia"/>
        </w:rPr>
        <w:t>时裕腾纯债</w:t>
      </w:r>
      <w:proofErr w:type="gramEnd"/>
      <w:r w:rsidRPr="002D2F45">
        <w:rPr>
          <w:rFonts w:ascii="Times New Roman" w:hAnsi="Times New Roman" w:cs="Times New Roman" w:hint="eastAsia"/>
        </w:rPr>
        <w:t>债券、博</w:t>
      </w:r>
      <w:proofErr w:type="gramStart"/>
      <w:r w:rsidRPr="002D2F45">
        <w:rPr>
          <w:rFonts w:ascii="Times New Roman" w:hAnsi="Times New Roman" w:cs="Times New Roman" w:hint="eastAsia"/>
        </w:rPr>
        <w:t>时裕泰纯债</w:t>
      </w:r>
      <w:proofErr w:type="gramEnd"/>
      <w:r w:rsidRPr="002D2F45">
        <w:rPr>
          <w:rFonts w:ascii="Times New Roman" w:hAnsi="Times New Roman" w:cs="Times New Roman" w:hint="eastAsia"/>
        </w:rPr>
        <w:t>债券、博时岁岁增利一年定期开放债券、博</w:t>
      </w:r>
      <w:proofErr w:type="gramStart"/>
      <w:r w:rsidRPr="002D2F45">
        <w:rPr>
          <w:rFonts w:ascii="Times New Roman" w:hAnsi="Times New Roman" w:cs="Times New Roman" w:hint="eastAsia"/>
        </w:rPr>
        <w:t>时裕创纯债</w:t>
      </w:r>
      <w:proofErr w:type="gramEnd"/>
      <w:r w:rsidRPr="002D2F45">
        <w:rPr>
          <w:rFonts w:ascii="Times New Roman" w:hAnsi="Times New Roman" w:cs="Times New Roman" w:hint="eastAsia"/>
        </w:rPr>
        <w:t>债券、博</w:t>
      </w:r>
      <w:proofErr w:type="gramStart"/>
      <w:r w:rsidRPr="002D2F45">
        <w:rPr>
          <w:rFonts w:ascii="Times New Roman" w:hAnsi="Times New Roman" w:cs="Times New Roman" w:hint="eastAsia"/>
        </w:rPr>
        <w:t>时裕盈纯债</w:t>
      </w:r>
      <w:proofErr w:type="gramEnd"/>
      <w:r w:rsidRPr="002D2F45">
        <w:rPr>
          <w:rFonts w:ascii="Times New Roman" w:hAnsi="Times New Roman" w:cs="Times New Roman" w:hint="eastAsia"/>
        </w:rPr>
        <w:t>3</w:t>
      </w:r>
      <w:r w:rsidRPr="002D2F45">
        <w:rPr>
          <w:rFonts w:ascii="Times New Roman" w:hAnsi="Times New Roman" w:cs="Times New Roman" w:hint="eastAsia"/>
        </w:rPr>
        <w:t>个月定期开放债券发起式、博</w:t>
      </w:r>
      <w:proofErr w:type="gramStart"/>
      <w:r w:rsidRPr="002D2F45">
        <w:rPr>
          <w:rFonts w:ascii="Times New Roman" w:hAnsi="Times New Roman" w:cs="Times New Roman" w:hint="eastAsia"/>
        </w:rPr>
        <w:t>时富祥纯债债券</w:t>
      </w:r>
      <w:proofErr w:type="gramEnd"/>
      <w:r w:rsidRPr="002D2F45">
        <w:rPr>
          <w:rFonts w:ascii="Times New Roman" w:hAnsi="Times New Roman" w:cs="Times New Roman" w:hint="eastAsia"/>
        </w:rPr>
        <w:t>、</w:t>
      </w:r>
      <w:proofErr w:type="gramStart"/>
      <w:r w:rsidRPr="002D2F45">
        <w:rPr>
          <w:rFonts w:ascii="Times New Roman" w:hAnsi="Times New Roman" w:cs="Times New Roman" w:hint="eastAsia"/>
        </w:rPr>
        <w:t>博时富兴纯债</w:t>
      </w:r>
      <w:r w:rsidRPr="002D2F45">
        <w:rPr>
          <w:rFonts w:ascii="Times New Roman" w:hAnsi="Times New Roman" w:cs="Times New Roman" w:hint="eastAsia"/>
        </w:rPr>
        <w:t>3</w:t>
      </w:r>
      <w:r w:rsidRPr="002D2F45">
        <w:rPr>
          <w:rFonts w:ascii="Times New Roman" w:hAnsi="Times New Roman" w:cs="Times New Roman" w:hint="eastAsia"/>
        </w:rPr>
        <w:t>个月</w:t>
      </w:r>
      <w:proofErr w:type="gramEnd"/>
      <w:r w:rsidRPr="002D2F45">
        <w:rPr>
          <w:rFonts w:ascii="Times New Roman" w:hAnsi="Times New Roman" w:cs="Times New Roman" w:hint="eastAsia"/>
        </w:rPr>
        <w:t>定期开放债券发起式、博时信用债纯</w:t>
      </w:r>
      <w:proofErr w:type="gramStart"/>
      <w:r w:rsidRPr="002D2F45">
        <w:rPr>
          <w:rFonts w:ascii="Times New Roman" w:hAnsi="Times New Roman" w:cs="Times New Roman" w:hint="eastAsia"/>
        </w:rPr>
        <w:t>债</w:t>
      </w:r>
      <w:proofErr w:type="gramEnd"/>
      <w:r w:rsidRPr="002D2F45">
        <w:rPr>
          <w:rFonts w:ascii="Times New Roman" w:hAnsi="Times New Roman" w:cs="Times New Roman" w:hint="eastAsia"/>
        </w:rPr>
        <w:t>债券</w:t>
      </w:r>
      <w:r w:rsidRPr="002D2F45">
        <w:rPr>
          <w:rFonts w:ascii="Times New Roman" w:hAnsi="Times New Roman" w:cs="Times New Roman" w:hint="eastAsia"/>
        </w:rPr>
        <w:t>(A</w:t>
      </w:r>
      <w:r w:rsidRPr="002D2F45">
        <w:rPr>
          <w:rFonts w:ascii="Times New Roman" w:hAnsi="Times New Roman" w:cs="Times New Roman" w:hint="eastAsia"/>
        </w:rPr>
        <w:t>类</w:t>
      </w:r>
      <w:r w:rsidRPr="002D2F45">
        <w:rPr>
          <w:rFonts w:ascii="Times New Roman" w:hAnsi="Times New Roman" w:cs="Times New Roman" w:hint="eastAsia"/>
        </w:rPr>
        <w:t>)</w:t>
      </w:r>
      <w:r w:rsidRPr="002D2F45">
        <w:rPr>
          <w:rFonts w:ascii="Times New Roman" w:hAnsi="Times New Roman" w:cs="Times New Roman" w:hint="eastAsia"/>
        </w:rPr>
        <w:t>、博时信用债纯</w:t>
      </w:r>
      <w:proofErr w:type="gramStart"/>
      <w:r w:rsidRPr="002D2F45">
        <w:rPr>
          <w:rFonts w:ascii="Times New Roman" w:hAnsi="Times New Roman" w:cs="Times New Roman" w:hint="eastAsia"/>
        </w:rPr>
        <w:t>债</w:t>
      </w:r>
      <w:proofErr w:type="gramEnd"/>
      <w:r w:rsidRPr="002D2F45">
        <w:rPr>
          <w:rFonts w:ascii="Times New Roman" w:hAnsi="Times New Roman" w:cs="Times New Roman" w:hint="eastAsia"/>
        </w:rPr>
        <w:t>债券</w:t>
      </w:r>
      <w:r w:rsidRPr="002D2F45">
        <w:rPr>
          <w:rFonts w:ascii="Times New Roman" w:hAnsi="Times New Roman" w:cs="Times New Roman" w:hint="eastAsia"/>
        </w:rPr>
        <w:t>(C</w:t>
      </w:r>
      <w:r w:rsidRPr="002D2F45">
        <w:rPr>
          <w:rFonts w:ascii="Times New Roman" w:hAnsi="Times New Roman" w:cs="Times New Roman" w:hint="eastAsia"/>
        </w:rPr>
        <w:t>类</w:t>
      </w:r>
      <w:r w:rsidRPr="002D2F45">
        <w:rPr>
          <w:rFonts w:ascii="Times New Roman" w:hAnsi="Times New Roman" w:cs="Times New Roman" w:hint="eastAsia"/>
        </w:rPr>
        <w:t>)</w:t>
      </w:r>
      <w:r w:rsidRPr="002D2F45">
        <w:rPr>
          <w:rFonts w:ascii="Times New Roman" w:hAnsi="Times New Roman" w:cs="Times New Roman" w:hint="eastAsia"/>
        </w:rPr>
        <w:t>同类排名均在前</w:t>
      </w:r>
      <w:r w:rsidRPr="002D2F45">
        <w:rPr>
          <w:rFonts w:ascii="Times New Roman" w:hAnsi="Times New Roman" w:cs="Times New Roman" w:hint="eastAsia"/>
        </w:rPr>
        <w:t>1/10</w:t>
      </w:r>
      <w:r w:rsidRPr="002D2F45">
        <w:rPr>
          <w:rFonts w:ascii="Times New Roman" w:hAnsi="Times New Roman" w:cs="Times New Roman" w:hint="eastAsia"/>
        </w:rPr>
        <w:t>，博时稳健回报债券</w:t>
      </w:r>
      <w:r w:rsidRPr="002D2F45">
        <w:rPr>
          <w:rFonts w:ascii="Times New Roman" w:hAnsi="Times New Roman" w:cs="Times New Roman" w:hint="eastAsia"/>
        </w:rPr>
        <w:t>(LOF)(C</w:t>
      </w:r>
      <w:r w:rsidRPr="002D2F45">
        <w:rPr>
          <w:rFonts w:ascii="Times New Roman" w:hAnsi="Times New Roman" w:cs="Times New Roman" w:hint="eastAsia"/>
        </w:rPr>
        <w:t>类</w:t>
      </w:r>
      <w:r w:rsidRPr="002D2F45">
        <w:rPr>
          <w:rFonts w:ascii="Times New Roman" w:hAnsi="Times New Roman" w:cs="Times New Roman" w:hint="eastAsia"/>
        </w:rPr>
        <w:t>)</w:t>
      </w:r>
      <w:r w:rsidRPr="002D2F45">
        <w:rPr>
          <w:rFonts w:ascii="Times New Roman" w:hAnsi="Times New Roman" w:cs="Times New Roman" w:hint="eastAsia"/>
        </w:rPr>
        <w:t>、博时</w:t>
      </w:r>
      <w:proofErr w:type="gramStart"/>
      <w:r w:rsidRPr="002D2F45">
        <w:rPr>
          <w:rFonts w:ascii="Times New Roman" w:hAnsi="Times New Roman" w:cs="Times New Roman" w:hint="eastAsia"/>
        </w:rPr>
        <w:t>合惠货币</w:t>
      </w:r>
      <w:proofErr w:type="gramEnd"/>
      <w:r w:rsidRPr="002D2F45">
        <w:rPr>
          <w:rFonts w:ascii="Times New Roman" w:hAnsi="Times New Roman" w:cs="Times New Roman" w:hint="eastAsia"/>
        </w:rPr>
        <w:t>(A</w:t>
      </w:r>
      <w:r w:rsidRPr="002D2F45">
        <w:rPr>
          <w:rFonts w:ascii="Times New Roman" w:hAnsi="Times New Roman" w:cs="Times New Roman" w:hint="eastAsia"/>
        </w:rPr>
        <w:t>类</w:t>
      </w:r>
      <w:r w:rsidRPr="002D2F45">
        <w:rPr>
          <w:rFonts w:ascii="Times New Roman" w:hAnsi="Times New Roman" w:cs="Times New Roman" w:hint="eastAsia"/>
        </w:rPr>
        <w:t>)</w:t>
      </w:r>
      <w:r w:rsidRPr="002D2F45">
        <w:rPr>
          <w:rFonts w:ascii="Times New Roman" w:hAnsi="Times New Roman" w:cs="Times New Roman" w:hint="eastAsia"/>
        </w:rPr>
        <w:t>、博</w:t>
      </w:r>
      <w:proofErr w:type="gramStart"/>
      <w:r w:rsidRPr="002D2F45">
        <w:rPr>
          <w:rFonts w:ascii="Times New Roman" w:hAnsi="Times New Roman" w:cs="Times New Roman" w:hint="eastAsia"/>
        </w:rPr>
        <w:t>时裕安纯债</w:t>
      </w:r>
      <w:proofErr w:type="gramEnd"/>
      <w:r w:rsidRPr="002D2F45">
        <w:rPr>
          <w:rFonts w:ascii="Times New Roman" w:hAnsi="Times New Roman" w:cs="Times New Roman" w:hint="eastAsia"/>
        </w:rPr>
        <w:t>债券、博时稳健回报债券</w:t>
      </w:r>
      <w:r w:rsidRPr="002D2F45">
        <w:rPr>
          <w:rFonts w:ascii="Times New Roman" w:hAnsi="Times New Roman" w:cs="Times New Roman" w:hint="eastAsia"/>
        </w:rPr>
        <w:t>(LOF)(A</w:t>
      </w:r>
      <w:r w:rsidRPr="002D2F45">
        <w:rPr>
          <w:rFonts w:ascii="Times New Roman" w:hAnsi="Times New Roman" w:cs="Times New Roman" w:hint="eastAsia"/>
        </w:rPr>
        <w:t>类</w:t>
      </w:r>
      <w:r w:rsidRPr="002D2F45">
        <w:rPr>
          <w:rFonts w:ascii="Times New Roman" w:hAnsi="Times New Roman" w:cs="Times New Roman" w:hint="eastAsia"/>
        </w:rPr>
        <w:t>)</w:t>
      </w:r>
      <w:r w:rsidRPr="002D2F45">
        <w:rPr>
          <w:rFonts w:ascii="Times New Roman" w:hAnsi="Times New Roman" w:cs="Times New Roman" w:hint="eastAsia"/>
        </w:rPr>
        <w:t>、博时合鑫货币、博时</w:t>
      </w:r>
      <w:proofErr w:type="gramStart"/>
      <w:r w:rsidRPr="002D2F45">
        <w:rPr>
          <w:rFonts w:ascii="Times New Roman" w:hAnsi="Times New Roman" w:cs="Times New Roman" w:hint="eastAsia"/>
        </w:rPr>
        <w:t>聚瑞纯债</w:t>
      </w:r>
      <w:proofErr w:type="gramEnd"/>
      <w:r w:rsidRPr="002D2F45">
        <w:rPr>
          <w:rFonts w:ascii="Times New Roman" w:hAnsi="Times New Roman" w:cs="Times New Roman" w:hint="eastAsia"/>
        </w:rPr>
        <w:t>6</w:t>
      </w:r>
      <w:r w:rsidRPr="002D2F45">
        <w:rPr>
          <w:rFonts w:ascii="Times New Roman" w:hAnsi="Times New Roman" w:cs="Times New Roman" w:hint="eastAsia"/>
        </w:rPr>
        <w:t>个月定期开放债券发起式、博时现金</w:t>
      </w:r>
      <w:proofErr w:type="gramStart"/>
      <w:r w:rsidRPr="002D2F45">
        <w:rPr>
          <w:rFonts w:ascii="Times New Roman" w:hAnsi="Times New Roman" w:cs="Times New Roman" w:hint="eastAsia"/>
        </w:rPr>
        <w:t>宝货币</w:t>
      </w:r>
      <w:proofErr w:type="gramEnd"/>
      <w:r w:rsidRPr="002D2F45">
        <w:rPr>
          <w:rFonts w:ascii="Times New Roman" w:hAnsi="Times New Roman" w:cs="Times New Roman" w:hint="eastAsia"/>
        </w:rPr>
        <w:t>(B</w:t>
      </w:r>
      <w:r w:rsidRPr="002D2F45">
        <w:rPr>
          <w:rFonts w:ascii="Times New Roman" w:hAnsi="Times New Roman" w:cs="Times New Roman" w:hint="eastAsia"/>
        </w:rPr>
        <w:t>类</w:t>
      </w:r>
      <w:r w:rsidRPr="002D2F45">
        <w:rPr>
          <w:rFonts w:ascii="Times New Roman" w:hAnsi="Times New Roman" w:cs="Times New Roman" w:hint="eastAsia"/>
        </w:rPr>
        <w:t>)</w:t>
      </w:r>
      <w:r w:rsidRPr="002D2F45">
        <w:rPr>
          <w:rFonts w:ascii="Times New Roman" w:hAnsi="Times New Roman" w:cs="Times New Roman" w:hint="eastAsia"/>
        </w:rPr>
        <w:t>、博时现金</w:t>
      </w:r>
      <w:proofErr w:type="gramStart"/>
      <w:r w:rsidRPr="002D2F45">
        <w:rPr>
          <w:rFonts w:ascii="Times New Roman" w:hAnsi="Times New Roman" w:cs="Times New Roman" w:hint="eastAsia"/>
        </w:rPr>
        <w:t>宝货币</w:t>
      </w:r>
      <w:proofErr w:type="gramEnd"/>
      <w:r w:rsidRPr="002D2F45">
        <w:rPr>
          <w:rFonts w:ascii="Times New Roman" w:hAnsi="Times New Roman" w:cs="Times New Roman" w:hint="eastAsia"/>
        </w:rPr>
        <w:t>(A</w:t>
      </w:r>
      <w:r w:rsidRPr="002D2F45">
        <w:rPr>
          <w:rFonts w:ascii="Times New Roman" w:hAnsi="Times New Roman" w:cs="Times New Roman" w:hint="eastAsia"/>
        </w:rPr>
        <w:t>类</w:t>
      </w:r>
      <w:r w:rsidRPr="002D2F45">
        <w:rPr>
          <w:rFonts w:ascii="Times New Roman" w:hAnsi="Times New Roman" w:cs="Times New Roman" w:hint="eastAsia"/>
        </w:rPr>
        <w:t>)</w:t>
      </w:r>
      <w:r w:rsidRPr="002D2F45">
        <w:rPr>
          <w:rFonts w:ascii="Times New Roman" w:hAnsi="Times New Roman" w:cs="Times New Roman" w:hint="eastAsia"/>
        </w:rPr>
        <w:t>、博时外服货币、博时</w:t>
      </w:r>
      <w:proofErr w:type="gramStart"/>
      <w:r w:rsidRPr="002D2F45">
        <w:rPr>
          <w:rFonts w:ascii="Times New Roman" w:hAnsi="Times New Roman" w:cs="Times New Roman" w:hint="eastAsia"/>
        </w:rPr>
        <w:t>富业纯债</w:t>
      </w:r>
      <w:proofErr w:type="gramEnd"/>
      <w:r w:rsidRPr="002D2F45">
        <w:rPr>
          <w:rFonts w:ascii="Times New Roman" w:hAnsi="Times New Roman" w:cs="Times New Roman" w:hint="eastAsia"/>
        </w:rPr>
        <w:t>3</w:t>
      </w:r>
      <w:r w:rsidRPr="002D2F45">
        <w:rPr>
          <w:rFonts w:ascii="Times New Roman" w:hAnsi="Times New Roman" w:cs="Times New Roman" w:hint="eastAsia"/>
        </w:rPr>
        <w:t>个月定期开放债券发起式、博时安丰</w:t>
      </w:r>
      <w:r w:rsidRPr="002D2F45">
        <w:rPr>
          <w:rFonts w:ascii="Times New Roman" w:hAnsi="Times New Roman" w:cs="Times New Roman" w:hint="eastAsia"/>
        </w:rPr>
        <w:t>18</w:t>
      </w:r>
      <w:r w:rsidRPr="002D2F45">
        <w:rPr>
          <w:rFonts w:ascii="Times New Roman" w:hAnsi="Times New Roman" w:cs="Times New Roman" w:hint="eastAsia"/>
        </w:rPr>
        <w:t>个月定期开放债券</w:t>
      </w:r>
      <w:r w:rsidRPr="002D2F45">
        <w:rPr>
          <w:rFonts w:ascii="Times New Roman" w:hAnsi="Times New Roman" w:cs="Times New Roman" w:hint="eastAsia"/>
        </w:rPr>
        <w:t>(A</w:t>
      </w:r>
      <w:r w:rsidRPr="002D2F45">
        <w:rPr>
          <w:rFonts w:ascii="Times New Roman" w:hAnsi="Times New Roman" w:cs="Times New Roman" w:hint="eastAsia"/>
        </w:rPr>
        <w:t>类</w:t>
      </w:r>
      <w:r w:rsidRPr="002D2F45">
        <w:rPr>
          <w:rFonts w:ascii="Times New Roman" w:hAnsi="Times New Roman" w:cs="Times New Roman" w:hint="eastAsia"/>
        </w:rPr>
        <w:t>-LOF)</w:t>
      </w:r>
      <w:r w:rsidRPr="002D2F45">
        <w:rPr>
          <w:rFonts w:ascii="Times New Roman" w:hAnsi="Times New Roman" w:cs="Times New Roman" w:hint="eastAsia"/>
        </w:rPr>
        <w:t>、博</w:t>
      </w:r>
      <w:proofErr w:type="gramStart"/>
      <w:r w:rsidRPr="002D2F45">
        <w:rPr>
          <w:rFonts w:ascii="Times New Roman" w:hAnsi="Times New Roman" w:cs="Times New Roman" w:hint="eastAsia"/>
        </w:rPr>
        <w:t>时裕盛纯债</w:t>
      </w:r>
      <w:proofErr w:type="gramEnd"/>
      <w:r w:rsidRPr="002D2F45">
        <w:rPr>
          <w:rFonts w:ascii="Times New Roman" w:hAnsi="Times New Roman" w:cs="Times New Roman" w:hint="eastAsia"/>
        </w:rPr>
        <w:t>债券、博时</w:t>
      </w:r>
      <w:proofErr w:type="gramStart"/>
      <w:r w:rsidRPr="002D2F45">
        <w:rPr>
          <w:rFonts w:ascii="Times New Roman" w:hAnsi="Times New Roman" w:cs="Times New Roman" w:hint="eastAsia"/>
        </w:rPr>
        <w:t>富腾纯债</w:t>
      </w:r>
      <w:proofErr w:type="gramEnd"/>
      <w:r w:rsidRPr="002D2F45">
        <w:rPr>
          <w:rFonts w:ascii="Times New Roman" w:hAnsi="Times New Roman" w:cs="Times New Roman" w:hint="eastAsia"/>
        </w:rPr>
        <w:t>债券、博时天颐债券</w:t>
      </w:r>
      <w:r w:rsidRPr="002D2F45">
        <w:rPr>
          <w:rFonts w:ascii="Times New Roman" w:hAnsi="Times New Roman" w:cs="Times New Roman" w:hint="eastAsia"/>
        </w:rPr>
        <w:t>(A</w:t>
      </w:r>
      <w:r w:rsidRPr="002D2F45">
        <w:rPr>
          <w:rFonts w:ascii="Times New Roman" w:hAnsi="Times New Roman" w:cs="Times New Roman" w:hint="eastAsia"/>
        </w:rPr>
        <w:t>类</w:t>
      </w:r>
      <w:r w:rsidRPr="002D2F45">
        <w:rPr>
          <w:rFonts w:ascii="Times New Roman" w:hAnsi="Times New Roman" w:cs="Times New Roman" w:hint="eastAsia"/>
        </w:rPr>
        <w:t>)</w:t>
      </w:r>
      <w:r w:rsidRPr="002D2F45">
        <w:rPr>
          <w:rFonts w:ascii="Times New Roman" w:hAnsi="Times New Roman" w:cs="Times New Roman" w:hint="eastAsia"/>
        </w:rPr>
        <w:t>、博时宏观回报债券</w:t>
      </w:r>
      <w:r w:rsidRPr="002D2F45">
        <w:rPr>
          <w:rFonts w:ascii="Times New Roman" w:hAnsi="Times New Roman" w:cs="Times New Roman" w:hint="eastAsia"/>
        </w:rPr>
        <w:t>(A/B</w:t>
      </w:r>
      <w:r w:rsidRPr="002D2F45">
        <w:rPr>
          <w:rFonts w:ascii="Times New Roman" w:hAnsi="Times New Roman" w:cs="Times New Roman" w:hint="eastAsia"/>
        </w:rPr>
        <w:t>类</w:t>
      </w:r>
      <w:r w:rsidRPr="002D2F45">
        <w:rPr>
          <w:rFonts w:ascii="Times New Roman" w:hAnsi="Times New Roman" w:cs="Times New Roman" w:hint="eastAsia"/>
        </w:rPr>
        <w:t>)</w:t>
      </w:r>
      <w:r w:rsidRPr="002D2F45">
        <w:rPr>
          <w:rFonts w:ascii="Times New Roman" w:hAnsi="Times New Roman" w:cs="Times New Roman" w:hint="eastAsia"/>
        </w:rPr>
        <w:t>、博时安瑞</w:t>
      </w:r>
      <w:r w:rsidRPr="002D2F45">
        <w:rPr>
          <w:rFonts w:ascii="Times New Roman" w:hAnsi="Times New Roman" w:cs="Times New Roman" w:hint="eastAsia"/>
        </w:rPr>
        <w:t>18</w:t>
      </w:r>
      <w:r w:rsidRPr="002D2F45">
        <w:rPr>
          <w:rFonts w:ascii="Times New Roman" w:hAnsi="Times New Roman" w:cs="Times New Roman" w:hint="eastAsia"/>
        </w:rPr>
        <w:t>个月定期开放债券</w:t>
      </w:r>
      <w:r w:rsidRPr="002D2F45">
        <w:rPr>
          <w:rFonts w:ascii="Times New Roman" w:hAnsi="Times New Roman" w:cs="Times New Roman" w:hint="eastAsia"/>
        </w:rPr>
        <w:t>(A</w:t>
      </w:r>
      <w:r w:rsidRPr="002D2F45">
        <w:rPr>
          <w:rFonts w:ascii="Times New Roman" w:hAnsi="Times New Roman" w:cs="Times New Roman" w:hint="eastAsia"/>
        </w:rPr>
        <w:t>类</w:t>
      </w:r>
      <w:r w:rsidRPr="002D2F45">
        <w:rPr>
          <w:rFonts w:ascii="Times New Roman" w:hAnsi="Times New Roman" w:cs="Times New Roman" w:hint="eastAsia"/>
        </w:rPr>
        <w:t>)</w:t>
      </w:r>
      <w:r w:rsidRPr="002D2F45">
        <w:rPr>
          <w:rFonts w:ascii="Times New Roman" w:hAnsi="Times New Roman" w:cs="Times New Roman" w:hint="eastAsia"/>
        </w:rPr>
        <w:t>、博时天颐债券</w:t>
      </w:r>
      <w:r w:rsidRPr="002D2F45">
        <w:rPr>
          <w:rFonts w:ascii="Times New Roman" w:hAnsi="Times New Roman" w:cs="Times New Roman" w:hint="eastAsia"/>
        </w:rPr>
        <w:t>(C</w:t>
      </w:r>
      <w:r w:rsidRPr="002D2F45">
        <w:rPr>
          <w:rFonts w:ascii="Times New Roman" w:hAnsi="Times New Roman" w:cs="Times New Roman" w:hint="eastAsia"/>
        </w:rPr>
        <w:t>类</w:t>
      </w:r>
      <w:r w:rsidRPr="002D2F45">
        <w:rPr>
          <w:rFonts w:ascii="Times New Roman" w:hAnsi="Times New Roman" w:cs="Times New Roman" w:hint="eastAsia"/>
        </w:rPr>
        <w:t>)</w:t>
      </w:r>
      <w:r w:rsidRPr="002D2F45">
        <w:rPr>
          <w:rFonts w:ascii="Times New Roman" w:hAnsi="Times New Roman" w:cs="Times New Roman" w:hint="eastAsia"/>
        </w:rPr>
        <w:t>、博时安泰</w:t>
      </w:r>
      <w:r w:rsidRPr="002D2F45">
        <w:rPr>
          <w:rFonts w:ascii="Times New Roman" w:hAnsi="Times New Roman" w:cs="Times New Roman" w:hint="eastAsia"/>
        </w:rPr>
        <w:t>18</w:t>
      </w:r>
      <w:r w:rsidRPr="002D2F45">
        <w:rPr>
          <w:rFonts w:ascii="Times New Roman" w:hAnsi="Times New Roman" w:cs="Times New Roman" w:hint="eastAsia"/>
        </w:rPr>
        <w:t>个月定期开放债券</w:t>
      </w:r>
      <w:r w:rsidRPr="002D2F45">
        <w:rPr>
          <w:rFonts w:ascii="Times New Roman" w:hAnsi="Times New Roman" w:cs="Times New Roman" w:hint="eastAsia"/>
        </w:rPr>
        <w:t>(A</w:t>
      </w:r>
      <w:r w:rsidRPr="002D2F45">
        <w:rPr>
          <w:rFonts w:ascii="Times New Roman" w:hAnsi="Times New Roman" w:cs="Times New Roman" w:hint="eastAsia"/>
        </w:rPr>
        <w:t>类</w:t>
      </w:r>
      <w:r w:rsidRPr="002D2F45">
        <w:rPr>
          <w:rFonts w:ascii="Times New Roman" w:hAnsi="Times New Roman" w:cs="Times New Roman" w:hint="eastAsia"/>
        </w:rPr>
        <w:t>)</w:t>
      </w:r>
      <w:r w:rsidRPr="002D2F45">
        <w:rPr>
          <w:rFonts w:ascii="Times New Roman" w:hAnsi="Times New Roman" w:cs="Times New Roman" w:hint="eastAsia"/>
        </w:rPr>
        <w:t>、博时宏观回报债券</w:t>
      </w:r>
      <w:r w:rsidRPr="002D2F45">
        <w:rPr>
          <w:rFonts w:ascii="Times New Roman" w:hAnsi="Times New Roman" w:cs="Times New Roman" w:hint="eastAsia"/>
        </w:rPr>
        <w:t>(C</w:t>
      </w:r>
      <w:r w:rsidRPr="002D2F45">
        <w:rPr>
          <w:rFonts w:ascii="Times New Roman" w:hAnsi="Times New Roman" w:cs="Times New Roman" w:hint="eastAsia"/>
        </w:rPr>
        <w:t>类</w:t>
      </w:r>
      <w:r w:rsidRPr="002D2F45">
        <w:rPr>
          <w:rFonts w:ascii="Times New Roman" w:hAnsi="Times New Roman" w:cs="Times New Roman" w:hint="eastAsia"/>
        </w:rPr>
        <w:t>)</w:t>
      </w:r>
      <w:r w:rsidRPr="002D2F45">
        <w:rPr>
          <w:rFonts w:ascii="Times New Roman" w:hAnsi="Times New Roman" w:cs="Times New Roman" w:hint="eastAsia"/>
        </w:rPr>
        <w:t>、博</w:t>
      </w:r>
      <w:proofErr w:type="gramStart"/>
      <w:r w:rsidRPr="002D2F45">
        <w:rPr>
          <w:rFonts w:ascii="Times New Roman" w:hAnsi="Times New Roman" w:cs="Times New Roman" w:hint="eastAsia"/>
        </w:rPr>
        <w:t>时景兴纯债</w:t>
      </w:r>
      <w:proofErr w:type="gramEnd"/>
      <w:r w:rsidRPr="002D2F45">
        <w:rPr>
          <w:rFonts w:ascii="Times New Roman" w:hAnsi="Times New Roman" w:cs="Times New Roman" w:hint="eastAsia"/>
        </w:rPr>
        <w:t>债券、博</w:t>
      </w:r>
      <w:proofErr w:type="gramStart"/>
      <w:r w:rsidRPr="002D2F45">
        <w:rPr>
          <w:rFonts w:ascii="Times New Roman" w:hAnsi="Times New Roman" w:cs="Times New Roman" w:hint="eastAsia"/>
        </w:rPr>
        <w:t>时裕达纯债</w:t>
      </w:r>
      <w:proofErr w:type="gramEnd"/>
      <w:r w:rsidRPr="002D2F45">
        <w:rPr>
          <w:rFonts w:ascii="Times New Roman" w:hAnsi="Times New Roman" w:cs="Times New Roman" w:hint="eastAsia"/>
        </w:rPr>
        <w:t>债券等产品同类排名均在前</w:t>
      </w:r>
      <w:r w:rsidRPr="002D2F45">
        <w:rPr>
          <w:rFonts w:ascii="Times New Roman" w:hAnsi="Times New Roman" w:cs="Times New Roman" w:hint="eastAsia"/>
        </w:rPr>
        <w:t>1/4</w:t>
      </w:r>
      <w:r w:rsidRPr="002D2F45">
        <w:rPr>
          <w:rFonts w:ascii="Times New Roman" w:hAnsi="Times New Roman" w:cs="Times New Roman" w:hint="eastAsia"/>
        </w:rPr>
        <w:t>。</w:t>
      </w:r>
    </w:p>
    <w:p w:rsidR="002D2F45" w:rsidRPr="002D2F45" w:rsidRDefault="002D2F45" w:rsidP="002D2F45">
      <w:pPr>
        <w:pStyle w:val="new0"/>
        <w:rPr>
          <w:rFonts w:ascii="Times New Roman" w:hAnsi="Times New Roman" w:cs="Times New Roman" w:hint="eastAsia"/>
        </w:rPr>
      </w:pPr>
      <w:r w:rsidRPr="002D2F45">
        <w:rPr>
          <w:rFonts w:ascii="Times New Roman" w:hAnsi="Times New Roman" w:cs="Times New Roman" w:hint="eastAsia"/>
        </w:rPr>
        <w:t>博时旗下</w:t>
      </w:r>
      <w:r w:rsidRPr="002D2F45">
        <w:rPr>
          <w:rFonts w:ascii="Times New Roman" w:hAnsi="Times New Roman" w:cs="Times New Roman" w:hint="eastAsia"/>
        </w:rPr>
        <w:t>QDII</w:t>
      </w:r>
      <w:r w:rsidRPr="002D2F45">
        <w:rPr>
          <w:rFonts w:ascii="Times New Roman" w:hAnsi="Times New Roman" w:cs="Times New Roman" w:hint="eastAsia"/>
        </w:rPr>
        <w:t>基金继续表现突出，博时标普</w:t>
      </w:r>
      <w:r w:rsidRPr="002D2F45">
        <w:rPr>
          <w:rFonts w:ascii="Times New Roman" w:hAnsi="Times New Roman" w:cs="Times New Roman" w:hint="eastAsia"/>
        </w:rPr>
        <w:t>500ETF</w:t>
      </w:r>
      <w:r w:rsidRPr="002D2F45">
        <w:rPr>
          <w:rFonts w:ascii="Times New Roman" w:hAnsi="Times New Roman" w:cs="Times New Roman" w:hint="eastAsia"/>
        </w:rPr>
        <w:t>、博时标普</w:t>
      </w:r>
      <w:r w:rsidRPr="002D2F45">
        <w:rPr>
          <w:rFonts w:ascii="Times New Roman" w:hAnsi="Times New Roman" w:cs="Times New Roman" w:hint="eastAsia"/>
        </w:rPr>
        <w:t>500ETF</w:t>
      </w:r>
      <w:r w:rsidRPr="002D2F45">
        <w:rPr>
          <w:rFonts w:ascii="Times New Roman" w:hAnsi="Times New Roman" w:cs="Times New Roman" w:hint="eastAsia"/>
        </w:rPr>
        <w:t>联接（</w:t>
      </w:r>
      <w:r w:rsidRPr="002D2F45">
        <w:rPr>
          <w:rFonts w:ascii="Times New Roman" w:hAnsi="Times New Roman" w:cs="Times New Roman" w:hint="eastAsia"/>
        </w:rPr>
        <w:t>C</w:t>
      </w:r>
      <w:r w:rsidRPr="002D2F45">
        <w:rPr>
          <w:rFonts w:ascii="Times New Roman" w:hAnsi="Times New Roman" w:cs="Times New Roman" w:hint="eastAsia"/>
        </w:rPr>
        <w:t>类）、博时标普</w:t>
      </w:r>
      <w:r w:rsidRPr="002D2F45">
        <w:rPr>
          <w:rFonts w:ascii="Times New Roman" w:hAnsi="Times New Roman" w:cs="Times New Roman" w:hint="eastAsia"/>
        </w:rPr>
        <w:t>500ETF</w:t>
      </w:r>
      <w:r w:rsidRPr="002D2F45">
        <w:rPr>
          <w:rFonts w:ascii="Times New Roman" w:hAnsi="Times New Roman" w:cs="Times New Roman" w:hint="eastAsia"/>
        </w:rPr>
        <w:t>联接（</w:t>
      </w:r>
      <w:r w:rsidRPr="002D2F45">
        <w:rPr>
          <w:rFonts w:ascii="Times New Roman" w:hAnsi="Times New Roman" w:cs="Times New Roman" w:hint="eastAsia"/>
        </w:rPr>
        <w:t>A</w:t>
      </w:r>
      <w:r w:rsidRPr="002D2F45">
        <w:rPr>
          <w:rFonts w:ascii="Times New Roman" w:hAnsi="Times New Roman" w:cs="Times New Roman" w:hint="eastAsia"/>
        </w:rPr>
        <w:t>类）</w:t>
      </w:r>
      <w:r w:rsidRPr="002D2F45">
        <w:rPr>
          <w:rFonts w:ascii="Times New Roman" w:hAnsi="Times New Roman" w:cs="Times New Roman" w:hint="eastAsia"/>
        </w:rPr>
        <w:t>2019</w:t>
      </w:r>
      <w:r w:rsidRPr="002D2F45">
        <w:rPr>
          <w:rFonts w:ascii="Times New Roman" w:hAnsi="Times New Roman" w:cs="Times New Roman" w:hint="eastAsia"/>
        </w:rPr>
        <w:t>年净值增长率分别超过或接近</w:t>
      </w:r>
      <w:r w:rsidRPr="002D2F45">
        <w:rPr>
          <w:rFonts w:ascii="Times New Roman" w:hAnsi="Times New Roman" w:cs="Times New Roman" w:hint="eastAsia"/>
        </w:rPr>
        <w:t>30%</w:t>
      </w:r>
      <w:r w:rsidRPr="002D2F45">
        <w:rPr>
          <w:rFonts w:ascii="Times New Roman" w:hAnsi="Times New Roman" w:cs="Times New Roman" w:hint="eastAsia"/>
        </w:rPr>
        <w:t>，同类排名分别为第</w:t>
      </w:r>
      <w:r w:rsidRPr="002D2F45">
        <w:rPr>
          <w:rFonts w:ascii="Times New Roman" w:hAnsi="Times New Roman" w:cs="Times New Roman" w:hint="eastAsia"/>
        </w:rPr>
        <w:t>4</w:t>
      </w:r>
      <w:r w:rsidRPr="002D2F45">
        <w:rPr>
          <w:rFonts w:ascii="Times New Roman" w:hAnsi="Times New Roman" w:cs="Times New Roman" w:hint="eastAsia"/>
        </w:rPr>
        <w:t>、第</w:t>
      </w:r>
      <w:r w:rsidRPr="002D2F45">
        <w:rPr>
          <w:rFonts w:ascii="Times New Roman" w:hAnsi="Times New Roman" w:cs="Times New Roman" w:hint="eastAsia"/>
        </w:rPr>
        <w:t>6</w:t>
      </w:r>
      <w:r w:rsidRPr="002D2F45">
        <w:rPr>
          <w:rFonts w:ascii="Times New Roman" w:hAnsi="Times New Roman" w:cs="Times New Roman" w:hint="eastAsia"/>
        </w:rPr>
        <w:t>、第</w:t>
      </w:r>
      <w:r w:rsidRPr="002D2F45">
        <w:rPr>
          <w:rFonts w:ascii="Times New Roman" w:hAnsi="Times New Roman" w:cs="Times New Roman" w:hint="eastAsia"/>
        </w:rPr>
        <w:t>14</w:t>
      </w:r>
      <w:r w:rsidRPr="002D2F45">
        <w:rPr>
          <w:rFonts w:ascii="Times New Roman" w:hAnsi="Times New Roman" w:cs="Times New Roman" w:hint="eastAsia"/>
        </w:rPr>
        <w:t>；博时亚洲票息收益债券（人民币）</w:t>
      </w:r>
      <w:r w:rsidRPr="002D2F45">
        <w:rPr>
          <w:rFonts w:ascii="Times New Roman" w:hAnsi="Times New Roman" w:cs="Times New Roman" w:hint="eastAsia"/>
        </w:rPr>
        <w:t>2019</w:t>
      </w:r>
      <w:r w:rsidRPr="002D2F45">
        <w:rPr>
          <w:rFonts w:ascii="Times New Roman" w:hAnsi="Times New Roman" w:cs="Times New Roman" w:hint="eastAsia"/>
        </w:rPr>
        <w:t>年净值增长率超过</w:t>
      </w:r>
      <w:r w:rsidRPr="002D2F45">
        <w:rPr>
          <w:rFonts w:ascii="Times New Roman" w:hAnsi="Times New Roman" w:cs="Times New Roman" w:hint="eastAsia"/>
        </w:rPr>
        <w:t>10%</w:t>
      </w:r>
      <w:r w:rsidRPr="002D2F45">
        <w:rPr>
          <w:rFonts w:ascii="Times New Roman" w:hAnsi="Times New Roman" w:cs="Times New Roman" w:hint="eastAsia"/>
        </w:rPr>
        <w:t>，同类排名第</w:t>
      </w:r>
      <w:r w:rsidRPr="002D2F45">
        <w:rPr>
          <w:rFonts w:ascii="Times New Roman" w:hAnsi="Times New Roman" w:cs="Times New Roman" w:hint="eastAsia"/>
        </w:rPr>
        <w:t>7</w:t>
      </w:r>
      <w:r w:rsidRPr="002D2F45">
        <w:rPr>
          <w:rFonts w:ascii="Times New Roman" w:hAnsi="Times New Roman" w:cs="Times New Roman" w:hint="eastAsia"/>
        </w:rPr>
        <w:t>。</w:t>
      </w:r>
    </w:p>
    <w:p w:rsidR="002D2F45" w:rsidRPr="002D2F45" w:rsidRDefault="002D2F45" w:rsidP="002D2F45">
      <w:pPr>
        <w:pStyle w:val="new0"/>
        <w:rPr>
          <w:rFonts w:ascii="Times New Roman" w:hAnsi="Times New Roman" w:cs="Times New Roman" w:hint="eastAsia"/>
        </w:rPr>
      </w:pPr>
      <w:r w:rsidRPr="002D2F45">
        <w:rPr>
          <w:rFonts w:ascii="Times New Roman" w:hAnsi="Times New Roman" w:cs="Times New Roman" w:hint="eastAsia"/>
        </w:rPr>
        <w:t>商品型基金当中，博时黄金</w:t>
      </w:r>
      <w:r w:rsidRPr="002D2F45">
        <w:rPr>
          <w:rFonts w:ascii="Times New Roman" w:hAnsi="Times New Roman" w:cs="Times New Roman" w:hint="eastAsia"/>
        </w:rPr>
        <w:t>ETF</w:t>
      </w:r>
      <w:r w:rsidRPr="002D2F45">
        <w:rPr>
          <w:rFonts w:ascii="Times New Roman" w:hAnsi="Times New Roman" w:cs="Times New Roman" w:hint="eastAsia"/>
        </w:rPr>
        <w:t>、博时黄金</w:t>
      </w:r>
      <w:r w:rsidRPr="002D2F45">
        <w:rPr>
          <w:rFonts w:ascii="Times New Roman" w:hAnsi="Times New Roman" w:cs="Times New Roman" w:hint="eastAsia"/>
        </w:rPr>
        <w:t>ETF</w:t>
      </w:r>
      <w:r w:rsidRPr="002D2F45">
        <w:rPr>
          <w:rFonts w:ascii="Times New Roman" w:hAnsi="Times New Roman" w:cs="Times New Roman" w:hint="eastAsia"/>
        </w:rPr>
        <w:t>联接</w:t>
      </w:r>
      <w:r w:rsidRPr="002D2F45">
        <w:rPr>
          <w:rFonts w:ascii="Times New Roman" w:hAnsi="Times New Roman" w:cs="Times New Roman" w:hint="eastAsia"/>
        </w:rPr>
        <w:t>(A</w:t>
      </w:r>
      <w:r w:rsidRPr="002D2F45">
        <w:rPr>
          <w:rFonts w:ascii="Times New Roman" w:hAnsi="Times New Roman" w:cs="Times New Roman" w:hint="eastAsia"/>
        </w:rPr>
        <w:t>类</w:t>
      </w:r>
      <w:r w:rsidRPr="002D2F45">
        <w:rPr>
          <w:rFonts w:ascii="Times New Roman" w:hAnsi="Times New Roman" w:cs="Times New Roman" w:hint="eastAsia"/>
        </w:rPr>
        <w:t>)</w:t>
      </w:r>
      <w:r w:rsidRPr="002D2F45">
        <w:rPr>
          <w:rFonts w:ascii="Times New Roman" w:hAnsi="Times New Roman" w:cs="Times New Roman" w:hint="eastAsia"/>
        </w:rPr>
        <w:t>、博时黄金</w:t>
      </w:r>
      <w:r w:rsidRPr="002D2F45">
        <w:rPr>
          <w:rFonts w:ascii="Times New Roman" w:hAnsi="Times New Roman" w:cs="Times New Roman" w:hint="eastAsia"/>
        </w:rPr>
        <w:t>ETF</w:t>
      </w:r>
      <w:r w:rsidRPr="002D2F45">
        <w:rPr>
          <w:rFonts w:ascii="Times New Roman" w:hAnsi="Times New Roman" w:cs="Times New Roman" w:hint="eastAsia"/>
        </w:rPr>
        <w:t>联接</w:t>
      </w:r>
      <w:r w:rsidRPr="002D2F45">
        <w:rPr>
          <w:rFonts w:ascii="Times New Roman" w:hAnsi="Times New Roman" w:cs="Times New Roman" w:hint="eastAsia"/>
        </w:rPr>
        <w:t>(C</w:t>
      </w:r>
      <w:r w:rsidRPr="002D2F45">
        <w:rPr>
          <w:rFonts w:ascii="Times New Roman" w:hAnsi="Times New Roman" w:cs="Times New Roman" w:hint="eastAsia"/>
        </w:rPr>
        <w:t>类</w:t>
      </w:r>
      <w:r w:rsidRPr="002D2F45">
        <w:rPr>
          <w:rFonts w:ascii="Times New Roman" w:hAnsi="Times New Roman" w:cs="Times New Roman" w:hint="eastAsia"/>
        </w:rPr>
        <w:t>)2019</w:t>
      </w:r>
      <w:r w:rsidRPr="002D2F45">
        <w:rPr>
          <w:rFonts w:ascii="Times New Roman" w:hAnsi="Times New Roman" w:cs="Times New Roman" w:hint="eastAsia"/>
        </w:rPr>
        <w:t>年均较好地跟上了黄金上涨行情，净值增长率均超过</w:t>
      </w:r>
      <w:r w:rsidRPr="002D2F45">
        <w:rPr>
          <w:rFonts w:ascii="Times New Roman" w:hAnsi="Times New Roman" w:cs="Times New Roman" w:hint="eastAsia"/>
        </w:rPr>
        <w:t>18%</w:t>
      </w:r>
      <w:r w:rsidRPr="002D2F45">
        <w:rPr>
          <w:rFonts w:ascii="Times New Roman" w:hAnsi="Times New Roman" w:cs="Times New Roman" w:hint="eastAsia"/>
        </w:rPr>
        <w:t>，其中博时黄金</w:t>
      </w:r>
      <w:r w:rsidRPr="002D2F45">
        <w:rPr>
          <w:rFonts w:ascii="Times New Roman" w:hAnsi="Times New Roman" w:cs="Times New Roman" w:hint="eastAsia"/>
        </w:rPr>
        <w:t>ETF</w:t>
      </w:r>
      <w:r w:rsidRPr="002D2F45">
        <w:rPr>
          <w:rFonts w:ascii="Times New Roman" w:hAnsi="Times New Roman" w:cs="Times New Roman" w:hint="eastAsia"/>
        </w:rPr>
        <w:t>净值增长率同类排名第</w:t>
      </w:r>
      <w:r w:rsidRPr="002D2F45">
        <w:rPr>
          <w:rFonts w:ascii="Times New Roman" w:hAnsi="Times New Roman" w:cs="Times New Roman" w:hint="eastAsia"/>
        </w:rPr>
        <w:t>3</w:t>
      </w:r>
      <w:r w:rsidRPr="002D2F45">
        <w:rPr>
          <w:rFonts w:ascii="Times New Roman" w:hAnsi="Times New Roman" w:cs="Times New Roman" w:hint="eastAsia"/>
        </w:rPr>
        <w:t>。</w:t>
      </w:r>
    </w:p>
    <w:p w:rsidR="002D2F45" w:rsidRPr="002D2F45" w:rsidRDefault="002D2F45" w:rsidP="002D2F45">
      <w:pPr>
        <w:pStyle w:val="new0"/>
        <w:rPr>
          <w:rFonts w:ascii="Times New Roman" w:hAnsi="Times New Roman" w:cs="Times New Roman" w:hint="eastAsia"/>
        </w:rPr>
      </w:pPr>
      <w:r w:rsidRPr="002D2F45">
        <w:rPr>
          <w:rFonts w:ascii="Times New Roman" w:hAnsi="Times New Roman" w:cs="Times New Roman" w:hint="eastAsia"/>
        </w:rPr>
        <w:t>2</w:t>
      </w:r>
      <w:r w:rsidRPr="002D2F45">
        <w:rPr>
          <w:rFonts w:ascii="Times New Roman" w:hAnsi="Times New Roman" w:cs="Times New Roman" w:hint="eastAsia"/>
        </w:rPr>
        <w:t>、</w:t>
      </w:r>
      <w:r w:rsidRPr="002D2F45">
        <w:rPr>
          <w:rFonts w:ascii="Times New Roman" w:hAnsi="Times New Roman" w:cs="Times New Roman" w:hint="eastAsia"/>
        </w:rPr>
        <w:t xml:space="preserve"> </w:t>
      </w:r>
      <w:r w:rsidRPr="002D2F45">
        <w:rPr>
          <w:rFonts w:ascii="Times New Roman" w:hAnsi="Times New Roman" w:cs="Times New Roman" w:hint="eastAsia"/>
        </w:rPr>
        <w:t xml:space="preserve">其他大事件　</w:t>
      </w:r>
    </w:p>
    <w:p w:rsidR="002D2F45" w:rsidRPr="002D2F45" w:rsidRDefault="002D2F45" w:rsidP="002D2F45">
      <w:pPr>
        <w:pStyle w:val="new0"/>
        <w:rPr>
          <w:rFonts w:ascii="Times New Roman" w:hAnsi="Times New Roman" w:cs="Times New Roman" w:hint="eastAsia"/>
        </w:rPr>
      </w:pPr>
      <w:r w:rsidRPr="002D2F45">
        <w:rPr>
          <w:rFonts w:ascii="Times New Roman" w:hAnsi="Times New Roman" w:cs="Times New Roman" w:hint="eastAsia"/>
        </w:rPr>
        <w:t>2019</w:t>
      </w:r>
      <w:r w:rsidRPr="002D2F45">
        <w:rPr>
          <w:rFonts w:ascii="Times New Roman" w:hAnsi="Times New Roman" w:cs="Times New Roman" w:hint="eastAsia"/>
        </w:rPr>
        <w:t>年</w:t>
      </w:r>
      <w:r w:rsidRPr="002D2F45">
        <w:rPr>
          <w:rFonts w:ascii="Times New Roman" w:hAnsi="Times New Roman" w:cs="Times New Roman" w:hint="eastAsia"/>
        </w:rPr>
        <w:t>12</w:t>
      </w:r>
      <w:r w:rsidRPr="002D2F45">
        <w:rPr>
          <w:rFonts w:ascii="Times New Roman" w:hAnsi="Times New Roman" w:cs="Times New Roman" w:hint="eastAsia"/>
        </w:rPr>
        <w:t>月</w:t>
      </w:r>
      <w:r w:rsidRPr="002D2F45">
        <w:rPr>
          <w:rFonts w:ascii="Times New Roman" w:hAnsi="Times New Roman" w:cs="Times New Roman" w:hint="eastAsia"/>
        </w:rPr>
        <w:t>26</w:t>
      </w:r>
      <w:r w:rsidRPr="002D2F45">
        <w:rPr>
          <w:rFonts w:ascii="Times New Roman" w:hAnsi="Times New Roman" w:cs="Times New Roman" w:hint="eastAsia"/>
        </w:rPr>
        <w:t>日，界面新闻在京举办“</w:t>
      </w:r>
      <w:r w:rsidRPr="002D2F45">
        <w:rPr>
          <w:rFonts w:ascii="Times New Roman" w:hAnsi="Times New Roman" w:cs="Times New Roman" w:hint="eastAsia"/>
        </w:rPr>
        <w:t>2019</w:t>
      </w:r>
      <w:r w:rsidRPr="002D2F45">
        <w:rPr>
          <w:rFonts w:ascii="Times New Roman" w:hAnsi="Times New Roman" w:cs="Times New Roman" w:hint="eastAsia"/>
        </w:rPr>
        <w:t>中国优金融奖”颁奖盛典，博时基金凭借“政策响应、行业领先、实体支持、创新赋能”等方面的综合卓越表现，荣获“年度基金公司”大奖以及“</w:t>
      </w:r>
      <w:r w:rsidRPr="002D2F45">
        <w:rPr>
          <w:rFonts w:ascii="Times New Roman" w:hAnsi="Times New Roman" w:cs="Times New Roman" w:hint="eastAsia"/>
        </w:rPr>
        <w:t>2019</w:t>
      </w:r>
      <w:r w:rsidRPr="002D2F45">
        <w:rPr>
          <w:rFonts w:ascii="Times New Roman" w:hAnsi="Times New Roman" w:cs="Times New Roman" w:hint="eastAsia"/>
        </w:rPr>
        <w:t>中国好品牌”。</w:t>
      </w:r>
    </w:p>
    <w:p w:rsidR="002D2F45" w:rsidRPr="002D2F45" w:rsidRDefault="002D2F45" w:rsidP="002D2F45">
      <w:pPr>
        <w:pStyle w:val="new0"/>
        <w:rPr>
          <w:rFonts w:ascii="Times New Roman" w:hAnsi="Times New Roman" w:cs="Times New Roman" w:hint="eastAsia"/>
        </w:rPr>
      </w:pPr>
      <w:r w:rsidRPr="002D2F45">
        <w:rPr>
          <w:rFonts w:ascii="Times New Roman" w:hAnsi="Times New Roman" w:cs="Times New Roman" w:hint="eastAsia"/>
        </w:rPr>
        <w:t>2019</w:t>
      </w:r>
      <w:r w:rsidRPr="002D2F45">
        <w:rPr>
          <w:rFonts w:ascii="Times New Roman" w:hAnsi="Times New Roman" w:cs="Times New Roman" w:hint="eastAsia"/>
        </w:rPr>
        <w:t>年</w:t>
      </w:r>
      <w:r w:rsidRPr="002D2F45">
        <w:rPr>
          <w:rFonts w:ascii="Times New Roman" w:hAnsi="Times New Roman" w:cs="Times New Roman" w:hint="eastAsia"/>
        </w:rPr>
        <w:t>12</w:t>
      </w:r>
      <w:r w:rsidRPr="002D2F45">
        <w:rPr>
          <w:rFonts w:ascii="Times New Roman" w:hAnsi="Times New Roman" w:cs="Times New Roman" w:hint="eastAsia"/>
        </w:rPr>
        <w:t>月</w:t>
      </w:r>
      <w:r w:rsidRPr="002D2F45">
        <w:rPr>
          <w:rFonts w:ascii="Times New Roman" w:hAnsi="Times New Roman" w:cs="Times New Roman" w:hint="eastAsia"/>
        </w:rPr>
        <w:t>21</w:t>
      </w:r>
      <w:r w:rsidRPr="002D2F45">
        <w:rPr>
          <w:rFonts w:ascii="Times New Roman" w:hAnsi="Times New Roman" w:cs="Times New Roman" w:hint="eastAsia"/>
        </w:rPr>
        <w:t>日，和讯网“第十七届财经风云榜金融峰会”在上海举办，博时基金荣获“年度卓越影响力基金公司”，博时基金葛晨获“年度卓越公募基金经理”。</w:t>
      </w:r>
    </w:p>
    <w:p w:rsidR="002D2F45" w:rsidRPr="002D2F45" w:rsidRDefault="002D2F45" w:rsidP="002D2F45">
      <w:pPr>
        <w:pStyle w:val="new0"/>
        <w:rPr>
          <w:rFonts w:ascii="Times New Roman" w:hAnsi="Times New Roman" w:cs="Times New Roman" w:hint="eastAsia"/>
        </w:rPr>
      </w:pPr>
      <w:r w:rsidRPr="002D2F45">
        <w:rPr>
          <w:rFonts w:ascii="Times New Roman" w:hAnsi="Times New Roman" w:cs="Times New Roman" w:hint="eastAsia"/>
        </w:rPr>
        <w:t>2019</w:t>
      </w:r>
      <w:r w:rsidRPr="002D2F45">
        <w:rPr>
          <w:rFonts w:ascii="Times New Roman" w:hAnsi="Times New Roman" w:cs="Times New Roman" w:hint="eastAsia"/>
        </w:rPr>
        <w:t>年</w:t>
      </w:r>
      <w:r w:rsidRPr="002D2F45">
        <w:rPr>
          <w:rFonts w:ascii="Times New Roman" w:hAnsi="Times New Roman" w:cs="Times New Roman" w:hint="eastAsia"/>
        </w:rPr>
        <w:t>12</w:t>
      </w:r>
      <w:r w:rsidRPr="002D2F45">
        <w:rPr>
          <w:rFonts w:ascii="Times New Roman" w:hAnsi="Times New Roman" w:cs="Times New Roman" w:hint="eastAsia"/>
        </w:rPr>
        <w:t>月</w:t>
      </w:r>
      <w:r w:rsidRPr="002D2F45">
        <w:rPr>
          <w:rFonts w:ascii="Times New Roman" w:hAnsi="Times New Roman" w:cs="Times New Roman" w:hint="eastAsia"/>
        </w:rPr>
        <w:t>20</w:t>
      </w:r>
      <w:r w:rsidRPr="002D2F45">
        <w:rPr>
          <w:rFonts w:ascii="Times New Roman" w:hAnsi="Times New Roman" w:cs="Times New Roman" w:hint="eastAsia"/>
        </w:rPr>
        <w:t>日，华夏时报“华夏机构投资者年会暨第十三届金蝉奖颁奖典礼”在北京举办。博时基金荣获“年度投</w:t>
      </w:r>
      <w:proofErr w:type="gramStart"/>
      <w:r w:rsidRPr="002D2F45">
        <w:rPr>
          <w:rFonts w:ascii="Times New Roman" w:hAnsi="Times New Roman" w:cs="Times New Roman" w:hint="eastAsia"/>
        </w:rPr>
        <w:t>研</w:t>
      </w:r>
      <w:proofErr w:type="gramEnd"/>
      <w:r w:rsidRPr="002D2F45">
        <w:rPr>
          <w:rFonts w:ascii="Times New Roman" w:hAnsi="Times New Roman" w:cs="Times New Roman" w:hint="eastAsia"/>
        </w:rPr>
        <w:t>领先公募基金公司”。</w:t>
      </w:r>
    </w:p>
    <w:p w:rsidR="002D2F45" w:rsidRPr="002D2F45" w:rsidRDefault="002D2F45" w:rsidP="002D2F45">
      <w:pPr>
        <w:pStyle w:val="new0"/>
        <w:rPr>
          <w:rFonts w:ascii="Times New Roman" w:hAnsi="Times New Roman" w:cs="Times New Roman" w:hint="eastAsia"/>
        </w:rPr>
      </w:pPr>
      <w:r w:rsidRPr="002D2F45">
        <w:rPr>
          <w:rFonts w:ascii="Times New Roman" w:hAnsi="Times New Roman" w:cs="Times New Roman" w:hint="eastAsia"/>
        </w:rPr>
        <w:t>2019</w:t>
      </w:r>
      <w:r w:rsidRPr="002D2F45">
        <w:rPr>
          <w:rFonts w:ascii="Times New Roman" w:hAnsi="Times New Roman" w:cs="Times New Roman" w:hint="eastAsia"/>
        </w:rPr>
        <w:t>年</w:t>
      </w:r>
      <w:r w:rsidRPr="002D2F45">
        <w:rPr>
          <w:rFonts w:ascii="Times New Roman" w:hAnsi="Times New Roman" w:cs="Times New Roman" w:hint="eastAsia"/>
        </w:rPr>
        <w:t>12</w:t>
      </w:r>
      <w:r w:rsidRPr="002D2F45">
        <w:rPr>
          <w:rFonts w:ascii="Times New Roman" w:hAnsi="Times New Roman" w:cs="Times New Roman" w:hint="eastAsia"/>
        </w:rPr>
        <w:t>月</w:t>
      </w:r>
      <w:r w:rsidRPr="002D2F45">
        <w:rPr>
          <w:rFonts w:ascii="Times New Roman" w:hAnsi="Times New Roman" w:cs="Times New Roman" w:hint="eastAsia"/>
        </w:rPr>
        <w:t>12</w:t>
      </w:r>
      <w:r w:rsidRPr="002D2F45">
        <w:rPr>
          <w:rFonts w:ascii="Times New Roman" w:hAnsi="Times New Roman" w:cs="Times New Roman" w:hint="eastAsia"/>
        </w:rPr>
        <w:t>日，投资者网“</w:t>
      </w:r>
      <w:r w:rsidRPr="002D2F45">
        <w:rPr>
          <w:rFonts w:ascii="Times New Roman" w:hAnsi="Times New Roman" w:cs="Times New Roman" w:hint="eastAsia"/>
        </w:rPr>
        <w:t>2019</w:t>
      </w:r>
      <w:r w:rsidRPr="002D2F45">
        <w:rPr>
          <w:rFonts w:ascii="Times New Roman" w:hAnsi="Times New Roman" w:cs="Times New Roman" w:hint="eastAsia"/>
        </w:rPr>
        <w:t>中国投资年度排名颁奖典礼”在上海隆重举行。博时基金荣获“年度值得信任卓越基金公司”。</w:t>
      </w:r>
    </w:p>
    <w:p w:rsidR="002D2F45" w:rsidRPr="002D2F45" w:rsidRDefault="002D2F45" w:rsidP="002D2F45">
      <w:pPr>
        <w:pStyle w:val="new0"/>
        <w:rPr>
          <w:rFonts w:ascii="Times New Roman" w:hAnsi="Times New Roman" w:cs="Times New Roman" w:hint="eastAsia"/>
        </w:rPr>
      </w:pPr>
      <w:r w:rsidRPr="002D2F45">
        <w:rPr>
          <w:rFonts w:ascii="Times New Roman" w:hAnsi="Times New Roman" w:cs="Times New Roman" w:hint="eastAsia"/>
        </w:rPr>
        <w:t>2019</w:t>
      </w:r>
      <w:r w:rsidRPr="002D2F45">
        <w:rPr>
          <w:rFonts w:ascii="Times New Roman" w:hAnsi="Times New Roman" w:cs="Times New Roman" w:hint="eastAsia"/>
        </w:rPr>
        <w:t>年</w:t>
      </w:r>
      <w:r w:rsidRPr="002D2F45">
        <w:rPr>
          <w:rFonts w:ascii="Times New Roman" w:hAnsi="Times New Roman" w:cs="Times New Roman" w:hint="eastAsia"/>
        </w:rPr>
        <w:t>12</w:t>
      </w:r>
      <w:r w:rsidRPr="002D2F45">
        <w:rPr>
          <w:rFonts w:ascii="Times New Roman" w:hAnsi="Times New Roman" w:cs="Times New Roman" w:hint="eastAsia"/>
        </w:rPr>
        <w:t>月</w:t>
      </w:r>
      <w:r w:rsidRPr="002D2F45">
        <w:rPr>
          <w:rFonts w:ascii="Times New Roman" w:hAnsi="Times New Roman" w:cs="Times New Roman" w:hint="eastAsia"/>
        </w:rPr>
        <w:t>10</w:t>
      </w:r>
      <w:r w:rsidRPr="002D2F45">
        <w:rPr>
          <w:rFonts w:ascii="Times New Roman" w:hAnsi="Times New Roman" w:cs="Times New Roman" w:hint="eastAsia"/>
        </w:rPr>
        <w:t>日，投资时报“见未来”——</w:t>
      </w:r>
      <w:r w:rsidRPr="002D2F45">
        <w:rPr>
          <w:rFonts w:ascii="Times New Roman" w:hAnsi="Times New Roman" w:cs="Times New Roman" w:hint="eastAsia"/>
        </w:rPr>
        <w:t>2019</w:t>
      </w:r>
      <w:r w:rsidRPr="002D2F45">
        <w:rPr>
          <w:rFonts w:ascii="Times New Roman" w:hAnsi="Times New Roman" w:cs="Times New Roman" w:hint="eastAsia"/>
        </w:rPr>
        <w:t>第二届资本市场高峰论坛暨金禧奖年度颁奖盛典在京举办，博时基金荣获投资时报颁发的</w:t>
      </w:r>
      <w:r w:rsidRPr="002D2F45">
        <w:rPr>
          <w:rFonts w:ascii="Times New Roman" w:hAnsi="Times New Roman" w:cs="Times New Roman" w:hint="eastAsia"/>
        </w:rPr>
        <w:t>2019</w:t>
      </w:r>
      <w:r w:rsidRPr="002D2F45">
        <w:rPr>
          <w:rFonts w:ascii="Times New Roman" w:hAnsi="Times New Roman" w:cs="Times New Roman" w:hint="eastAsia"/>
        </w:rPr>
        <w:t>年度金禧奖“</w:t>
      </w:r>
      <w:r w:rsidRPr="002D2F45">
        <w:rPr>
          <w:rFonts w:ascii="Times New Roman" w:hAnsi="Times New Roman" w:cs="Times New Roman" w:hint="eastAsia"/>
        </w:rPr>
        <w:t>2019</w:t>
      </w:r>
      <w:r w:rsidRPr="002D2F45">
        <w:rPr>
          <w:rFonts w:ascii="Times New Roman" w:hAnsi="Times New Roman" w:cs="Times New Roman" w:hint="eastAsia"/>
        </w:rPr>
        <w:t>最佳公募基金公司奖”。</w:t>
      </w:r>
    </w:p>
    <w:p w:rsidR="002D2F45" w:rsidRPr="002D2F45" w:rsidRDefault="002D2F45" w:rsidP="002D2F45">
      <w:pPr>
        <w:pStyle w:val="new0"/>
        <w:rPr>
          <w:rFonts w:ascii="Times New Roman" w:hAnsi="Times New Roman" w:cs="Times New Roman" w:hint="eastAsia"/>
        </w:rPr>
      </w:pPr>
      <w:r w:rsidRPr="002D2F45">
        <w:rPr>
          <w:rFonts w:ascii="Times New Roman" w:hAnsi="Times New Roman" w:cs="Times New Roman" w:hint="eastAsia"/>
        </w:rPr>
        <w:t>2019</w:t>
      </w:r>
      <w:r w:rsidRPr="002D2F45">
        <w:rPr>
          <w:rFonts w:ascii="Times New Roman" w:hAnsi="Times New Roman" w:cs="Times New Roman" w:hint="eastAsia"/>
        </w:rPr>
        <w:t>年</w:t>
      </w:r>
      <w:r w:rsidRPr="002D2F45">
        <w:rPr>
          <w:rFonts w:ascii="Times New Roman" w:hAnsi="Times New Roman" w:cs="Times New Roman" w:hint="eastAsia"/>
        </w:rPr>
        <w:t>12</w:t>
      </w:r>
      <w:r w:rsidRPr="002D2F45">
        <w:rPr>
          <w:rFonts w:ascii="Times New Roman" w:hAnsi="Times New Roman" w:cs="Times New Roman" w:hint="eastAsia"/>
        </w:rPr>
        <w:t>月</w:t>
      </w:r>
      <w:r w:rsidRPr="002D2F45">
        <w:rPr>
          <w:rFonts w:ascii="Times New Roman" w:hAnsi="Times New Roman" w:cs="Times New Roman" w:hint="eastAsia"/>
        </w:rPr>
        <w:t>5</w:t>
      </w:r>
      <w:r w:rsidRPr="002D2F45">
        <w:rPr>
          <w:rFonts w:ascii="Times New Roman" w:hAnsi="Times New Roman" w:cs="Times New Roman" w:hint="eastAsia"/>
        </w:rPr>
        <w:t>日，金融界“大变局·大视野·大未来”</w:t>
      </w:r>
      <w:r w:rsidRPr="002D2F45">
        <w:rPr>
          <w:rFonts w:ascii="Times New Roman" w:hAnsi="Times New Roman" w:cs="Times New Roman" w:hint="eastAsia"/>
        </w:rPr>
        <w:t xml:space="preserve"> </w:t>
      </w:r>
      <w:r w:rsidRPr="002D2F45">
        <w:rPr>
          <w:rFonts w:ascii="Times New Roman" w:hAnsi="Times New Roman" w:cs="Times New Roman" w:hint="eastAsia"/>
        </w:rPr>
        <w:t>——第四届智能金融国际论坛暨</w:t>
      </w:r>
      <w:r w:rsidRPr="002D2F45">
        <w:rPr>
          <w:rFonts w:ascii="Times New Roman" w:hAnsi="Times New Roman" w:cs="Times New Roman" w:hint="eastAsia"/>
        </w:rPr>
        <w:t>2019</w:t>
      </w:r>
      <w:r w:rsidRPr="002D2F45">
        <w:rPr>
          <w:rFonts w:ascii="Times New Roman" w:hAnsi="Times New Roman" w:cs="Times New Roman" w:hint="eastAsia"/>
        </w:rPr>
        <w:t>金融界“领航中国”年度盛典在北京举行，博时基金斩获四项大奖，博时基金荣获“杰出年度基金公司奖”，凭借在金融科技方面的杰出贡献，获得“杰出年度智能金融品牌奖”，博时基金总经理江向阳荣获“杰出年度基金领袖奖”，博时基金王俊荣获“杰出年度基金经理奖”。</w:t>
      </w:r>
    </w:p>
    <w:p w:rsidR="002D2F45" w:rsidRPr="002D2F45" w:rsidRDefault="002D2F45" w:rsidP="002D2F45">
      <w:pPr>
        <w:pStyle w:val="new0"/>
        <w:rPr>
          <w:rFonts w:ascii="Times New Roman" w:hAnsi="Times New Roman" w:cs="Times New Roman" w:hint="eastAsia"/>
        </w:rPr>
      </w:pPr>
      <w:r w:rsidRPr="002D2F45">
        <w:rPr>
          <w:rFonts w:ascii="Times New Roman" w:hAnsi="Times New Roman" w:cs="Times New Roman" w:hint="eastAsia"/>
        </w:rPr>
        <w:t>2019</w:t>
      </w:r>
      <w:r w:rsidRPr="002D2F45">
        <w:rPr>
          <w:rFonts w:ascii="Times New Roman" w:hAnsi="Times New Roman" w:cs="Times New Roman" w:hint="eastAsia"/>
        </w:rPr>
        <w:t>年</w:t>
      </w:r>
      <w:r w:rsidRPr="002D2F45">
        <w:rPr>
          <w:rFonts w:ascii="Times New Roman" w:hAnsi="Times New Roman" w:cs="Times New Roman" w:hint="eastAsia"/>
        </w:rPr>
        <w:t>12</w:t>
      </w:r>
      <w:r w:rsidRPr="002D2F45">
        <w:rPr>
          <w:rFonts w:ascii="Times New Roman" w:hAnsi="Times New Roman" w:cs="Times New Roman" w:hint="eastAsia"/>
        </w:rPr>
        <w:t>月</w:t>
      </w:r>
      <w:r w:rsidRPr="002D2F45">
        <w:rPr>
          <w:rFonts w:ascii="Times New Roman" w:hAnsi="Times New Roman" w:cs="Times New Roman" w:hint="eastAsia"/>
        </w:rPr>
        <w:t>5</w:t>
      </w:r>
      <w:r w:rsidRPr="002D2F45">
        <w:rPr>
          <w:rFonts w:ascii="Times New Roman" w:hAnsi="Times New Roman" w:cs="Times New Roman" w:hint="eastAsia"/>
        </w:rPr>
        <w:t>日，</w:t>
      </w:r>
      <w:r w:rsidRPr="002D2F45">
        <w:rPr>
          <w:rFonts w:ascii="Times New Roman" w:hAnsi="Times New Roman" w:cs="Times New Roman" w:hint="eastAsia"/>
        </w:rPr>
        <w:t>21</w:t>
      </w:r>
      <w:r w:rsidRPr="002D2F45">
        <w:rPr>
          <w:rFonts w:ascii="Times New Roman" w:hAnsi="Times New Roman" w:cs="Times New Roman" w:hint="eastAsia"/>
        </w:rPr>
        <w:t>世纪财经“金帆奖”颁奖典礼在广州举行，博时基金凭借在业内所取得的突出成就与贡献，获得“</w:t>
      </w:r>
      <w:r w:rsidRPr="002D2F45">
        <w:rPr>
          <w:rFonts w:ascii="Times New Roman" w:hAnsi="Times New Roman" w:cs="Times New Roman" w:hint="eastAsia"/>
        </w:rPr>
        <w:t>2019</w:t>
      </w:r>
      <w:r w:rsidRPr="002D2F45">
        <w:rPr>
          <w:rFonts w:ascii="Times New Roman" w:hAnsi="Times New Roman" w:cs="Times New Roman" w:hint="eastAsia"/>
        </w:rPr>
        <w:t>年度基金管理公司金帆奖”。</w:t>
      </w:r>
    </w:p>
    <w:p w:rsidR="002D2F45" w:rsidRPr="002D2F45" w:rsidRDefault="002D2F45" w:rsidP="002D2F45">
      <w:pPr>
        <w:pStyle w:val="new0"/>
        <w:rPr>
          <w:rFonts w:ascii="Times New Roman" w:hAnsi="Times New Roman" w:cs="Times New Roman" w:hint="eastAsia"/>
        </w:rPr>
      </w:pPr>
      <w:r w:rsidRPr="002D2F45">
        <w:rPr>
          <w:rFonts w:ascii="Times New Roman" w:hAnsi="Times New Roman" w:cs="Times New Roman" w:hint="eastAsia"/>
        </w:rPr>
        <w:t>2019</w:t>
      </w:r>
      <w:r w:rsidRPr="002D2F45">
        <w:rPr>
          <w:rFonts w:ascii="Times New Roman" w:hAnsi="Times New Roman" w:cs="Times New Roman" w:hint="eastAsia"/>
        </w:rPr>
        <w:t>年</w:t>
      </w:r>
      <w:r w:rsidRPr="002D2F45">
        <w:rPr>
          <w:rFonts w:ascii="Times New Roman" w:hAnsi="Times New Roman" w:cs="Times New Roman" w:hint="eastAsia"/>
        </w:rPr>
        <w:t>11</w:t>
      </w:r>
      <w:r w:rsidRPr="002D2F45">
        <w:rPr>
          <w:rFonts w:ascii="Times New Roman" w:hAnsi="Times New Roman" w:cs="Times New Roman" w:hint="eastAsia"/>
        </w:rPr>
        <w:t>月</w:t>
      </w:r>
      <w:r w:rsidRPr="002D2F45">
        <w:rPr>
          <w:rFonts w:ascii="Times New Roman" w:hAnsi="Times New Roman" w:cs="Times New Roman" w:hint="eastAsia"/>
        </w:rPr>
        <w:t>29</w:t>
      </w:r>
      <w:r w:rsidRPr="002D2F45">
        <w:rPr>
          <w:rFonts w:ascii="Times New Roman" w:hAnsi="Times New Roman" w:cs="Times New Roman" w:hint="eastAsia"/>
        </w:rPr>
        <w:t>日，《经济观察报》在北京举办了“卓越金融企业”颁奖典礼，博时基金荣获“年度卓越综合实力基金公司”奖项。</w:t>
      </w:r>
    </w:p>
    <w:p w:rsidR="002D2F45" w:rsidRPr="002D2F45" w:rsidRDefault="002D2F45" w:rsidP="002D2F45">
      <w:pPr>
        <w:pStyle w:val="new0"/>
        <w:rPr>
          <w:rFonts w:ascii="Times New Roman" w:hAnsi="Times New Roman" w:cs="Times New Roman" w:hint="eastAsia"/>
        </w:rPr>
      </w:pPr>
      <w:r w:rsidRPr="002D2F45">
        <w:rPr>
          <w:rFonts w:ascii="Times New Roman" w:hAnsi="Times New Roman" w:cs="Times New Roman" w:hint="eastAsia"/>
        </w:rPr>
        <w:lastRenderedPageBreak/>
        <w:t>2019</w:t>
      </w:r>
      <w:r w:rsidRPr="002D2F45">
        <w:rPr>
          <w:rFonts w:ascii="Times New Roman" w:hAnsi="Times New Roman" w:cs="Times New Roman" w:hint="eastAsia"/>
        </w:rPr>
        <w:t>年</w:t>
      </w:r>
      <w:r w:rsidRPr="002D2F45">
        <w:rPr>
          <w:rFonts w:ascii="Times New Roman" w:hAnsi="Times New Roman" w:cs="Times New Roman" w:hint="eastAsia"/>
        </w:rPr>
        <w:t>11</w:t>
      </w:r>
      <w:r w:rsidRPr="002D2F45">
        <w:rPr>
          <w:rFonts w:ascii="Times New Roman" w:hAnsi="Times New Roman" w:cs="Times New Roman" w:hint="eastAsia"/>
        </w:rPr>
        <w:t>月</w:t>
      </w:r>
      <w:r w:rsidRPr="002D2F45">
        <w:rPr>
          <w:rFonts w:ascii="Times New Roman" w:hAnsi="Times New Roman" w:cs="Times New Roman" w:hint="eastAsia"/>
        </w:rPr>
        <w:t>29</w:t>
      </w:r>
      <w:r w:rsidRPr="002D2F45">
        <w:rPr>
          <w:rFonts w:ascii="Times New Roman" w:hAnsi="Times New Roman" w:cs="Times New Roman" w:hint="eastAsia"/>
        </w:rPr>
        <w:t>日，北京商报“寻路未来金融”——</w:t>
      </w:r>
      <w:r w:rsidRPr="002D2F45">
        <w:rPr>
          <w:rFonts w:ascii="Times New Roman" w:hAnsi="Times New Roman" w:cs="Times New Roman" w:hint="eastAsia"/>
        </w:rPr>
        <w:t>2019</w:t>
      </w:r>
      <w:r w:rsidRPr="002D2F45">
        <w:rPr>
          <w:rFonts w:ascii="Times New Roman" w:hAnsi="Times New Roman" w:cs="Times New Roman" w:hint="eastAsia"/>
        </w:rPr>
        <w:t>年度北京金融论坛在京举办，博时基金凭借优秀的投</w:t>
      </w:r>
      <w:proofErr w:type="gramStart"/>
      <w:r w:rsidRPr="002D2F45">
        <w:rPr>
          <w:rFonts w:ascii="Times New Roman" w:hAnsi="Times New Roman" w:cs="Times New Roman" w:hint="eastAsia"/>
        </w:rPr>
        <w:t>研</w:t>
      </w:r>
      <w:proofErr w:type="gramEnd"/>
      <w:r w:rsidRPr="002D2F45">
        <w:rPr>
          <w:rFonts w:ascii="Times New Roman" w:hAnsi="Times New Roman" w:cs="Times New Roman" w:hint="eastAsia"/>
        </w:rPr>
        <w:t>能力及全面的产品布局，荣获“北京金融业十大金融品牌——产品创新奖”。</w:t>
      </w:r>
    </w:p>
    <w:p w:rsidR="002D2F45" w:rsidRPr="002D2F45" w:rsidRDefault="002D2F45" w:rsidP="002D2F45">
      <w:pPr>
        <w:pStyle w:val="new0"/>
        <w:rPr>
          <w:rFonts w:ascii="Times New Roman" w:hAnsi="Times New Roman" w:cs="Times New Roman" w:hint="eastAsia"/>
        </w:rPr>
      </w:pPr>
      <w:r w:rsidRPr="002D2F45">
        <w:rPr>
          <w:rFonts w:ascii="Times New Roman" w:hAnsi="Times New Roman" w:cs="Times New Roman" w:hint="eastAsia"/>
        </w:rPr>
        <w:t>2019</w:t>
      </w:r>
      <w:r w:rsidRPr="002D2F45">
        <w:rPr>
          <w:rFonts w:ascii="Times New Roman" w:hAnsi="Times New Roman" w:cs="Times New Roman" w:hint="eastAsia"/>
        </w:rPr>
        <w:t>年</w:t>
      </w:r>
      <w:r w:rsidRPr="002D2F45">
        <w:rPr>
          <w:rFonts w:ascii="Times New Roman" w:hAnsi="Times New Roman" w:cs="Times New Roman" w:hint="eastAsia"/>
        </w:rPr>
        <w:t>11</w:t>
      </w:r>
      <w:r w:rsidRPr="002D2F45">
        <w:rPr>
          <w:rFonts w:ascii="Times New Roman" w:hAnsi="Times New Roman" w:cs="Times New Roman" w:hint="eastAsia"/>
        </w:rPr>
        <w:t>月</w:t>
      </w:r>
      <w:r w:rsidRPr="002D2F45">
        <w:rPr>
          <w:rFonts w:ascii="Times New Roman" w:hAnsi="Times New Roman" w:cs="Times New Roman" w:hint="eastAsia"/>
        </w:rPr>
        <w:t>28</w:t>
      </w:r>
      <w:r w:rsidRPr="002D2F45">
        <w:rPr>
          <w:rFonts w:ascii="Times New Roman" w:hAnsi="Times New Roman" w:cs="Times New Roman" w:hint="eastAsia"/>
        </w:rPr>
        <w:t>日，新浪财经</w:t>
      </w:r>
      <w:r w:rsidRPr="002D2F45">
        <w:rPr>
          <w:rFonts w:ascii="Times New Roman" w:hAnsi="Times New Roman" w:cs="Times New Roman" w:hint="eastAsia"/>
        </w:rPr>
        <w:t>2019</w:t>
      </w:r>
      <w:proofErr w:type="gramStart"/>
      <w:r w:rsidRPr="002D2F45">
        <w:rPr>
          <w:rFonts w:ascii="Times New Roman" w:hAnsi="Times New Roman" w:cs="Times New Roman" w:hint="eastAsia"/>
        </w:rPr>
        <w:t>新浪金麒麟</w:t>
      </w:r>
      <w:proofErr w:type="gramEnd"/>
      <w:r w:rsidRPr="002D2F45">
        <w:rPr>
          <w:rFonts w:ascii="Times New Roman" w:hAnsi="Times New Roman" w:cs="Times New Roman" w:hint="eastAsia"/>
        </w:rPr>
        <w:t>论坛·</w:t>
      </w:r>
      <w:r w:rsidRPr="002D2F45">
        <w:rPr>
          <w:rFonts w:ascii="Times New Roman" w:hAnsi="Times New Roman" w:cs="Times New Roman" w:hint="eastAsia"/>
        </w:rPr>
        <w:t>ESG</w:t>
      </w:r>
      <w:r w:rsidRPr="002D2F45">
        <w:rPr>
          <w:rFonts w:ascii="Times New Roman" w:hAnsi="Times New Roman" w:cs="Times New Roman" w:hint="eastAsia"/>
        </w:rPr>
        <w:t>峰会在北京举办，会上公布了</w:t>
      </w:r>
      <w:r w:rsidRPr="002D2F45">
        <w:rPr>
          <w:rFonts w:ascii="Times New Roman" w:hAnsi="Times New Roman" w:cs="Times New Roman" w:hint="eastAsia"/>
        </w:rPr>
        <w:t>2019</w:t>
      </w:r>
      <w:r w:rsidRPr="002D2F45">
        <w:rPr>
          <w:rFonts w:ascii="Times New Roman" w:hAnsi="Times New Roman" w:cs="Times New Roman" w:hint="eastAsia"/>
        </w:rPr>
        <w:t>中国企业</w:t>
      </w:r>
      <w:r w:rsidRPr="002D2F45">
        <w:rPr>
          <w:rFonts w:ascii="Times New Roman" w:hAnsi="Times New Roman" w:cs="Times New Roman" w:hint="eastAsia"/>
        </w:rPr>
        <w:t>ESG</w:t>
      </w:r>
      <w:r w:rsidRPr="002D2F45">
        <w:rPr>
          <w:rFonts w:ascii="Times New Roman" w:hAnsi="Times New Roman" w:cs="Times New Roman" w:hint="eastAsia"/>
        </w:rPr>
        <w:t>“金责奖”评选名单，意在嘉奖那些对中国</w:t>
      </w:r>
      <w:r w:rsidRPr="002D2F45">
        <w:rPr>
          <w:rFonts w:ascii="Times New Roman" w:hAnsi="Times New Roman" w:cs="Times New Roman" w:hint="eastAsia"/>
        </w:rPr>
        <w:t>ESG</w:t>
      </w:r>
      <w:r w:rsidRPr="002D2F45">
        <w:rPr>
          <w:rFonts w:ascii="Times New Roman" w:hAnsi="Times New Roman" w:cs="Times New Roman" w:hint="eastAsia"/>
        </w:rPr>
        <w:t>事业做出卓越贡献的企业和机构，博时基金荣获</w:t>
      </w:r>
      <w:r w:rsidRPr="002D2F45">
        <w:rPr>
          <w:rFonts w:ascii="Times New Roman" w:hAnsi="Times New Roman" w:cs="Times New Roman" w:hint="eastAsia"/>
        </w:rPr>
        <w:t>2019</w:t>
      </w:r>
      <w:r w:rsidRPr="002D2F45">
        <w:rPr>
          <w:rFonts w:ascii="Times New Roman" w:hAnsi="Times New Roman" w:cs="Times New Roman" w:hint="eastAsia"/>
        </w:rPr>
        <w:t>中国企业</w:t>
      </w:r>
      <w:r w:rsidRPr="002D2F45">
        <w:rPr>
          <w:rFonts w:ascii="Times New Roman" w:hAnsi="Times New Roman" w:cs="Times New Roman" w:hint="eastAsia"/>
        </w:rPr>
        <w:t>ESG</w:t>
      </w:r>
      <w:proofErr w:type="gramStart"/>
      <w:r w:rsidRPr="002D2F45">
        <w:rPr>
          <w:rFonts w:ascii="Times New Roman" w:hAnsi="Times New Roman" w:cs="Times New Roman" w:hint="eastAsia"/>
        </w:rPr>
        <w:t>金责奖</w:t>
      </w:r>
      <w:proofErr w:type="gramEnd"/>
      <w:r w:rsidRPr="002D2F45">
        <w:rPr>
          <w:rFonts w:ascii="Times New Roman" w:hAnsi="Times New Roman" w:cs="Times New Roman" w:hint="eastAsia"/>
        </w:rPr>
        <w:t>——“责任投资最佳基金公司奖”。</w:t>
      </w:r>
    </w:p>
    <w:p w:rsidR="002D2F45" w:rsidRPr="002D2F45" w:rsidRDefault="002D2F45" w:rsidP="002D2F45">
      <w:pPr>
        <w:pStyle w:val="new0"/>
        <w:rPr>
          <w:rFonts w:ascii="Times New Roman" w:hAnsi="Times New Roman" w:cs="Times New Roman" w:hint="eastAsia"/>
        </w:rPr>
      </w:pPr>
      <w:r w:rsidRPr="002D2F45">
        <w:rPr>
          <w:rFonts w:ascii="Times New Roman" w:hAnsi="Times New Roman" w:cs="Times New Roman" w:hint="eastAsia"/>
        </w:rPr>
        <w:t>2019</w:t>
      </w:r>
      <w:r w:rsidRPr="002D2F45">
        <w:rPr>
          <w:rFonts w:ascii="Times New Roman" w:hAnsi="Times New Roman" w:cs="Times New Roman" w:hint="eastAsia"/>
        </w:rPr>
        <w:t>年</w:t>
      </w:r>
      <w:r w:rsidRPr="002D2F45">
        <w:rPr>
          <w:rFonts w:ascii="Times New Roman" w:hAnsi="Times New Roman" w:cs="Times New Roman" w:hint="eastAsia"/>
        </w:rPr>
        <w:t>11</w:t>
      </w:r>
      <w:r w:rsidRPr="002D2F45">
        <w:rPr>
          <w:rFonts w:ascii="Times New Roman" w:hAnsi="Times New Roman" w:cs="Times New Roman" w:hint="eastAsia"/>
        </w:rPr>
        <w:t>月</w:t>
      </w:r>
      <w:r w:rsidRPr="002D2F45">
        <w:rPr>
          <w:rFonts w:ascii="Times New Roman" w:hAnsi="Times New Roman" w:cs="Times New Roman" w:hint="eastAsia"/>
        </w:rPr>
        <w:t>22</w:t>
      </w:r>
      <w:r w:rsidRPr="002D2F45">
        <w:rPr>
          <w:rFonts w:ascii="Times New Roman" w:hAnsi="Times New Roman" w:cs="Times New Roman" w:hint="eastAsia"/>
        </w:rPr>
        <w:t>日，</w:t>
      </w:r>
      <w:r w:rsidRPr="002D2F45">
        <w:rPr>
          <w:rFonts w:ascii="Times New Roman" w:hAnsi="Times New Roman" w:cs="Times New Roman" w:hint="eastAsia"/>
        </w:rPr>
        <w:t>2019</w:t>
      </w:r>
      <w:r w:rsidRPr="002D2F45">
        <w:rPr>
          <w:rFonts w:ascii="Times New Roman" w:hAnsi="Times New Roman" w:cs="Times New Roman" w:hint="eastAsia"/>
        </w:rPr>
        <w:t>年度中国金融发展</w:t>
      </w:r>
      <w:proofErr w:type="gramStart"/>
      <w:r w:rsidRPr="002D2F45">
        <w:rPr>
          <w:rFonts w:ascii="Times New Roman" w:hAnsi="Times New Roman" w:cs="Times New Roman" w:hint="eastAsia"/>
        </w:rPr>
        <w:t>论坛暨金鼎</w:t>
      </w:r>
      <w:proofErr w:type="gramEnd"/>
      <w:r w:rsidRPr="002D2F45">
        <w:rPr>
          <w:rFonts w:ascii="Times New Roman" w:hAnsi="Times New Roman" w:cs="Times New Roman" w:hint="eastAsia"/>
        </w:rPr>
        <w:t>奖颁奖典礼在北京举行，在资产管理领域甄选出了一批优质的标杆企业。群雄逐鹿百舸争流，博时基金跻身新</w:t>
      </w:r>
      <w:proofErr w:type="gramStart"/>
      <w:r w:rsidRPr="002D2F45">
        <w:rPr>
          <w:rFonts w:ascii="Times New Roman" w:hAnsi="Times New Roman" w:cs="Times New Roman" w:hint="eastAsia"/>
        </w:rPr>
        <w:t>资管时代</w:t>
      </w:r>
      <w:proofErr w:type="gramEnd"/>
      <w:r w:rsidRPr="002D2F45">
        <w:rPr>
          <w:rFonts w:ascii="Times New Roman" w:hAnsi="Times New Roman" w:cs="Times New Roman" w:hint="eastAsia"/>
        </w:rPr>
        <w:t>的佼佼者，成功斩获“普惠金融奖”和“最佳海外固收产品奖”两项荣誉。</w:t>
      </w:r>
    </w:p>
    <w:p w:rsidR="002D2F45" w:rsidRPr="002D2F45" w:rsidRDefault="002D2F45" w:rsidP="002D2F45">
      <w:pPr>
        <w:pStyle w:val="new0"/>
        <w:rPr>
          <w:rFonts w:ascii="Times New Roman" w:hAnsi="Times New Roman" w:cs="Times New Roman" w:hint="eastAsia"/>
        </w:rPr>
      </w:pPr>
      <w:r w:rsidRPr="002D2F45">
        <w:rPr>
          <w:rFonts w:ascii="Times New Roman" w:hAnsi="Times New Roman" w:cs="Times New Roman" w:hint="eastAsia"/>
        </w:rPr>
        <w:t>2019</w:t>
      </w:r>
      <w:r w:rsidRPr="002D2F45">
        <w:rPr>
          <w:rFonts w:ascii="Times New Roman" w:hAnsi="Times New Roman" w:cs="Times New Roman" w:hint="eastAsia"/>
        </w:rPr>
        <w:t>年</w:t>
      </w:r>
      <w:r w:rsidRPr="002D2F45">
        <w:rPr>
          <w:rFonts w:ascii="Times New Roman" w:hAnsi="Times New Roman" w:cs="Times New Roman" w:hint="eastAsia"/>
        </w:rPr>
        <w:t>11</w:t>
      </w:r>
      <w:r w:rsidRPr="002D2F45">
        <w:rPr>
          <w:rFonts w:ascii="Times New Roman" w:hAnsi="Times New Roman" w:cs="Times New Roman" w:hint="eastAsia"/>
        </w:rPr>
        <w:t>月</w:t>
      </w:r>
      <w:r w:rsidRPr="002D2F45">
        <w:rPr>
          <w:rFonts w:ascii="Times New Roman" w:hAnsi="Times New Roman" w:cs="Times New Roman" w:hint="eastAsia"/>
        </w:rPr>
        <w:t>15</w:t>
      </w:r>
      <w:r w:rsidRPr="002D2F45">
        <w:rPr>
          <w:rFonts w:ascii="Times New Roman" w:hAnsi="Times New Roman" w:cs="Times New Roman" w:hint="eastAsia"/>
        </w:rPr>
        <w:t>日，中国经济网“</w:t>
      </w:r>
      <w:r w:rsidRPr="002D2F45">
        <w:rPr>
          <w:rFonts w:ascii="Times New Roman" w:hAnsi="Times New Roman" w:cs="Times New Roman" w:hint="eastAsia"/>
        </w:rPr>
        <w:t>2019</w:t>
      </w:r>
      <w:r w:rsidRPr="002D2F45">
        <w:rPr>
          <w:rFonts w:ascii="Times New Roman" w:hAnsi="Times New Roman" w:cs="Times New Roman" w:hint="eastAsia"/>
        </w:rPr>
        <w:t>中国金融服务于创新论坛”在北京举办，博时基金荣获“金融服务</w:t>
      </w:r>
      <w:r w:rsidRPr="002D2F45">
        <w:rPr>
          <w:rFonts w:ascii="Times New Roman" w:hAnsi="Times New Roman" w:cs="Times New Roman" w:hint="eastAsia"/>
        </w:rPr>
        <w:t>100</w:t>
      </w:r>
      <w:r w:rsidRPr="002D2F45">
        <w:rPr>
          <w:rFonts w:ascii="Times New Roman" w:hAnsi="Times New Roman" w:cs="Times New Roman" w:hint="eastAsia"/>
        </w:rPr>
        <w:t>强”及“金融创新</w:t>
      </w:r>
      <w:r w:rsidRPr="002D2F45">
        <w:rPr>
          <w:rFonts w:ascii="Times New Roman" w:hAnsi="Times New Roman" w:cs="Times New Roman" w:hint="eastAsia"/>
        </w:rPr>
        <w:t>100</w:t>
      </w:r>
      <w:r w:rsidRPr="002D2F45">
        <w:rPr>
          <w:rFonts w:ascii="Times New Roman" w:hAnsi="Times New Roman" w:cs="Times New Roman" w:hint="eastAsia"/>
        </w:rPr>
        <w:t>强”称号。</w:t>
      </w:r>
    </w:p>
    <w:p w:rsidR="002D2F45" w:rsidRPr="002D2F45" w:rsidRDefault="002D2F45" w:rsidP="002D2F45">
      <w:pPr>
        <w:pStyle w:val="new0"/>
        <w:rPr>
          <w:rFonts w:ascii="Times New Roman" w:hAnsi="Times New Roman" w:cs="Times New Roman" w:hint="eastAsia"/>
        </w:rPr>
      </w:pPr>
      <w:r w:rsidRPr="002D2F45">
        <w:rPr>
          <w:rFonts w:ascii="Times New Roman" w:hAnsi="Times New Roman" w:cs="Times New Roman" w:hint="eastAsia"/>
        </w:rPr>
        <w:t>2019</w:t>
      </w:r>
      <w:r w:rsidRPr="002D2F45">
        <w:rPr>
          <w:rFonts w:ascii="Times New Roman" w:hAnsi="Times New Roman" w:cs="Times New Roman" w:hint="eastAsia"/>
        </w:rPr>
        <w:t>年</w:t>
      </w:r>
      <w:r w:rsidRPr="002D2F45">
        <w:rPr>
          <w:rFonts w:ascii="Times New Roman" w:hAnsi="Times New Roman" w:cs="Times New Roman" w:hint="eastAsia"/>
        </w:rPr>
        <w:t>11</w:t>
      </w:r>
      <w:r w:rsidRPr="002D2F45">
        <w:rPr>
          <w:rFonts w:ascii="Times New Roman" w:hAnsi="Times New Roman" w:cs="Times New Roman" w:hint="eastAsia"/>
        </w:rPr>
        <w:t>月</w:t>
      </w:r>
      <w:r w:rsidRPr="002D2F45">
        <w:rPr>
          <w:rFonts w:ascii="Times New Roman" w:hAnsi="Times New Roman" w:cs="Times New Roman" w:hint="eastAsia"/>
        </w:rPr>
        <w:t>15</w:t>
      </w:r>
      <w:r w:rsidRPr="002D2F45">
        <w:rPr>
          <w:rFonts w:ascii="Times New Roman" w:hAnsi="Times New Roman" w:cs="Times New Roman" w:hint="eastAsia"/>
        </w:rPr>
        <w:t>日，</w:t>
      </w:r>
      <w:r w:rsidRPr="002D2F45">
        <w:rPr>
          <w:rFonts w:ascii="Times New Roman" w:hAnsi="Times New Roman" w:cs="Times New Roman" w:hint="eastAsia"/>
        </w:rPr>
        <w:t>2019</w:t>
      </w:r>
      <w:r w:rsidRPr="002D2F45">
        <w:rPr>
          <w:rFonts w:ascii="Times New Roman" w:hAnsi="Times New Roman" w:cs="Times New Roman" w:hint="eastAsia"/>
        </w:rPr>
        <w:t>年度第一财经金融价值榜（</w:t>
      </w:r>
      <w:r w:rsidRPr="002D2F45">
        <w:rPr>
          <w:rFonts w:ascii="Times New Roman" w:hAnsi="Times New Roman" w:cs="Times New Roman" w:hint="eastAsia"/>
        </w:rPr>
        <w:t>CFV</w:t>
      </w:r>
      <w:r w:rsidRPr="002D2F45">
        <w:rPr>
          <w:rFonts w:ascii="Times New Roman" w:hAnsi="Times New Roman" w:cs="Times New Roman" w:hint="eastAsia"/>
        </w:rPr>
        <w:t>）颁奖典礼在上海举行，博时基金凭借优秀的资产管理能力摘得“年度金融机构”奖项。</w:t>
      </w:r>
    </w:p>
    <w:p w:rsidR="002D2F45" w:rsidRPr="002D2F45" w:rsidRDefault="002D2F45" w:rsidP="002D2F45">
      <w:pPr>
        <w:pStyle w:val="new0"/>
        <w:rPr>
          <w:rFonts w:ascii="Times New Roman" w:hAnsi="Times New Roman" w:cs="Times New Roman" w:hint="eastAsia"/>
        </w:rPr>
      </w:pPr>
      <w:r w:rsidRPr="002D2F45">
        <w:rPr>
          <w:rFonts w:ascii="Times New Roman" w:hAnsi="Times New Roman" w:cs="Times New Roman" w:hint="eastAsia"/>
        </w:rPr>
        <w:t>2019</w:t>
      </w:r>
      <w:r w:rsidRPr="002D2F45">
        <w:rPr>
          <w:rFonts w:ascii="Times New Roman" w:hAnsi="Times New Roman" w:cs="Times New Roman" w:hint="eastAsia"/>
        </w:rPr>
        <w:t>年</w:t>
      </w:r>
      <w:r w:rsidRPr="002D2F45">
        <w:rPr>
          <w:rFonts w:ascii="Times New Roman" w:hAnsi="Times New Roman" w:cs="Times New Roman" w:hint="eastAsia"/>
        </w:rPr>
        <w:t>11</w:t>
      </w:r>
      <w:r w:rsidRPr="002D2F45">
        <w:rPr>
          <w:rFonts w:ascii="Times New Roman" w:hAnsi="Times New Roman" w:cs="Times New Roman" w:hint="eastAsia"/>
        </w:rPr>
        <w:t>月</w:t>
      </w:r>
      <w:r w:rsidRPr="002D2F45">
        <w:rPr>
          <w:rFonts w:ascii="Times New Roman" w:hAnsi="Times New Roman" w:cs="Times New Roman" w:hint="eastAsia"/>
        </w:rPr>
        <w:t>9</w:t>
      </w:r>
      <w:r w:rsidRPr="002D2F45">
        <w:rPr>
          <w:rFonts w:ascii="Times New Roman" w:hAnsi="Times New Roman" w:cs="Times New Roman" w:hint="eastAsia"/>
        </w:rPr>
        <w:t>日，人民日报社《国际金融报》和河南省商丘市人民政府共同主办的“第三届资本市场扶贫高峰论坛”在商丘市举办，博时基金荣获“年度扶贫企业奖”。</w:t>
      </w:r>
    </w:p>
    <w:p w:rsidR="00452BAA" w:rsidRPr="003531AD" w:rsidRDefault="002D2F45" w:rsidP="002D2F45">
      <w:pPr>
        <w:pStyle w:val="new0"/>
        <w:rPr>
          <w:rFonts w:ascii="Times New Roman" w:hAnsi="Times New Roman" w:cs="Times New Roman"/>
        </w:rPr>
      </w:pPr>
      <w:r w:rsidRPr="002D2F45">
        <w:rPr>
          <w:rFonts w:ascii="Times New Roman" w:hAnsi="Times New Roman" w:cs="Times New Roman" w:hint="eastAsia"/>
        </w:rPr>
        <w:t>2019</w:t>
      </w:r>
      <w:r w:rsidRPr="002D2F45">
        <w:rPr>
          <w:rFonts w:ascii="Times New Roman" w:hAnsi="Times New Roman" w:cs="Times New Roman" w:hint="eastAsia"/>
        </w:rPr>
        <w:t>年</w:t>
      </w:r>
      <w:r w:rsidRPr="002D2F45">
        <w:rPr>
          <w:rFonts w:ascii="Times New Roman" w:hAnsi="Times New Roman" w:cs="Times New Roman" w:hint="eastAsia"/>
        </w:rPr>
        <w:t>10</w:t>
      </w:r>
      <w:r w:rsidRPr="002D2F45">
        <w:rPr>
          <w:rFonts w:ascii="Times New Roman" w:hAnsi="Times New Roman" w:cs="Times New Roman" w:hint="eastAsia"/>
        </w:rPr>
        <w:t>月，由中国网主办的</w:t>
      </w:r>
      <w:r w:rsidRPr="002D2F45">
        <w:rPr>
          <w:rFonts w:ascii="Times New Roman" w:hAnsi="Times New Roman" w:cs="Times New Roman" w:hint="eastAsia"/>
        </w:rPr>
        <w:t>2019</w:t>
      </w:r>
      <w:r w:rsidRPr="002D2F45">
        <w:rPr>
          <w:rFonts w:ascii="Times New Roman" w:hAnsi="Times New Roman" w:cs="Times New Roman" w:hint="eastAsia"/>
        </w:rPr>
        <w:t>年度第二届“中国网之优秀金融扶贫先锋榜”评选活动圆满结束，经过多轮线上投票和业内专家、学者的专业评审，博时基金荣获</w:t>
      </w:r>
      <w:r w:rsidRPr="002D2F45">
        <w:rPr>
          <w:rFonts w:ascii="Times New Roman" w:hAnsi="Times New Roman" w:cs="Times New Roman" w:hint="eastAsia"/>
        </w:rPr>
        <w:t>2019</w:t>
      </w:r>
      <w:r w:rsidRPr="002D2F45">
        <w:rPr>
          <w:rFonts w:ascii="Times New Roman" w:hAnsi="Times New Roman" w:cs="Times New Roman" w:hint="eastAsia"/>
        </w:rPr>
        <w:t>年度第二届“中国网之优秀金融扶贫先锋榜”</w:t>
      </w:r>
      <w:r w:rsidRPr="002D2F45">
        <w:rPr>
          <w:rFonts w:ascii="Times New Roman" w:hAnsi="Times New Roman" w:cs="Times New Roman" w:hint="eastAsia"/>
        </w:rPr>
        <w:t xml:space="preserve"> </w:t>
      </w:r>
      <w:r w:rsidRPr="002D2F45">
        <w:rPr>
          <w:rFonts w:ascii="Times New Roman" w:hAnsi="Times New Roman" w:cs="Times New Roman" w:hint="eastAsia"/>
        </w:rPr>
        <w:t>精准扶贫先锋机构奖项。</w:t>
      </w:r>
    </w:p>
    <w:p w:rsidR="004061AC" w:rsidRPr="003531AD" w:rsidRDefault="004061AC" w:rsidP="00CA6AE6">
      <w:pPr>
        <w:pStyle w:val="2"/>
        <w:ind w:left="210" w:right="210"/>
        <w:rPr>
          <w:rFonts w:ascii="Times New Roman" w:hAnsi="Times New Roman" w:cs="Times New Roman"/>
        </w:rPr>
      </w:pPr>
      <w:r w:rsidRPr="003531AD">
        <w:rPr>
          <w:rFonts w:ascii="Times New Roman" w:hAnsi="Times New Roman" w:cs="Times New Roman"/>
        </w:rPr>
        <w:t>§</w:t>
      </w:r>
      <w:r w:rsidR="00D02347" w:rsidRPr="003531AD">
        <w:rPr>
          <w:rFonts w:ascii="Times New Roman" w:hAnsi="Times New Roman" w:cs="Times New Roman"/>
        </w:rPr>
        <w:t>9</w:t>
      </w:r>
      <w:r w:rsidRPr="003531AD">
        <w:rPr>
          <w:rFonts w:ascii="Times New Roman" w:hAnsi="Times New Roman" w:cs="Times New Roman"/>
        </w:rPr>
        <w:t xml:space="preserve">  </w:t>
      </w:r>
      <w:r w:rsidRPr="003531AD">
        <w:rPr>
          <w:rFonts w:ascii="Times New Roman" w:hAnsi="Times New Roman" w:cs="Times New Roman"/>
        </w:rPr>
        <w:t>备查文件目录</w:t>
      </w:r>
    </w:p>
    <w:p w:rsidR="004061AC" w:rsidRPr="003531AD" w:rsidRDefault="00D02347" w:rsidP="00CA6AE6">
      <w:pPr>
        <w:pStyle w:val="xx"/>
        <w:rPr>
          <w:rFonts w:ascii="Times New Roman" w:hAnsi="Times New Roman" w:cs="Times New Roman"/>
        </w:rPr>
      </w:pPr>
      <w:r w:rsidRPr="003531AD">
        <w:rPr>
          <w:rFonts w:ascii="Times New Roman" w:hAnsi="Times New Roman" w:cs="Times New Roman"/>
        </w:rPr>
        <w:t>9</w:t>
      </w:r>
      <w:r w:rsidR="004061AC" w:rsidRPr="003531AD">
        <w:rPr>
          <w:rFonts w:ascii="Times New Roman" w:hAnsi="Times New Roman" w:cs="Times New Roman"/>
        </w:rPr>
        <w:t>.</w:t>
      </w:r>
      <w:r w:rsidR="00676095" w:rsidRPr="003531AD">
        <w:rPr>
          <w:rFonts w:ascii="Times New Roman" w:hAnsi="Times New Roman" w:cs="Times New Roman"/>
        </w:rPr>
        <w:t>1</w:t>
      </w:r>
      <w:r w:rsidR="004061AC" w:rsidRPr="003531AD">
        <w:rPr>
          <w:rFonts w:ascii="Times New Roman" w:hAnsi="Times New Roman" w:cs="Times New Roman"/>
        </w:rPr>
        <w:t xml:space="preserve"> </w:t>
      </w:r>
      <w:r w:rsidR="004061AC" w:rsidRPr="003531AD">
        <w:rPr>
          <w:rFonts w:ascii="Times New Roman" w:hAnsi="Times New Roman" w:cs="Times New Roman"/>
        </w:rPr>
        <w:t>备查文件目录</w:t>
      </w:r>
    </w:p>
    <w:p w:rsidR="008729F7" w:rsidRDefault="00DC7FED">
      <w:pPr>
        <w:pStyle w:val="new0"/>
        <w:rPr>
          <w:rFonts w:ascii="Times New Roman" w:hAnsi="Times New Roman" w:cs="Times New Roman"/>
        </w:rPr>
      </w:pPr>
      <w:r>
        <w:rPr>
          <w:rFonts w:ascii="Times New Roman" w:hAnsi="Times New Roman" w:cs="Times New Roman"/>
        </w:rPr>
        <w:t>9.1.1</w:t>
      </w:r>
      <w:r>
        <w:rPr>
          <w:rFonts w:ascii="Times New Roman" w:hAnsi="Times New Roman" w:cs="Times New Roman"/>
        </w:rPr>
        <w:t>中国证监会准予博时富</w:t>
      </w:r>
      <w:proofErr w:type="gramStart"/>
      <w:r>
        <w:rPr>
          <w:rFonts w:ascii="Times New Roman" w:hAnsi="Times New Roman" w:cs="Times New Roman"/>
        </w:rPr>
        <w:t>诚纯债</w:t>
      </w:r>
      <w:proofErr w:type="gramEnd"/>
      <w:r>
        <w:rPr>
          <w:rFonts w:ascii="Times New Roman" w:hAnsi="Times New Roman" w:cs="Times New Roman"/>
        </w:rPr>
        <w:t>债券型证券投资基金募集注册的文件</w:t>
      </w:r>
    </w:p>
    <w:p w:rsidR="008729F7" w:rsidRDefault="00DC7FED">
      <w:pPr>
        <w:pStyle w:val="new0"/>
        <w:rPr>
          <w:rFonts w:ascii="Times New Roman" w:hAnsi="Times New Roman" w:cs="Times New Roman"/>
        </w:rPr>
      </w:pPr>
      <w:r>
        <w:rPr>
          <w:rFonts w:ascii="Times New Roman" w:hAnsi="Times New Roman" w:cs="Times New Roman"/>
        </w:rPr>
        <w:t>9.1.2</w:t>
      </w:r>
      <w:r>
        <w:rPr>
          <w:rFonts w:ascii="Times New Roman" w:hAnsi="Times New Roman" w:cs="Times New Roman"/>
        </w:rPr>
        <w:t>《博时富诚纯债债券型证券投资基金基金合同》</w:t>
      </w:r>
    </w:p>
    <w:p w:rsidR="008729F7" w:rsidRDefault="00DC7FED">
      <w:pPr>
        <w:pStyle w:val="new0"/>
        <w:rPr>
          <w:rFonts w:ascii="Times New Roman" w:hAnsi="Times New Roman" w:cs="Times New Roman"/>
        </w:rPr>
      </w:pPr>
      <w:r>
        <w:rPr>
          <w:rFonts w:ascii="Times New Roman" w:hAnsi="Times New Roman" w:cs="Times New Roman"/>
        </w:rPr>
        <w:t>9.1.3</w:t>
      </w:r>
      <w:r>
        <w:rPr>
          <w:rFonts w:ascii="Times New Roman" w:hAnsi="Times New Roman" w:cs="Times New Roman"/>
        </w:rPr>
        <w:t>《博时富诚纯债债券型证券投资基金托管协议》</w:t>
      </w:r>
    </w:p>
    <w:p w:rsidR="008729F7" w:rsidRDefault="00DC7FED">
      <w:pPr>
        <w:pStyle w:val="new0"/>
        <w:rPr>
          <w:rFonts w:ascii="Times New Roman" w:hAnsi="Times New Roman" w:cs="Times New Roman"/>
        </w:rPr>
      </w:pPr>
      <w:r>
        <w:rPr>
          <w:rFonts w:ascii="Times New Roman" w:hAnsi="Times New Roman" w:cs="Times New Roman"/>
        </w:rPr>
        <w:t>9.1.4</w:t>
      </w:r>
      <w:r>
        <w:rPr>
          <w:rFonts w:ascii="Times New Roman" w:hAnsi="Times New Roman" w:cs="Times New Roman"/>
        </w:rPr>
        <w:t>基金管理人业务资格批件、营业执照和公司章程</w:t>
      </w:r>
    </w:p>
    <w:p w:rsidR="008729F7" w:rsidRDefault="00DC7FED">
      <w:pPr>
        <w:pStyle w:val="new0"/>
        <w:rPr>
          <w:rFonts w:ascii="Times New Roman" w:hAnsi="Times New Roman" w:cs="Times New Roman"/>
        </w:rPr>
      </w:pPr>
      <w:r>
        <w:rPr>
          <w:rFonts w:ascii="Times New Roman" w:hAnsi="Times New Roman" w:cs="Times New Roman"/>
        </w:rPr>
        <w:t>9.1.5</w:t>
      </w:r>
      <w:r>
        <w:rPr>
          <w:rFonts w:ascii="Times New Roman" w:hAnsi="Times New Roman" w:cs="Times New Roman"/>
        </w:rPr>
        <w:t>报告期内博时富</w:t>
      </w:r>
      <w:proofErr w:type="gramStart"/>
      <w:r>
        <w:rPr>
          <w:rFonts w:ascii="Times New Roman" w:hAnsi="Times New Roman" w:cs="Times New Roman"/>
        </w:rPr>
        <w:t>诚纯债</w:t>
      </w:r>
      <w:proofErr w:type="gramEnd"/>
      <w:r>
        <w:rPr>
          <w:rFonts w:ascii="Times New Roman" w:hAnsi="Times New Roman" w:cs="Times New Roman"/>
        </w:rPr>
        <w:t>债券型证券投资基金在指定报刊上各项公告的原稿</w:t>
      </w:r>
    </w:p>
    <w:p w:rsidR="006A48FD" w:rsidRPr="003531AD" w:rsidRDefault="006D7FF8" w:rsidP="00CA6AE6">
      <w:pPr>
        <w:pStyle w:val="new0"/>
        <w:rPr>
          <w:rFonts w:ascii="Times New Roman" w:hAnsi="Times New Roman" w:cs="Times New Roman"/>
        </w:rPr>
      </w:pPr>
      <w:r w:rsidRPr="003531AD">
        <w:rPr>
          <w:rFonts w:ascii="Times New Roman" w:hAnsi="Times New Roman" w:cs="Times New Roman"/>
        </w:rPr>
        <w:t>9.1.6</w:t>
      </w:r>
      <w:r w:rsidRPr="003531AD">
        <w:rPr>
          <w:rFonts w:ascii="Times New Roman" w:hAnsi="Times New Roman" w:cs="Times New Roman"/>
        </w:rPr>
        <w:t>博时富</w:t>
      </w:r>
      <w:proofErr w:type="gramStart"/>
      <w:r w:rsidRPr="003531AD">
        <w:rPr>
          <w:rFonts w:ascii="Times New Roman" w:hAnsi="Times New Roman" w:cs="Times New Roman"/>
        </w:rPr>
        <w:t>诚纯债</w:t>
      </w:r>
      <w:proofErr w:type="gramEnd"/>
      <w:r w:rsidRPr="003531AD">
        <w:rPr>
          <w:rFonts w:ascii="Times New Roman" w:hAnsi="Times New Roman" w:cs="Times New Roman"/>
        </w:rPr>
        <w:t>债券型证券投资基金各年度审计报告正本</w:t>
      </w:r>
    </w:p>
    <w:p w:rsidR="004061AC" w:rsidRPr="003531AD" w:rsidRDefault="00D02347" w:rsidP="00CA6AE6">
      <w:pPr>
        <w:pStyle w:val="xx"/>
        <w:rPr>
          <w:rFonts w:ascii="Times New Roman" w:hAnsi="Times New Roman" w:cs="Times New Roman"/>
        </w:rPr>
      </w:pPr>
      <w:r w:rsidRPr="003531AD">
        <w:rPr>
          <w:rFonts w:ascii="Times New Roman" w:hAnsi="Times New Roman" w:cs="Times New Roman"/>
        </w:rPr>
        <w:t>9</w:t>
      </w:r>
      <w:r w:rsidR="004061AC" w:rsidRPr="003531AD">
        <w:rPr>
          <w:rFonts w:ascii="Times New Roman" w:hAnsi="Times New Roman" w:cs="Times New Roman"/>
        </w:rPr>
        <w:t>.</w:t>
      </w:r>
      <w:r w:rsidR="00676095" w:rsidRPr="003531AD">
        <w:rPr>
          <w:rFonts w:ascii="Times New Roman" w:hAnsi="Times New Roman" w:cs="Times New Roman"/>
        </w:rPr>
        <w:t>2</w:t>
      </w:r>
      <w:r w:rsidR="004061AC" w:rsidRPr="003531AD">
        <w:rPr>
          <w:rFonts w:ascii="Times New Roman" w:hAnsi="Times New Roman" w:cs="Times New Roman"/>
        </w:rPr>
        <w:t xml:space="preserve"> </w:t>
      </w:r>
      <w:r w:rsidR="004061AC" w:rsidRPr="003531AD">
        <w:rPr>
          <w:rFonts w:ascii="Times New Roman" w:hAnsi="Times New Roman" w:cs="Times New Roman"/>
        </w:rPr>
        <w:t>存放地点</w:t>
      </w:r>
    </w:p>
    <w:p w:rsidR="006A48FD" w:rsidRPr="003531AD" w:rsidRDefault="006D7FF8" w:rsidP="00CA6AE6">
      <w:pPr>
        <w:pStyle w:val="new0"/>
        <w:rPr>
          <w:rFonts w:ascii="Times New Roman" w:hAnsi="Times New Roman" w:cs="Times New Roman"/>
        </w:rPr>
      </w:pPr>
      <w:r w:rsidRPr="003531AD">
        <w:rPr>
          <w:rFonts w:ascii="Times New Roman" w:hAnsi="Times New Roman" w:cs="Times New Roman"/>
        </w:rPr>
        <w:t>基金管理人处</w:t>
      </w:r>
    </w:p>
    <w:p w:rsidR="004061AC" w:rsidRPr="003531AD" w:rsidRDefault="00D02347" w:rsidP="00CA6AE6">
      <w:pPr>
        <w:pStyle w:val="xx"/>
        <w:rPr>
          <w:rFonts w:ascii="Times New Roman" w:hAnsi="Times New Roman" w:cs="Times New Roman"/>
        </w:rPr>
      </w:pPr>
      <w:r w:rsidRPr="003531AD">
        <w:rPr>
          <w:rFonts w:ascii="Times New Roman" w:hAnsi="Times New Roman" w:cs="Times New Roman"/>
        </w:rPr>
        <w:t>9</w:t>
      </w:r>
      <w:r w:rsidR="004061AC" w:rsidRPr="003531AD">
        <w:rPr>
          <w:rFonts w:ascii="Times New Roman" w:hAnsi="Times New Roman" w:cs="Times New Roman"/>
        </w:rPr>
        <w:t>.</w:t>
      </w:r>
      <w:r w:rsidR="00676095" w:rsidRPr="003531AD">
        <w:rPr>
          <w:rFonts w:ascii="Times New Roman" w:hAnsi="Times New Roman" w:cs="Times New Roman"/>
        </w:rPr>
        <w:t>3</w:t>
      </w:r>
      <w:r w:rsidR="004061AC" w:rsidRPr="003531AD">
        <w:rPr>
          <w:rFonts w:ascii="Times New Roman" w:hAnsi="Times New Roman" w:cs="Times New Roman"/>
        </w:rPr>
        <w:t xml:space="preserve"> </w:t>
      </w:r>
      <w:r w:rsidR="004061AC" w:rsidRPr="003531AD">
        <w:rPr>
          <w:rFonts w:ascii="Times New Roman" w:hAnsi="Times New Roman" w:cs="Times New Roman"/>
        </w:rPr>
        <w:t>查阅方式</w:t>
      </w:r>
    </w:p>
    <w:p w:rsidR="008729F7" w:rsidRDefault="00DC7FED">
      <w:pPr>
        <w:pStyle w:val="new0"/>
        <w:rPr>
          <w:rFonts w:ascii="Times New Roman" w:hAnsi="Times New Roman" w:cs="Times New Roman"/>
        </w:rPr>
      </w:pPr>
      <w:r>
        <w:rPr>
          <w:rFonts w:ascii="Times New Roman" w:hAnsi="Times New Roman" w:cs="Times New Roman"/>
        </w:rPr>
        <w:t>投资者可在营业时间免费查阅，也可按工本费购买复印件</w:t>
      </w:r>
    </w:p>
    <w:p w:rsidR="008729F7" w:rsidRDefault="00DC7FED">
      <w:pPr>
        <w:pStyle w:val="new0"/>
        <w:rPr>
          <w:rFonts w:ascii="Times New Roman" w:hAnsi="Times New Roman" w:cs="Times New Roman"/>
        </w:rPr>
      </w:pPr>
      <w:r>
        <w:rPr>
          <w:rFonts w:ascii="Times New Roman" w:hAnsi="Times New Roman" w:cs="Times New Roman"/>
        </w:rPr>
        <w:t>投资者对本报告书如有疑问，可咨询本基金管理人博时基金管理有限公司</w:t>
      </w:r>
    </w:p>
    <w:p w:rsidR="00636DB7" w:rsidRPr="003531AD" w:rsidRDefault="006D7FF8" w:rsidP="00CA6AE6">
      <w:pPr>
        <w:pStyle w:val="new0"/>
        <w:rPr>
          <w:rFonts w:ascii="Times New Roman" w:hAnsi="Times New Roman" w:cs="Times New Roman"/>
        </w:rPr>
      </w:pPr>
      <w:r w:rsidRPr="003531AD">
        <w:rPr>
          <w:rFonts w:ascii="Times New Roman" w:hAnsi="Times New Roman" w:cs="Times New Roman"/>
        </w:rPr>
        <w:lastRenderedPageBreak/>
        <w:t>博时一线通：</w:t>
      </w:r>
      <w:r w:rsidRPr="003531AD">
        <w:rPr>
          <w:rFonts w:ascii="Times New Roman" w:hAnsi="Times New Roman" w:cs="Times New Roman"/>
        </w:rPr>
        <w:t>95105568</w:t>
      </w:r>
      <w:r w:rsidRPr="003531AD">
        <w:rPr>
          <w:rFonts w:ascii="Times New Roman" w:hAnsi="Times New Roman" w:cs="Times New Roman"/>
        </w:rPr>
        <w:t>（免长途话费）</w:t>
      </w:r>
    </w:p>
    <w:p w:rsidR="004061AC" w:rsidRPr="003531AD" w:rsidRDefault="004061AC" w:rsidP="005B5485">
      <w:pPr>
        <w:spacing w:line="360" w:lineRule="auto"/>
        <w:ind w:left="840"/>
        <w:jc w:val="right"/>
        <w:rPr>
          <w:rFonts w:ascii="Times New Roman" w:hAnsi="Times New Roman" w:cs="Times New Roman"/>
          <w:color w:val="000000" w:themeColor="text1"/>
          <w:sz w:val="24"/>
          <w:szCs w:val="24"/>
        </w:rPr>
      </w:pPr>
    </w:p>
    <w:p w:rsidR="00C71497" w:rsidRPr="003531AD" w:rsidRDefault="00C71497" w:rsidP="005B5485">
      <w:pPr>
        <w:spacing w:line="360" w:lineRule="auto"/>
        <w:ind w:left="840"/>
        <w:jc w:val="right"/>
        <w:rPr>
          <w:rFonts w:ascii="Times New Roman" w:hAnsi="Times New Roman" w:cs="Times New Roman"/>
          <w:color w:val="000000" w:themeColor="text1"/>
          <w:sz w:val="24"/>
          <w:szCs w:val="24"/>
        </w:rPr>
      </w:pPr>
    </w:p>
    <w:p w:rsidR="00C71497" w:rsidRPr="003531AD" w:rsidRDefault="00C71497" w:rsidP="005B5485">
      <w:pPr>
        <w:spacing w:line="360" w:lineRule="auto"/>
        <w:ind w:left="840"/>
        <w:jc w:val="right"/>
        <w:rPr>
          <w:rFonts w:ascii="Times New Roman" w:hAnsi="Times New Roman" w:cs="Times New Roman"/>
          <w:color w:val="000000" w:themeColor="text1"/>
          <w:sz w:val="24"/>
          <w:szCs w:val="24"/>
        </w:rPr>
      </w:pPr>
    </w:p>
    <w:p w:rsidR="00C71497" w:rsidRPr="003531AD" w:rsidRDefault="00C71497" w:rsidP="005B5485">
      <w:pPr>
        <w:spacing w:line="360" w:lineRule="auto"/>
        <w:ind w:left="840"/>
        <w:jc w:val="right"/>
        <w:rPr>
          <w:rFonts w:ascii="Times New Roman" w:hAnsi="Times New Roman" w:cs="Times New Roman"/>
          <w:color w:val="000000" w:themeColor="text1"/>
          <w:sz w:val="24"/>
          <w:szCs w:val="24"/>
        </w:rPr>
      </w:pPr>
    </w:p>
    <w:p w:rsidR="004061AC" w:rsidRPr="003531AD" w:rsidRDefault="004061AC" w:rsidP="005B5485">
      <w:pPr>
        <w:spacing w:line="360" w:lineRule="auto"/>
        <w:ind w:left="840"/>
        <w:jc w:val="right"/>
        <w:rPr>
          <w:rFonts w:ascii="Times New Roman" w:hAnsi="Times New Roman" w:cs="Times New Roman"/>
          <w:color w:val="000000" w:themeColor="text1"/>
          <w:sz w:val="24"/>
          <w:szCs w:val="24"/>
        </w:rPr>
      </w:pPr>
    </w:p>
    <w:p w:rsidR="004061AC" w:rsidRPr="003531AD" w:rsidRDefault="00832A00" w:rsidP="005B5485">
      <w:pPr>
        <w:spacing w:line="360" w:lineRule="auto"/>
        <w:jc w:val="right"/>
        <w:rPr>
          <w:rFonts w:ascii="Times New Roman" w:hAnsi="Times New Roman" w:cs="Times New Roman"/>
          <w:b/>
          <w:bCs/>
          <w:color w:val="000000" w:themeColor="text1"/>
          <w:sz w:val="24"/>
          <w:szCs w:val="24"/>
        </w:rPr>
      </w:pPr>
      <w:r w:rsidRPr="003531AD">
        <w:rPr>
          <w:rFonts w:ascii="Times New Roman" w:hAnsi="Times New Roman" w:cs="Times New Roman"/>
          <w:b/>
          <w:bCs/>
          <w:color w:val="000000" w:themeColor="text1"/>
          <w:sz w:val="24"/>
          <w:szCs w:val="24"/>
        </w:rPr>
        <w:t>博时基金管理有限公司</w:t>
      </w:r>
    </w:p>
    <w:p w:rsidR="00A90049" w:rsidRPr="003531AD" w:rsidRDefault="00945AF6" w:rsidP="005C1342">
      <w:pPr>
        <w:spacing w:line="360" w:lineRule="auto"/>
        <w:jc w:val="right"/>
        <w:rPr>
          <w:rFonts w:ascii="Times New Roman" w:hAnsi="Times New Roman" w:cs="Times New Roman"/>
          <w:b/>
          <w:bCs/>
          <w:color w:val="000000" w:themeColor="text1"/>
          <w:sz w:val="24"/>
          <w:szCs w:val="24"/>
        </w:rPr>
      </w:pPr>
      <w:r w:rsidRPr="003531AD">
        <w:rPr>
          <w:rFonts w:ascii="Times New Roman" w:hAnsi="Times New Roman" w:cs="Times New Roman"/>
          <w:b/>
          <w:bCs/>
          <w:color w:val="000000" w:themeColor="text1"/>
          <w:sz w:val="24"/>
          <w:szCs w:val="24"/>
        </w:rPr>
        <w:t>二〇二〇年一月十七日</w:t>
      </w:r>
    </w:p>
    <w:sectPr w:rsidR="00A90049" w:rsidRPr="003531AD" w:rsidSect="00A015A2">
      <w:headerReference w:type="default" r:id="rId12"/>
      <w:footerReference w:type="default" r:id="rId13"/>
      <w:pgSz w:w="11906" w:h="16838" w:code="9"/>
      <w:pgMar w:top="1236" w:right="1418" w:bottom="1418" w:left="1418" w:header="851" w:footer="992" w:gutter="0"/>
      <w:pgNumType w:start="1"/>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7C0C" w:rsidRDefault="00E17C0C" w:rsidP="00876D65">
      <w:r>
        <w:separator/>
      </w:r>
    </w:p>
  </w:endnote>
  <w:endnote w:type="continuationSeparator" w:id="0">
    <w:p w:rsidR="00E17C0C" w:rsidRDefault="00E17C0C"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angSong">
    <w:altName w:val="Arial"/>
    <w:charset w:val="00"/>
    <w:family w:val="auto"/>
    <w:pitch w:val="default"/>
    <w:sig w:usb0="00000003" w:usb1="00000000" w:usb2="00000000" w:usb3="00000000" w:csb0="00000001" w:csb1="00000000"/>
  </w:font>
  <w:font w:name="黑体">
    <w:altName w:val="SimHei"/>
    <w:panose1 w:val="02010609060101010101"/>
    <w:charset w:val="86"/>
    <w:family w:val="modern"/>
    <w:notTrueType/>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912" w:rsidRPr="001D0DB0" w:rsidRDefault="00F93912" w:rsidP="00F11104">
    <w:pPr>
      <w:pStyle w:val="a6"/>
      <w:tabs>
        <w:tab w:val="left" w:pos="4215"/>
        <w:tab w:val="center" w:pos="4545"/>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912" w:rsidRDefault="00F93912">
    <w:pPr>
      <w:pStyle w:val="a6"/>
      <w:framePr w:wrap="auto"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2D2F45">
      <w:rPr>
        <w:rStyle w:val="a7"/>
        <w:noProof/>
      </w:rPr>
      <w:t>6</w:t>
    </w:r>
    <w:r>
      <w:rPr>
        <w:rStyle w:val="a7"/>
      </w:rPr>
      <w:fldChar w:fldCharType="end"/>
    </w:r>
  </w:p>
  <w:p w:rsidR="00F93912" w:rsidRDefault="00F9391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7C0C" w:rsidRDefault="00E17C0C" w:rsidP="00876D65">
      <w:r>
        <w:separator/>
      </w:r>
    </w:p>
  </w:footnote>
  <w:footnote w:type="continuationSeparator" w:id="0">
    <w:p w:rsidR="00E17C0C" w:rsidRDefault="00E17C0C"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912" w:rsidRDefault="00F93912">
    <w:pPr>
      <w:pStyle w:val="a9"/>
    </w:pPr>
    <w:r>
      <w:rPr>
        <w:noProof/>
      </w:rPr>
      <w:drawing>
        <wp:anchor distT="0" distB="0" distL="114300" distR="114300" simplePos="0" relativeHeight="251661312" behindDoc="0" locked="0" layoutInCell="1" allowOverlap="1" wp14:anchorId="0A74B2A5" wp14:editId="39F610AD">
          <wp:simplePos x="0" y="0"/>
          <wp:positionH relativeFrom="column">
            <wp:posOffset>-4445</wp:posOffset>
          </wp:positionH>
          <wp:positionV relativeFrom="paragraph">
            <wp:posOffset>-191135</wp:posOffset>
          </wp:positionV>
          <wp:extent cx="1257300" cy="314325"/>
          <wp:effectExtent l="0" t="0" r="0" b="0"/>
          <wp:wrapNone/>
          <wp:docPr id="2" name="图片 2" descr="Boser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Bosera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3143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912" w:rsidRPr="00C51A0C" w:rsidRDefault="00F93912" w:rsidP="00090A26">
    <w:pPr>
      <w:pStyle w:val="a9"/>
      <w:pBdr>
        <w:bottom w:val="single" w:sz="6" w:space="0" w:color="auto"/>
      </w:pBdr>
      <w:jc w:val="right"/>
    </w:pPr>
    <w:r w:rsidRPr="00C51A0C">
      <w:rPr>
        <w:rFonts w:hint="eastAsia"/>
        <w:noProof/>
      </w:rPr>
      <w:drawing>
        <wp:anchor distT="0" distB="0" distL="114300" distR="114300" simplePos="0" relativeHeight="251660288" behindDoc="0" locked="0" layoutInCell="1" allowOverlap="1" wp14:anchorId="3FABD6B7" wp14:editId="3E58F329">
          <wp:simplePos x="0" y="0"/>
          <wp:positionH relativeFrom="column">
            <wp:posOffset>-17145</wp:posOffset>
          </wp:positionH>
          <wp:positionV relativeFrom="paragraph">
            <wp:posOffset>-196850</wp:posOffset>
          </wp:positionV>
          <wp:extent cx="1257300" cy="314325"/>
          <wp:effectExtent l="0" t="0" r="0" b="0"/>
          <wp:wrapNone/>
          <wp:docPr id="3" name="图片 3" descr="Boser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sera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314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1A0C">
      <w:rPr>
        <w:rFonts w:hint="eastAsia"/>
      </w:rPr>
      <w:t>博时富</w:t>
    </w:r>
    <w:proofErr w:type="gramStart"/>
    <w:r w:rsidRPr="00C51A0C">
      <w:rPr>
        <w:rFonts w:hint="eastAsia"/>
      </w:rPr>
      <w:t>诚纯债</w:t>
    </w:r>
    <w:proofErr w:type="gramEnd"/>
    <w:r w:rsidRPr="00C51A0C">
      <w:rPr>
        <w:rFonts w:hint="eastAsia"/>
      </w:rPr>
      <w:t>债券型证券投资基金</w:t>
    </w:r>
    <w:r w:rsidRPr="00C51A0C">
      <w:rPr>
        <w:rFonts w:hint="eastAsia"/>
      </w:rPr>
      <w:t>2019</w:t>
    </w:r>
    <w:r w:rsidRPr="00C51A0C">
      <w:rPr>
        <w:rFonts w:hint="eastAsia"/>
      </w:rPr>
      <w:t>年第</w:t>
    </w:r>
    <w:r w:rsidRPr="00C51A0C">
      <w:rPr>
        <w:rFonts w:hint="eastAsia"/>
      </w:rPr>
      <w:t>4</w:t>
    </w:r>
    <w:r w:rsidRPr="00C51A0C">
      <w:rPr>
        <w:rFonts w:hint="eastAsia"/>
      </w:rPr>
      <w:t>季度报告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3">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3"/>
  </w:num>
  <w:num w:numId="2">
    <w:abstractNumId w:val="2"/>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14099"/>
    <w:rsid w:val="000160C5"/>
    <w:rsid w:val="000210E7"/>
    <w:rsid w:val="00025359"/>
    <w:rsid w:val="00025FA2"/>
    <w:rsid w:val="00031EBB"/>
    <w:rsid w:val="00033B8D"/>
    <w:rsid w:val="00040BDC"/>
    <w:rsid w:val="00043852"/>
    <w:rsid w:val="000450DD"/>
    <w:rsid w:val="000463DE"/>
    <w:rsid w:val="00051B79"/>
    <w:rsid w:val="00076357"/>
    <w:rsid w:val="0008313A"/>
    <w:rsid w:val="000907D2"/>
    <w:rsid w:val="00090A26"/>
    <w:rsid w:val="00095D74"/>
    <w:rsid w:val="00096CE4"/>
    <w:rsid w:val="000A28B7"/>
    <w:rsid w:val="000A2B53"/>
    <w:rsid w:val="000A2EE2"/>
    <w:rsid w:val="000A78D9"/>
    <w:rsid w:val="000B624F"/>
    <w:rsid w:val="000B73C6"/>
    <w:rsid w:val="000C190B"/>
    <w:rsid w:val="000C1E17"/>
    <w:rsid w:val="000C3A61"/>
    <w:rsid w:val="000C5216"/>
    <w:rsid w:val="000C5D63"/>
    <w:rsid w:val="000C6ABD"/>
    <w:rsid w:val="000D0E6C"/>
    <w:rsid w:val="000D3ED4"/>
    <w:rsid w:val="000F0BFC"/>
    <w:rsid w:val="000F6CC8"/>
    <w:rsid w:val="00111261"/>
    <w:rsid w:val="00126818"/>
    <w:rsid w:val="00137452"/>
    <w:rsid w:val="00144F93"/>
    <w:rsid w:val="00147376"/>
    <w:rsid w:val="00150E7E"/>
    <w:rsid w:val="00154BE1"/>
    <w:rsid w:val="00160EDC"/>
    <w:rsid w:val="001631C7"/>
    <w:rsid w:val="001675CD"/>
    <w:rsid w:val="00171EF0"/>
    <w:rsid w:val="00175D4F"/>
    <w:rsid w:val="001761D2"/>
    <w:rsid w:val="001830D7"/>
    <w:rsid w:val="00185A34"/>
    <w:rsid w:val="00196E6C"/>
    <w:rsid w:val="001A73E8"/>
    <w:rsid w:val="001B0A62"/>
    <w:rsid w:val="001B2F35"/>
    <w:rsid w:val="001C0993"/>
    <w:rsid w:val="001C78B2"/>
    <w:rsid w:val="001C79F2"/>
    <w:rsid w:val="001D63BB"/>
    <w:rsid w:val="001D6A4B"/>
    <w:rsid w:val="001E4630"/>
    <w:rsid w:val="001E7C6C"/>
    <w:rsid w:val="001F0964"/>
    <w:rsid w:val="001F1A51"/>
    <w:rsid w:val="001F30DA"/>
    <w:rsid w:val="001F5DC5"/>
    <w:rsid w:val="00200FAB"/>
    <w:rsid w:val="0020692A"/>
    <w:rsid w:val="002100F7"/>
    <w:rsid w:val="00211F09"/>
    <w:rsid w:val="00213821"/>
    <w:rsid w:val="00216AEB"/>
    <w:rsid w:val="00217B92"/>
    <w:rsid w:val="00220C32"/>
    <w:rsid w:val="002279D3"/>
    <w:rsid w:val="0023786F"/>
    <w:rsid w:val="00237B1B"/>
    <w:rsid w:val="00237F09"/>
    <w:rsid w:val="00240248"/>
    <w:rsid w:val="00240A96"/>
    <w:rsid w:val="0024363B"/>
    <w:rsid w:val="00261111"/>
    <w:rsid w:val="00264E55"/>
    <w:rsid w:val="00275745"/>
    <w:rsid w:val="00276220"/>
    <w:rsid w:val="0027688F"/>
    <w:rsid w:val="00276E44"/>
    <w:rsid w:val="002835C9"/>
    <w:rsid w:val="00286BEF"/>
    <w:rsid w:val="00286FA2"/>
    <w:rsid w:val="002916D9"/>
    <w:rsid w:val="002918E3"/>
    <w:rsid w:val="00296604"/>
    <w:rsid w:val="00296CBB"/>
    <w:rsid w:val="002973A9"/>
    <w:rsid w:val="002A610F"/>
    <w:rsid w:val="002B1D1A"/>
    <w:rsid w:val="002D2F45"/>
    <w:rsid w:val="002D6FB6"/>
    <w:rsid w:val="002E1B9F"/>
    <w:rsid w:val="002E3B09"/>
    <w:rsid w:val="002E52B3"/>
    <w:rsid w:val="002E5EEF"/>
    <w:rsid w:val="002F0AFF"/>
    <w:rsid w:val="002F26CB"/>
    <w:rsid w:val="00304A12"/>
    <w:rsid w:val="00305636"/>
    <w:rsid w:val="00311662"/>
    <w:rsid w:val="00312A9F"/>
    <w:rsid w:val="00315D5D"/>
    <w:rsid w:val="00316484"/>
    <w:rsid w:val="00316E01"/>
    <w:rsid w:val="00320300"/>
    <w:rsid w:val="00321311"/>
    <w:rsid w:val="00321B57"/>
    <w:rsid w:val="00324508"/>
    <w:rsid w:val="003259C8"/>
    <w:rsid w:val="003307FE"/>
    <w:rsid w:val="003470E2"/>
    <w:rsid w:val="00352719"/>
    <w:rsid w:val="003531AD"/>
    <w:rsid w:val="00355364"/>
    <w:rsid w:val="00364CCB"/>
    <w:rsid w:val="0036780D"/>
    <w:rsid w:val="00376E86"/>
    <w:rsid w:val="003814E5"/>
    <w:rsid w:val="0039085F"/>
    <w:rsid w:val="00394069"/>
    <w:rsid w:val="0039607A"/>
    <w:rsid w:val="003A6061"/>
    <w:rsid w:val="003B6FBC"/>
    <w:rsid w:val="003E2240"/>
    <w:rsid w:val="003E62FB"/>
    <w:rsid w:val="003F39DF"/>
    <w:rsid w:val="003F63BE"/>
    <w:rsid w:val="004061AC"/>
    <w:rsid w:val="00406C52"/>
    <w:rsid w:val="004149AC"/>
    <w:rsid w:val="0042009D"/>
    <w:rsid w:val="00420B9E"/>
    <w:rsid w:val="0042763E"/>
    <w:rsid w:val="00427F58"/>
    <w:rsid w:val="00433805"/>
    <w:rsid w:val="00447847"/>
    <w:rsid w:val="00452BAA"/>
    <w:rsid w:val="00460D75"/>
    <w:rsid w:val="00471408"/>
    <w:rsid w:val="004858E0"/>
    <w:rsid w:val="00487AFE"/>
    <w:rsid w:val="004934E9"/>
    <w:rsid w:val="004943C2"/>
    <w:rsid w:val="004973AE"/>
    <w:rsid w:val="004A11A7"/>
    <w:rsid w:val="004C702F"/>
    <w:rsid w:val="004D495A"/>
    <w:rsid w:val="004E5975"/>
    <w:rsid w:val="004E790A"/>
    <w:rsid w:val="004E7A00"/>
    <w:rsid w:val="004F50FD"/>
    <w:rsid w:val="00500A03"/>
    <w:rsid w:val="00512200"/>
    <w:rsid w:val="005143CD"/>
    <w:rsid w:val="005144F2"/>
    <w:rsid w:val="005242A5"/>
    <w:rsid w:val="005249DD"/>
    <w:rsid w:val="00526424"/>
    <w:rsid w:val="00531BA5"/>
    <w:rsid w:val="00531F10"/>
    <w:rsid w:val="00532E86"/>
    <w:rsid w:val="00542434"/>
    <w:rsid w:val="00542470"/>
    <w:rsid w:val="00542546"/>
    <w:rsid w:val="00544F6F"/>
    <w:rsid w:val="005454FB"/>
    <w:rsid w:val="005659E4"/>
    <w:rsid w:val="00567704"/>
    <w:rsid w:val="005761EE"/>
    <w:rsid w:val="00577F1B"/>
    <w:rsid w:val="00582D99"/>
    <w:rsid w:val="0058551C"/>
    <w:rsid w:val="0059076B"/>
    <w:rsid w:val="005A0301"/>
    <w:rsid w:val="005A0F1F"/>
    <w:rsid w:val="005A6675"/>
    <w:rsid w:val="005A7CFE"/>
    <w:rsid w:val="005B2E9C"/>
    <w:rsid w:val="005B4F93"/>
    <w:rsid w:val="005B51BA"/>
    <w:rsid w:val="005B5485"/>
    <w:rsid w:val="005B73D2"/>
    <w:rsid w:val="005C1342"/>
    <w:rsid w:val="005C5E5B"/>
    <w:rsid w:val="005D2B36"/>
    <w:rsid w:val="005E0774"/>
    <w:rsid w:val="005E1093"/>
    <w:rsid w:val="005E475E"/>
    <w:rsid w:val="005F3996"/>
    <w:rsid w:val="005F4AFA"/>
    <w:rsid w:val="005F6AF6"/>
    <w:rsid w:val="006033B6"/>
    <w:rsid w:val="006066D2"/>
    <w:rsid w:val="0061286A"/>
    <w:rsid w:val="00614CC4"/>
    <w:rsid w:val="00615CA0"/>
    <w:rsid w:val="0062025E"/>
    <w:rsid w:val="00626998"/>
    <w:rsid w:val="006269FB"/>
    <w:rsid w:val="0063033C"/>
    <w:rsid w:val="00631ED8"/>
    <w:rsid w:val="006360DC"/>
    <w:rsid w:val="00636DB7"/>
    <w:rsid w:val="0063783A"/>
    <w:rsid w:val="006423B9"/>
    <w:rsid w:val="00654B0D"/>
    <w:rsid w:val="00655CD8"/>
    <w:rsid w:val="006571DC"/>
    <w:rsid w:val="00660D4B"/>
    <w:rsid w:val="00664ECC"/>
    <w:rsid w:val="00670989"/>
    <w:rsid w:val="006757DC"/>
    <w:rsid w:val="00676095"/>
    <w:rsid w:val="00693843"/>
    <w:rsid w:val="0069426C"/>
    <w:rsid w:val="00694DFB"/>
    <w:rsid w:val="006A1C62"/>
    <w:rsid w:val="006A48FD"/>
    <w:rsid w:val="006A67F8"/>
    <w:rsid w:val="006A7AF1"/>
    <w:rsid w:val="006B11BB"/>
    <w:rsid w:val="006C12B8"/>
    <w:rsid w:val="006C1D31"/>
    <w:rsid w:val="006C37FC"/>
    <w:rsid w:val="006C7EA3"/>
    <w:rsid w:val="006D2441"/>
    <w:rsid w:val="006D34CC"/>
    <w:rsid w:val="006D39E9"/>
    <w:rsid w:val="006D3BE3"/>
    <w:rsid w:val="006D7004"/>
    <w:rsid w:val="006D789D"/>
    <w:rsid w:val="006D7FF8"/>
    <w:rsid w:val="006E042A"/>
    <w:rsid w:val="006E0E64"/>
    <w:rsid w:val="006E5838"/>
    <w:rsid w:val="006F5E68"/>
    <w:rsid w:val="006F66BC"/>
    <w:rsid w:val="00702CD9"/>
    <w:rsid w:val="00706D60"/>
    <w:rsid w:val="007075E3"/>
    <w:rsid w:val="00707F66"/>
    <w:rsid w:val="007120CC"/>
    <w:rsid w:val="00720D28"/>
    <w:rsid w:val="00722509"/>
    <w:rsid w:val="00727FCD"/>
    <w:rsid w:val="00733DDD"/>
    <w:rsid w:val="00750CDF"/>
    <w:rsid w:val="00752BA5"/>
    <w:rsid w:val="00753A7D"/>
    <w:rsid w:val="00755D86"/>
    <w:rsid w:val="00760EAF"/>
    <w:rsid w:val="00767C98"/>
    <w:rsid w:val="00770971"/>
    <w:rsid w:val="00776BCA"/>
    <w:rsid w:val="00793D1E"/>
    <w:rsid w:val="00796CA8"/>
    <w:rsid w:val="00797305"/>
    <w:rsid w:val="007B035B"/>
    <w:rsid w:val="007B4C04"/>
    <w:rsid w:val="007B4D7A"/>
    <w:rsid w:val="007B5AFB"/>
    <w:rsid w:val="007C5862"/>
    <w:rsid w:val="007E6A15"/>
    <w:rsid w:val="007F6541"/>
    <w:rsid w:val="008014F9"/>
    <w:rsid w:val="0080358B"/>
    <w:rsid w:val="008059BD"/>
    <w:rsid w:val="0081091B"/>
    <w:rsid w:val="00812D46"/>
    <w:rsid w:val="0081543F"/>
    <w:rsid w:val="00815A38"/>
    <w:rsid w:val="00817D5A"/>
    <w:rsid w:val="0082103F"/>
    <w:rsid w:val="008279FE"/>
    <w:rsid w:val="0083036A"/>
    <w:rsid w:val="00831259"/>
    <w:rsid w:val="0083208A"/>
    <w:rsid w:val="0083218A"/>
    <w:rsid w:val="00832A00"/>
    <w:rsid w:val="00837845"/>
    <w:rsid w:val="008442C4"/>
    <w:rsid w:val="00846739"/>
    <w:rsid w:val="00853140"/>
    <w:rsid w:val="00854537"/>
    <w:rsid w:val="008606B6"/>
    <w:rsid w:val="00866CF2"/>
    <w:rsid w:val="008700EC"/>
    <w:rsid w:val="00870849"/>
    <w:rsid w:val="008729F7"/>
    <w:rsid w:val="0087322B"/>
    <w:rsid w:val="00876D65"/>
    <w:rsid w:val="00891261"/>
    <w:rsid w:val="008A21B2"/>
    <w:rsid w:val="008B2FDD"/>
    <w:rsid w:val="008C75E7"/>
    <w:rsid w:val="008C7CA8"/>
    <w:rsid w:val="008D09EC"/>
    <w:rsid w:val="008E07EB"/>
    <w:rsid w:val="008E2DCB"/>
    <w:rsid w:val="008E326D"/>
    <w:rsid w:val="008F1859"/>
    <w:rsid w:val="008F5F67"/>
    <w:rsid w:val="008F60F2"/>
    <w:rsid w:val="0090217D"/>
    <w:rsid w:val="00905C5E"/>
    <w:rsid w:val="009078DC"/>
    <w:rsid w:val="00921AC7"/>
    <w:rsid w:val="00924582"/>
    <w:rsid w:val="00931291"/>
    <w:rsid w:val="0093367D"/>
    <w:rsid w:val="009431FA"/>
    <w:rsid w:val="00945AF6"/>
    <w:rsid w:val="009550BE"/>
    <w:rsid w:val="00955531"/>
    <w:rsid w:val="00955BE8"/>
    <w:rsid w:val="00957594"/>
    <w:rsid w:val="00963F40"/>
    <w:rsid w:val="0097377D"/>
    <w:rsid w:val="0098122D"/>
    <w:rsid w:val="00986596"/>
    <w:rsid w:val="00990685"/>
    <w:rsid w:val="0099405D"/>
    <w:rsid w:val="009A0ABE"/>
    <w:rsid w:val="009B2D4B"/>
    <w:rsid w:val="009C0430"/>
    <w:rsid w:val="009C4E99"/>
    <w:rsid w:val="009C5186"/>
    <w:rsid w:val="009C60F7"/>
    <w:rsid w:val="009D0952"/>
    <w:rsid w:val="009E31DA"/>
    <w:rsid w:val="009E402C"/>
    <w:rsid w:val="009E7C6A"/>
    <w:rsid w:val="009F7ED4"/>
    <w:rsid w:val="00A015A2"/>
    <w:rsid w:val="00A03AAC"/>
    <w:rsid w:val="00A047D1"/>
    <w:rsid w:val="00A04F76"/>
    <w:rsid w:val="00A22AD0"/>
    <w:rsid w:val="00A22DA8"/>
    <w:rsid w:val="00A31671"/>
    <w:rsid w:val="00A45320"/>
    <w:rsid w:val="00A52F8F"/>
    <w:rsid w:val="00A5612C"/>
    <w:rsid w:val="00A5689C"/>
    <w:rsid w:val="00A57AE4"/>
    <w:rsid w:val="00A63F19"/>
    <w:rsid w:val="00A644C8"/>
    <w:rsid w:val="00A66F42"/>
    <w:rsid w:val="00A76625"/>
    <w:rsid w:val="00A82627"/>
    <w:rsid w:val="00A83500"/>
    <w:rsid w:val="00A90049"/>
    <w:rsid w:val="00A917BF"/>
    <w:rsid w:val="00A96A94"/>
    <w:rsid w:val="00AA3A38"/>
    <w:rsid w:val="00AA4F94"/>
    <w:rsid w:val="00AB047E"/>
    <w:rsid w:val="00AC592E"/>
    <w:rsid w:val="00AC6C10"/>
    <w:rsid w:val="00AC7BC6"/>
    <w:rsid w:val="00AD24AA"/>
    <w:rsid w:val="00AD331F"/>
    <w:rsid w:val="00AE60D7"/>
    <w:rsid w:val="00AE7962"/>
    <w:rsid w:val="00B12B7D"/>
    <w:rsid w:val="00B16985"/>
    <w:rsid w:val="00B221B8"/>
    <w:rsid w:val="00B27206"/>
    <w:rsid w:val="00B32AA7"/>
    <w:rsid w:val="00B4012D"/>
    <w:rsid w:val="00B40F64"/>
    <w:rsid w:val="00B42A76"/>
    <w:rsid w:val="00B7378D"/>
    <w:rsid w:val="00B7446A"/>
    <w:rsid w:val="00B82413"/>
    <w:rsid w:val="00B85352"/>
    <w:rsid w:val="00B87214"/>
    <w:rsid w:val="00B92FF5"/>
    <w:rsid w:val="00B959E6"/>
    <w:rsid w:val="00BA604D"/>
    <w:rsid w:val="00BC02A1"/>
    <w:rsid w:val="00BC4585"/>
    <w:rsid w:val="00BC50F1"/>
    <w:rsid w:val="00BC73E5"/>
    <w:rsid w:val="00BD7473"/>
    <w:rsid w:val="00BD7703"/>
    <w:rsid w:val="00BE420D"/>
    <w:rsid w:val="00BF6314"/>
    <w:rsid w:val="00C14450"/>
    <w:rsid w:val="00C21520"/>
    <w:rsid w:val="00C222B2"/>
    <w:rsid w:val="00C225FB"/>
    <w:rsid w:val="00C37530"/>
    <w:rsid w:val="00C46B88"/>
    <w:rsid w:val="00C51A0C"/>
    <w:rsid w:val="00C520DB"/>
    <w:rsid w:val="00C5218C"/>
    <w:rsid w:val="00C52191"/>
    <w:rsid w:val="00C5642F"/>
    <w:rsid w:val="00C63554"/>
    <w:rsid w:val="00C71497"/>
    <w:rsid w:val="00C726C2"/>
    <w:rsid w:val="00C72F5B"/>
    <w:rsid w:val="00C73BCD"/>
    <w:rsid w:val="00C77AEF"/>
    <w:rsid w:val="00C87129"/>
    <w:rsid w:val="00C91E1B"/>
    <w:rsid w:val="00CA5FD5"/>
    <w:rsid w:val="00CA6AE6"/>
    <w:rsid w:val="00CA7703"/>
    <w:rsid w:val="00CB0F92"/>
    <w:rsid w:val="00CD4E6D"/>
    <w:rsid w:val="00CD5707"/>
    <w:rsid w:val="00CD7702"/>
    <w:rsid w:val="00CD7AA8"/>
    <w:rsid w:val="00CE29EA"/>
    <w:rsid w:val="00CE68D8"/>
    <w:rsid w:val="00CF6572"/>
    <w:rsid w:val="00D02347"/>
    <w:rsid w:val="00D04755"/>
    <w:rsid w:val="00D13737"/>
    <w:rsid w:val="00D1638E"/>
    <w:rsid w:val="00D179CA"/>
    <w:rsid w:val="00D21FFF"/>
    <w:rsid w:val="00D272A5"/>
    <w:rsid w:val="00D43AFB"/>
    <w:rsid w:val="00D46439"/>
    <w:rsid w:val="00D50E87"/>
    <w:rsid w:val="00D57B7C"/>
    <w:rsid w:val="00D62C52"/>
    <w:rsid w:val="00D64662"/>
    <w:rsid w:val="00D65B44"/>
    <w:rsid w:val="00D72F46"/>
    <w:rsid w:val="00D8099B"/>
    <w:rsid w:val="00D866A8"/>
    <w:rsid w:val="00D92F47"/>
    <w:rsid w:val="00D94B8D"/>
    <w:rsid w:val="00D96C8D"/>
    <w:rsid w:val="00DA2876"/>
    <w:rsid w:val="00DB2857"/>
    <w:rsid w:val="00DB3902"/>
    <w:rsid w:val="00DC0B51"/>
    <w:rsid w:val="00DC7FED"/>
    <w:rsid w:val="00DE27F7"/>
    <w:rsid w:val="00DF4864"/>
    <w:rsid w:val="00DF69A9"/>
    <w:rsid w:val="00E0753C"/>
    <w:rsid w:val="00E17C0C"/>
    <w:rsid w:val="00E31C5E"/>
    <w:rsid w:val="00E44E18"/>
    <w:rsid w:val="00E51302"/>
    <w:rsid w:val="00E54301"/>
    <w:rsid w:val="00E55ABD"/>
    <w:rsid w:val="00E60817"/>
    <w:rsid w:val="00E60E30"/>
    <w:rsid w:val="00E90C35"/>
    <w:rsid w:val="00EA70F1"/>
    <w:rsid w:val="00EB2516"/>
    <w:rsid w:val="00EB2C07"/>
    <w:rsid w:val="00EB374A"/>
    <w:rsid w:val="00ED62BE"/>
    <w:rsid w:val="00EF1359"/>
    <w:rsid w:val="00EF17AB"/>
    <w:rsid w:val="00EF6FA5"/>
    <w:rsid w:val="00F11104"/>
    <w:rsid w:val="00F127D6"/>
    <w:rsid w:val="00F13122"/>
    <w:rsid w:val="00F16E3F"/>
    <w:rsid w:val="00F21BD4"/>
    <w:rsid w:val="00F22499"/>
    <w:rsid w:val="00F22B0F"/>
    <w:rsid w:val="00F246CB"/>
    <w:rsid w:val="00F24B42"/>
    <w:rsid w:val="00F24F73"/>
    <w:rsid w:val="00F27299"/>
    <w:rsid w:val="00F31F6E"/>
    <w:rsid w:val="00F3389C"/>
    <w:rsid w:val="00F375F2"/>
    <w:rsid w:val="00F54EAE"/>
    <w:rsid w:val="00F66A51"/>
    <w:rsid w:val="00F71057"/>
    <w:rsid w:val="00F71A4B"/>
    <w:rsid w:val="00F728CF"/>
    <w:rsid w:val="00F743D4"/>
    <w:rsid w:val="00F7730F"/>
    <w:rsid w:val="00F83B17"/>
    <w:rsid w:val="00F87EDA"/>
    <w:rsid w:val="00F93912"/>
    <w:rsid w:val="00F970EE"/>
    <w:rsid w:val="00FA1AA6"/>
    <w:rsid w:val="00FB0BC9"/>
    <w:rsid w:val="00FB274F"/>
    <w:rsid w:val="00FB41D3"/>
    <w:rsid w:val="00FB4F70"/>
    <w:rsid w:val="00FB5EFC"/>
    <w:rsid w:val="00FB77BB"/>
    <w:rsid w:val="00FC15AA"/>
    <w:rsid w:val="00FD1375"/>
    <w:rsid w:val="00FD359E"/>
    <w:rsid w:val="00FD5F37"/>
    <w:rsid w:val="00FE0A17"/>
    <w:rsid w:val="00FE179F"/>
    <w:rsid w:val="00FF213A"/>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3"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C5D63"/>
    <w:pPr>
      <w:ind w:firstLine="360"/>
    </w:pPr>
    <w:rPr>
      <w:szCs w:val="21"/>
    </w:rPr>
  </w:style>
  <w:style w:type="paragraph" w:styleId="1">
    <w:name w:val="heading 1"/>
    <w:basedOn w:val="a"/>
    <w:next w:val="a"/>
    <w:link w:val="1Char"/>
    <w:uiPriority w:val="9"/>
    <w:qFormat/>
    <w:rsid w:val="000C5D63"/>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0C5D63"/>
    <w:pPr>
      <w:pBdr>
        <w:bottom w:val="single" w:sz="8" w:space="1" w:color="C0504D" w:themeColor="accent2"/>
      </w:pBdr>
      <w:spacing w:before="360" w:after="360"/>
      <w:ind w:leftChars="100" w:left="220" w:rightChars="100" w:right="100"/>
      <w:jc w:val="center"/>
      <w:outlineLvl w:val="1"/>
    </w:pPr>
    <w:rPr>
      <w:rFonts w:eastAsia="宋体" w:cstheme="majorBidi"/>
      <w:b/>
      <w:sz w:val="28"/>
      <w:szCs w:val="24"/>
    </w:rPr>
  </w:style>
  <w:style w:type="paragraph" w:styleId="3">
    <w:name w:val="heading 3"/>
    <w:basedOn w:val="a"/>
    <w:next w:val="a"/>
    <w:link w:val="3Char"/>
    <w:uiPriority w:val="9"/>
    <w:unhideWhenUsed/>
    <w:qFormat/>
    <w:rsid w:val="000C5D63"/>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0C5D63"/>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0">
    <w:name w:val="heading 5"/>
    <w:basedOn w:val="a"/>
    <w:next w:val="a"/>
    <w:link w:val="5Char"/>
    <w:uiPriority w:val="9"/>
    <w:semiHidden/>
    <w:unhideWhenUsed/>
    <w:qFormat/>
    <w:rsid w:val="000C5D63"/>
    <w:pPr>
      <w:keepNext/>
      <w:keepLines/>
      <w:spacing w:before="280" w:after="290" w:line="376" w:lineRule="auto"/>
      <w:outlineLvl w:val="4"/>
    </w:pPr>
    <w:rPr>
      <w:b/>
      <w:bCs/>
      <w:sz w:val="28"/>
      <w:szCs w:val="28"/>
    </w:rPr>
  </w:style>
  <w:style w:type="paragraph" w:styleId="6">
    <w:name w:val="heading 6"/>
    <w:basedOn w:val="a"/>
    <w:next w:val="a"/>
    <w:link w:val="6Char"/>
    <w:uiPriority w:val="9"/>
    <w:semiHidden/>
    <w:unhideWhenUsed/>
    <w:qFormat/>
    <w:rsid w:val="000C5D63"/>
    <w:pPr>
      <w:keepNext/>
      <w:keepLines/>
      <w:spacing w:before="240" w:after="64" w:line="320" w:lineRule="auto"/>
      <w:outlineLvl w:val="5"/>
    </w:pPr>
    <w:rPr>
      <w:rFonts w:asciiTheme="majorHAnsi" w:eastAsiaTheme="majorEastAsia" w:hAnsiTheme="majorHAnsi" w:cstheme="majorBidi"/>
      <w:b/>
      <w:bCs/>
      <w:szCs w:val="24"/>
    </w:rPr>
  </w:style>
  <w:style w:type="paragraph" w:styleId="7">
    <w:name w:val="heading 7"/>
    <w:basedOn w:val="a"/>
    <w:next w:val="a"/>
    <w:link w:val="7Char"/>
    <w:uiPriority w:val="9"/>
    <w:semiHidden/>
    <w:unhideWhenUsed/>
    <w:qFormat/>
    <w:rsid w:val="000C5D63"/>
    <w:pPr>
      <w:keepNext/>
      <w:keepLines/>
      <w:spacing w:before="240" w:after="64" w:line="320" w:lineRule="auto"/>
      <w:outlineLvl w:val="6"/>
    </w:pPr>
    <w:rPr>
      <w:b/>
      <w:bCs/>
      <w:szCs w:val="24"/>
    </w:rPr>
  </w:style>
  <w:style w:type="paragraph" w:styleId="8">
    <w:name w:val="heading 8"/>
    <w:basedOn w:val="a"/>
    <w:next w:val="a"/>
    <w:link w:val="8Char"/>
    <w:uiPriority w:val="9"/>
    <w:semiHidden/>
    <w:unhideWhenUsed/>
    <w:qFormat/>
    <w:rsid w:val="000C5D63"/>
    <w:pPr>
      <w:keepNext/>
      <w:keepLines/>
      <w:spacing w:before="240" w:after="64" w:line="320" w:lineRule="auto"/>
      <w:outlineLvl w:val="7"/>
    </w:pPr>
    <w:rPr>
      <w:rFonts w:asciiTheme="majorHAnsi" w:eastAsiaTheme="majorEastAsia" w:hAnsiTheme="majorHAnsi" w:cstheme="majorBidi"/>
      <w:szCs w:val="24"/>
    </w:rPr>
  </w:style>
  <w:style w:type="paragraph" w:styleId="9">
    <w:name w:val="heading 9"/>
    <w:basedOn w:val="a"/>
    <w:next w:val="a"/>
    <w:link w:val="9Char"/>
    <w:uiPriority w:val="9"/>
    <w:semiHidden/>
    <w:unhideWhenUsed/>
    <w:qFormat/>
    <w:rsid w:val="000C5D63"/>
    <w:pPr>
      <w:keepNext/>
      <w:keepLines/>
      <w:spacing w:before="240" w:after="64" w:line="320" w:lineRule="auto"/>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C5D63"/>
    <w:rPr>
      <w:b/>
      <w:bCs/>
      <w:kern w:val="44"/>
      <w:sz w:val="44"/>
      <w:szCs w:val="44"/>
    </w:rPr>
  </w:style>
  <w:style w:type="character" w:customStyle="1" w:styleId="2Char">
    <w:name w:val="标题 2 Char"/>
    <w:basedOn w:val="a0"/>
    <w:link w:val="2"/>
    <w:uiPriority w:val="9"/>
    <w:rsid w:val="000C5D63"/>
    <w:rPr>
      <w:rFonts w:eastAsia="宋体" w:cstheme="majorBidi"/>
      <w:b/>
      <w:sz w:val="28"/>
      <w:szCs w:val="24"/>
    </w:rPr>
  </w:style>
  <w:style w:type="character" w:customStyle="1" w:styleId="3Char">
    <w:name w:val="标题 3 Char"/>
    <w:basedOn w:val="a0"/>
    <w:link w:val="3"/>
    <w:uiPriority w:val="9"/>
    <w:rsid w:val="000C5D63"/>
    <w:rPr>
      <w:b/>
      <w:bCs/>
      <w:sz w:val="32"/>
      <w:szCs w:val="32"/>
    </w:rPr>
  </w:style>
  <w:style w:type="paragraph" w:styleId="a3">
    <w:name w:val="Normal Indent"/>
    <w:basedOn w:val="a"/>
    <w:uiPriority w:val="99"/>
    <w:rsid w:val="000C5D63"/>
    <w:pPr>
      <w:ind w:firstLineChars="200" w:firstLine="420"/>
    </w:pPr>
  </w:style>
  <w:style w:type="paragraph" w:styleId="a4">
    <w:name w:val="Body Text Indent"/>
    <w:basedOn w:val="a"/>
    <w:link w:val="Char"/>
    <w:rsid w:val="000C5D63"/>
    <w:pPr>
      <w:spacing w:before="100" w:beforeAutospacing="1" w:after="100" w:afterAutospacing="1"/>
    </w:pPr>
    <w:rPr>
      <w:rFonts w:ascii="Arial Unicode MS" w:eastAsia="Arial Unicode MS" w:hAnsi="Arial Unicode MS" w:cs="Arial Unicode MS"/>
    </w:rPr>
  </w:style>
  <w:style w:type="character" w:customStyle="1" w:styleId="Char">
    <w:name w:val="正文文本缩进 Char"/>
    <w:basedOn w:val="a0"/>
    <w:link w:val="a4"/>
    <w:rsid w:val="000C5D63"/>
    <w:rPr>
      <w:rFonts w:ascii="Arial Unicode MS" w:eastAsia="Arial Unicode MS" w:hAnsi="Arial Unicode MS" w:cs="Arial Unicode MS"/>
      <w:szCs w:val="21"/>
    </w:rPr>
  </w:style>
  <w:style w:type="paragraph" w:styleId="a5">
    <w:name w:val="Plain Text"/>
    <w:basedOn w:val="a"/>
    <w:link w:val="Char0"/>
    <w:uiPriority w:val="99"/>
    <w:rsid w:val="000C5D63"/>
    <w:rPr>
      <w:rFonts w:ascii="宋体" w:hAnsi="Courier New"/>
    </w:rPr>
  </w:style>
  <w:style w:type="character" w:customStyle="1" w:styleId="Char0">
    <w:name w:val="纯文本 Char"/>
    <w:basedOn w:val="a0"/>
    <w:link w:val="a5"/>
    <w:uiPriority w:val="99"/>
    <w:rsid w:val="000C5D63"/>
    <w:rPr>
      <w:rFonts w:ascii="宋体" w:hAnsi="Courier New"/>
      <w:szCs w:val="21"/>
    </w:rPr>
  </w:style>
  <w:style w:type="paragraph" w:styleId="20">
    <w:name w:val="Body Text Indent 2"/>
    <w:basedOn w:val="a"/>
    <w:link w:val="2Char0"/>
    <w:rsid w:val="000C5D63"/>
    <w:pPr>
      <w:spacing w:line="560" w:lineRule="exact"/>
      <w:ind w:firstLineChars="200" w:firstLine="480"/>
    </w:pPr>
    <w:rPr>
      <w:rFonts w:ascii="宋体" w:hAnsi="宋体"/>
      <w:color w:val="FF0000"/>
    </w:rPr>
  </w:style>
  <w:style w:type="character" w:customStyle="1" w:styleId="2Char0">
    <w:name w:val="正文文本缩进 2 Char"/>
    <w:basedOn w:val="a0"/>
    <w:link w:val="20"/>
    <w:rsid w:val="000C5D63"/>
    <w:rPr>
      <w:rFonts w:ascii="宋体" w:hAnsi="宋体"/>
      <w:color w:val="FF0000"/>
      <w:szCs w:val="21"/>
    </w:rPr>
  </w:style>
  <w:style w:type="paragraph" w:styleId="a6">
    <w:name w:val="footer"/>
    <w:basedOn w:val="a"/>
    <w:link w:val="Char1"/>
    <w:uiPriority w:val="99"/>
    <w:rsid w:val="000C5D63"/>
    <w:pPr>
      <w:tabs>
        <w:tab w:val="center" w:pos="4153"/>
        <w:tab w:val="right" w:pos="8306"/>
      </w:tabs>
      <w:snapToGrid w:val="0"/>
    </w:pPr>
    <w:rPr>
      <w:sz w:val="18"/>
      <w:szCs w:val="18"/>
    </w:rPr>
  </w:style>
  <w:style w:type="character" w:customStyle="1" w:styleId="Char1">
    <w:name w:val="页脚 Char"/>
    <w:basedOn w:val="a0"/>
    <w:link w:val="a6"/>
    <w:uiPriority w:val="99"/>
    <w:rsid w:val="000C5D63"/>
    <w:rPr>
      <w:sz w:val="18"/>
      <w:szCs w:val="18"/>
    </w:rPr>
  </w:style>
  <w:style w:type="character" w:styleId="a7">
    <w:name w:val="page number"/>
    <w:basedOn w:val="a0"/>
    <w:rsid w:val="000C5D63"/>
  </w:style>
  <w:style w:type="character" w:styleId="a8">
    <w:name w:val="Hyperlink"/>
    <w:basedOn w:val="a0"/>
    <w:rsid w:val="000C5D63"/>
    <w:rPr>
      <w:color w:val="0000FF"/>
      <w:u w:val="single"/>
    </w:rPr>
  </w:style>
  <w:style w:type="paragraph" w:styleId="30">
    <w:name w:val="Body Text Indent 3"/>
    <w:basedOn w:val="a"/>
    <w:link w:val="3Char0"/>
    <w:rsid w:val="000C5D63"/>
    <w:pPr>
      <w:spacing w:line="560" w:lineRule="exact"/>
      <w:ind w:firstLineChars="200" w:firstLine="420"/>
    </w:pPr>
    <w:rPr>
      <w:rFonts w:ascii="Arial" w:hAnsi="Arial" w:cs="Arial"/>
      <w:color w:val="FF0000"/>
    </w:rPr>
  </w:style>
  <w:style w:type="character" w:customStyle="1" w:styleId="3Char0">
    <w:name w:val="正文文本缩进 3 Char"/>
    <w:basedOn w:val="a0"/>
    <w:link w:val="30"/>
    <w:rsid w:val="000C5D63"/>
    <w:rPr>
      <w:rFonts w:ascii="Arial" w:hAnsi="Arial" w:cs="Arial"/>
      <w:color w:val="FF0000"/>
      <w:szCs w:val="21"/>
    </w:rPr>
  </w:style>
  <w:style w:type="paragraph" w:styleId="a9">
    <w:name w:val="header"/>
    <w:basedOn w:val="a"/>
    <w:link w:val="Char2"/>
    <w:uiPriority w:val="99"/>
    <w:rsid w:val="000C5D63"/>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9"/>
    <w:uiPriority w:val="99"/>
    <w:rsid w:val="000C5D63"/>
    <w:rPr>
      <w:sz w:val="18"/>
      <w:szCs w:val="18"/>
    </w:rPr>
  </w:style>
  <w:style w:type="character" w:styleId="aa">
    <w:name w:val="FollowedHyperlink"/>
    <w:basedOn w:val="a0"/>
    <w:uiPriority w:val="99"/>
    <w:rsid w:val="000C5D63"/>
    <w:rPr>
      <w:color w:val="800080"/>
      <w:u w:val="single"/>
    </w:rPr>
  </w:style>
  <w:style w:type="paragraph" w:styleId="ab">
    <w:name w:val="List"/>
    <w:basedOn w:val="ac"/>
    <w:rsid w:val="000C5D63"/>
    <w:pPr>
      <w:spacing w:after="220" w:line="220" w:lineRule="atLeast"/>
      <w:ind w:left="1440" w:hanging="360"/>
    </w:pPr>
    <w:rPr>
      <w:szCs w:val="20"/>
    </w:rPr>
  </w:style>
  <w:style w:type="paragraph" w:styleId="ac">
    <w:name w:val="Body Text"/>
    <w:basedOn w:val="a"/>
    <w:link w:val="Char3"/>
    <w:rsid w:val="000C5D63"/>
    <w:pPr>
      <w:spacing w:after="120"/>
    </w:pPr>
  </w:style>
  <w:style w:type="character" w:customStyle="1" w:styleId="Char3">
    <w:name w:val="正文文本 Char"/>
    <w:basedOn w:val="a0"/>
    <w:link w:val="ac"/>
    <w:rsid w:val="000C5D63"/>
    <w:rPr>
      <w:szCs w:val="21"/>
    </w:rPr>
  </w:style>
  <w:style w:type="paragraph" w:styleId="ad">
    <w:name w:val="Date"/>
    <w:basedOn w:val="a"/>
    <w:next w:val="a"/>
    <w:link w:val="Char4"/>
    <w:rsid w:val="000C5D63"/>
    <w:rPr>
      <w:szCs w:val="20"/>
    </w:rPr>
  </w:style>
  <w:style w:type="character" w:customStyle="1" w:styleId="Char4">
    <w:name w:val="日期 Char"/>
    <w:basedOn w:val="a0"/>
    <w:link w:val="ad"/>
    <w:rsid w:val="000C5D63"/>
    <w:rPr>
      <w:szCs w:val="20"/>
    </w:rPr>
  </w:style>
  <w:style w:type="character" w:customStyle="1" w:styleId="c1">
    <w:name w:val="c1"/>
    <w:basedOn w:val="a0"/>
    <w:rsid w:val="000C5D63"/>
    <w:rPr>
      <w:color w:val="000000"/>
      <w:sz w:val="18"/>
      <w:szCs w:val="18"/>
    </w:rPr>
  </w:style>
  <w:style w:type="paragraph" w:styleId="10">
    <w:name w:val="index 1"/>
    <w:basedOn w:val="a"/>
    <w:next w:val="a"/>
    <w:autoRedefine/>
    <w:rsid w:val="000C5D63"/>
    <w:pPr>
      <w:jc w:val="right"/>
    </w:pPr>
    <w:rPr>
      <w:color w:val="008000"/>
    </w:rPr>
  </w:style>
  <w:style w:type="paragraph" w:customStyle="1" w:styleId="font5">
    <w:name w:val="font5"/>
    <w:basedOn w:val="a"/>
    <w:rsid w:val="000C5D63"/>
    <w:pPr>
      <w:spacing w:before="100" w:beforeAutospacing="1" w:after="100" w:afterAutospacing="1"/>
    </w:pPr>
    <w:rPr>
      <w:rFonts w:ascii="宋体" w:hAnsi="宋体" w:cs="Arial Unicode MS" w:hint="eastAsia"/>
      <w:sz w:val="18"/>
      <w:szCs w:val="18"/>
    </w:rPr>
  </w:style>
  <w:style w:type="paragraph" w:customStyle="1" w:styleId="xl24">
    <w:name w:val="xl24"/>
    <w:basedOn w:val="a"/>
    <w:rsid w:val="000C5D63"/>
    <w:pPr>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sz w:val="29"/>
      <w:szCs w:val="29"/>
    </w:rPr>
  </w:style>
  <w:style w:type="paragraph" w:customStyle="1" w:styleId="xl25">
    <w:name w:val="xl25"/>
    <w:basedOn w:val="a"/>
    <w:rsid w:val="000C5D63"/>
    <w:pPr>
      <w:pBdr>
        <w:top w:val="single" w:sz="4" w:space="0" w:color="000000"/>
        <w:left w:val="double" w:sz="6" w:space="0" w:color="000000"/>
        <w:bottom w:val="single" w:sz="4" w:space="0" w:color="000000"/>
        <w:right w:val="single" w:sz="4" w:space="0" w:color="000000"/>
      </w:pBdr>
      <w:spacing w:before="100" w:beforeAutospacing="1" w:after="100" w:afterAutospacing="1"/>
    </w:pPr>
    <w:rPr>
      <w:rFonts w:ascii="Arial Unicode MS" w:eastAsia="Arial Unicode MS" w:hAnsi="Arial Unicode MS" w:cs="Arial Unicode MS"/>
      <w:b/>
      <w:bCs/>
      <w:color w:val="000000"/>
    </w:rPr>
  </w:style>
  <w:style w:type="paragraph" w:customStyle="1" w:styleId="xl26">
    <w:name w:val="xl26"/>
    <w:basedOn w:val="a"/>
    <w:rsid w:val="000C5D63"/>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rPr>
  </w:style>
  <w:style w:type="paragraph" w:customStyle="1" w:styleId="xl27">
    <w:name w:val="xl27"/>
    <w:basedOn w:val="a"/>
    <w:rsid w:val="000C5D63"/>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sz w:val="12"/>
      <w:szCs w:val="12"/>
    </w:rPr>
  </w:style>
  <w:style w:type="paragraph" w:customStyle="1" w:styleId="xl28">
    <w:name w:val="xl28"/>
    <w:basedOn w:val="a"/>
    <w:rsid w:val="000C5D63"/>
    <w:pPr>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rPr>
  </w:style>
  <w:style w:type="paragraph" w:customStyle="1" w:styleId="xl29">
    <w:name w:val="xl29"/>
    <w:basedOn w:val="a"/>
    <w:rsid w:val="000C5D63"/>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rPr>
  </w:style>
  <w:style w:type="paragraph" w:customStyle="1" w:styleId="xl30">
    <w:name w:val="xl30"/>
    <w:basedOn w:val="a"/>
    <w:rsid w:val="000C5D63"/>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rPr>
  </w:style>
  <w:style w:type="paragraph" w:customStyle="1" w:styleId="xl31">
    <w:name w:val="xl31"/>
    <w:basedOn w:val="a"/>
    <w:rsid w:val="000C5D63"/>
    <w:pPr>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sz w:val="22"/>
    </w:rPr>
  </w:style>
  <w:style w:type="paragraph" w:customStyle="1" w:styleId="xl32">
    <w:name w:val="xl32"/>
    <w:basedOn w:val="a"/>
    <w:rsid w:val="000C5D63"/>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sz w:val="22"/>
    </w:rPr>
  </w:style>
  <w:style w:type="paragraph" w:customStyle="1" w:styleId="xl33">
    <w:name w:val="xl33"/>
    <w:basedOn w:val="a"/>
    <w:rsid w:val="000C5D63"/>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sz w:val="22"/>
    </w:rPr>
  </w:style>
  <w:style w:type="paragraph" w:customStyle="1" w:styleId="xl34">
    <w:name w:val="xl34"/>
    <w:basedOn w:val="a"/>
    <w:uiPriority w:val="99"/>
    <w:rsid w:val="000C5D63"/>
    <w:pPr>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sz w:val="22"/>
    </w:rPr>
  </w:style>
  <w:style w:type="paragraph" w:customStyle="1" w:styleId="xl35">
    <w:name w:val="xl35"/>
    <w:basedOn w:val="a"/>
    <w:rsid w:val="000C5D63"/>
    <w:pPr>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sz w:val="23"/>
      <w:szCs w:val="23"/>
    </w:rPr>
  </w:style>
  <w:style w:type="paragraph" w:customStyle="1" w:styleId="xl36">
    <w:name w:val="xl36"/>
    <w:basedOn w:val="a"/>
    <w:rsid w:val="000C5D63"/>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sz w:val="23"/>
      <w:szCs w:val="23"/>
    </w:rPr>
  </w:style>
  <w:style w:type="paragraph" w:customStyle="1" w:styleId="xl37">
    <w:name w:val="xl37"/>
    <w:basedOn w:val="a"/>
    <w:rsid w:val="000C5D63"/>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sz w:val="23"/>
      <w:szCs w:val="23"/>
    </w:rPr>
  </w:style>
  <w:style w:type="paragraph" w:customStyle="1" w:styleId="xl38">
    <w:name w:val="xl38"/>
    <w:basedOn w:val="a"/>
    <w:rsid w:val="000C5D63"/>
    <w:pPr>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sz w:val="23"/>
      <w:szCs w:val="23"/>
    </w:rPr>
  </w:style>
  <w:style w:type="paragraph" w:styleId="ae">
    <w:name w:val="Balloon Text"/>
    <w:basedOn w:val="a"/>
    <w:link w:val="Char5"/>
    <w:rsid w:val="000C5D63"/>
    <w:rPr>
      <w:sz w:val="18"/>
      <w:szCs w:val="18"/>
    </w:rPr>
  </w:style>
  <w:style w:type="character" w:customStyle="1" w:styleId="Char5">
    <w:name w:val="批注框文本 Char"/>
    <w:basedOn w:val="a0"/>
    <w:link w:val="ae"/>
    <w:rsid w:val="000C5D63"/>
    <w:rPr>
      <w:sz w:val="18"/>
      <w:szCs w:val="18"/>
    </w:rPr>
  </w:style>
  <w:style w:type="character" w:styleId="af">
    <w:name w:val="annotation reference"/>
    <w:basedOn w:val="a0"/>
    <w:rsid w:val="000C5D63"/>
    <w:rPr>
      <w:sz w:val="21"/>
      <w:szCs w:val="21"/>
    </w:rPr>
  </w:style>
  <w:style w:type="paragraph" w:styleId="af0">
    <w:name w:val="annotation text"/>
    <w:basedOn w:val="a"/>
    <w:link w:val="Char6"/>
    <w:rsid w:val="000C5D63"/>
  </w:style>
  <w:style w:type="character" w:customStyle="1" w:styleId="Char6">
    <w:name w:val="批注文字 Char"/>
    <w:basedOn w:val="a0"/>
    <w:link w:val="af0"/>
    <w:rsid w:val="000C5D63"/>
    <w:rPr>
      <w:szCs w:val="21"/>
    </w:rPr>
  </w:style>
  <w:style w:type="paragraph" w:styleId="af1">
    <w:name w:val="annotation subject"/>
    <w:basedOn w:val="af0"/>
    <w:next w:val="af0"/>
    <w:link w:val="Char7"/>
    <w:rsid w:val="000C5D63"/>
    <w:rPr>
      <w:b/>
      <w:bCs/>
    </w:rPr>
  </w:style>
  <w:style w:type="character" w:customStyle="1" w:styleId="Char7">
    <w:name w:val="批注主题 Char"/>
    <w:basedOn w:val="Char6"/>
    <w:link w:val="af1"/>
    <w:rsid w:val="000C5D63"/>
    <w:rPr>
      <w:b/>
      <w:bCs/>
      <w:szCs w:val="21"/>
    </w:rPr>
  </w:style>
  <w:style w:type="paragraph" w:customStyle="1" w:styleId="Char8">
    <w:name w:val="Char"/>
    <w:basedOn w:val="a"/>
    <w:rsid w:val="000C5D63"/>
  </w:style>
  <w:style w:type="paragraph" w:styleId="af2">
    <w:name w:val="Document Map"/>
    <w:basedOn w:val="a"/>
    <w:link w:val="Char9"/>
    <w:rsid w:val="000C5D63"/>
    <w:pPr>
      <w:shd w:val="clear" w:color="auto" w:fill="000080"/>
    </w:pPr>
  </w:style>
  <w:style w:type="character" w:customStyle="1" w:styleId="Char9">
    <w:name w:val="文档结构图 Char"/>
    <w:basedOn w:val="a0"/>
    <w:link w:val="af2"/>
    <w:rsid w:val="000C5D63"/>
    <w:rPr>
      <w:szCs w:val="21"/>
      <w:shd w:val="clear" w:color="auto" w:fill="000080"/>
    </w:rPr>
  </w:style>
  <w:style w:type="paragraph" w:customStyle="1" w:styleId="af3">
    <w:name w:val="正文 + (符号) 宋体"/>
    <w:aliases w:val="小四,紧缩量  0.2 磅"/>
    <w:basedOn w:val="a"/>
    <w:uiPriority w:val="99"/>
    <w:rsid w:val="000C5D63"/>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0C5D63"/>
    <w:pPr>
      <w:snapToGrid w:val="0"/>
    </w:pPr>
    <w:rPr>
      <w:sz w:val="18"/>
      <w:szCs w:val="18"/>
    </w:rPr>
  </w:style>
  <w:style w:type="character" w:customStyle="1" w:styleId="Chara">
    <w:name w:val="脚注文本 Char"/>
    <w:basedOn w:val="a0"/>
    <w:link w:val="af4"/>
    <w:rsid w:val="000C5D63"/>
    <w:rPr>
      <w:sz w:val="18"/>
      <w:szCs w:val="18"/>
    </w:rPr>
  </w:style>
  <w:style w:type="character" w:styleId="af5">
    <w:name w:val="footnote reference"/>
    <w:basedOn w:val="a0"/>
    <w:rsid w:val="000C5D63"/>
    <w:rPr>
      <w:vertAlign w:val="superscript"/>
    </w:rPr>
  </w:style>
  <w:style w:type="paragraph" w:styleId="af6">
    <w:name w:val="Normal (Web)"/>
    <w:basedOn w:val="a"/>
    <w:rsid w:val="000C5D63"/>
    <w:pPr>
      <w:spacing w:before="100" w:beforeAutospacing="1" w:after="100" w:afterAutospacing="1"/>
    </w:pPr>
    <w:rPr>
      <w:rFonts w:ascii="宋体" w:hAnsi="宋体"/>
    </w:rPr>
  </w:style>
  <w:style w:type="table" w:styleId="af7">
    <w:name w:val="Table Grid"/>
    <w:basedOn w:val="a1"/>
    <w:qFormat/>
    <w:rsid w:val="000C5D63"/>
    <w:pPr>
      <w:widowControl w:val="0"/>
      <w:jc w:val="both"/>
    </w:pPr>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C5D63"/>
  </w:style>
  <w:style w:type="paragraph" w:customStyle="1" w:styleId="CharCharCharCharCharChar1CharCharChar">
    <w:name w:val="Char Char Char Char Char Char1 Char Char Char"/>
    <w:basedOn w:val="a"/>
    <w:uiPriority w:val="99"/>
    <w:rsid w:val="000C5D63"/>
    <w:pPr>
      <w:autoSpaceDE w:val="0"/>
      <w:autoSpaceDN w:val="0"/>
      <w:adjustRightInd w:val="0"/>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0C5D63"/>
    <w:pPr>
      <w:autoSpaceDE w:val="0"/>
      <w:autoSpaceDN w:val="0"/>
      <w:adjustRightInd w:val="0"/>
      <w:textAlignment w:val="baseline"/>
    </w:pPr>
    <w:rPr>
      <w:rFonts w:ascii="宋体" w:cs="宋体"/>
      <w:kern w:val="0"/>
      <w:sz w:val="34"/>
      <w:szCs w:val="34"/>
    </w:rPr>
  </w:style>
  <w:style w:type="paragraph" w:styleId="af8">
    <w:name w:val="Title"/>
    <w:basedOn w:val="a"/>
    <w:next w:val="a"/>
    <w:link w:val="Charb"/>
    <w:uiPriority w:val="10"/>
    <w:qFormat/>
    <w:rsid w:val="000C5D63"/>
    <w:pPr>
      <w:ind w:firstLine="0"/>
      <w:jc w:val="center"/>
    </w:pPr>
    <w:rPr>
      <w:rFonts w:asciiTheme="majorHAnsi" w:eastAsia="宋体" w:hAnsiTheme="majorHAnsi" w:cstheme="majorBidi"/>
      <w:b/>
      <w:iCs/>
      <w:sz w:val="52"/>
      <w:szCs w:val="60"/>
    </w:rPr>
  </w:style>
  <w:style w:type="character" w:customStyle="1" w:styleId="Charb">
    <w:name w:val="标题 Char"/>
    <w:basedOn w:val="a0"/>
    <w:link w:val="af8"/>
    <w:uiPriority w:val="10"/>
    <w:rsid w:val="000C5D63"/>
    <w:rPr>
      <w:rFonts w:asciiTheme="majorHAnsi" w:eastAsia="宋体" w:hAnsiTheme="majorHAnsi" w:cstheme="majorBidi"/>
      <w:b/>
      <w:iCs/>
      <w:sz w:val="52"/>
      <w:szCs w:val="60"/>
    </w:rPr>
  </w:style>
  <w:style w:type="paragraph" w:customStyle="1" w:styleId="CharCharCharCharCharChar1CharCharChar1">
    <w:name w:val="Char Char Char Char Char Char1 Char Char Char1"/>
    <w:basedOn w:val="a"/>
    <w:uiPriority w:val="99"/>
    <w:rsid w:val="000C5D63"/>
    <w:pPr>
      <w:autoSpaceDE w:val="0"/>
      <w:autoSpaceDN w:val="0"/>
      <w:adjustRightInd w:val="0"/>
      <w:textAlignment w:val="baseline"/>
    </w:pPr>
    <w:rPr>
      <w:rFonts w:ascii="宋体" w:cs="宋体"/>
      <w:kern w:val="0"/>
      <w:sz w:val="34"/>
      <w:szCs w:val="34"/>
    </w:rPr>
  </w:style>
  <w:style w:type="paragraph" w:styleId="af9">
    <w:name w:val="No Spacing"/>
    <w:basedOn w:val="a"/>
    <w:link w:val="Charc"/>
    <w:uiPriority w:val="1"/>
    <w:qFormat/>
    <w:rsid w:val="000C5D63"/>
    <w:pPr>
      <w:ind w:firstLine="0"/>
    </w:pPr>
  </w:style>
  <w:style w:type="character" w:customStyle="1" w:styleId="Charc">
    <w:name w:val="无间隔 Char"/>
    <w:basedOn w:val="a0"/>
    <w:link w:val="af9"/>
    <w:uiPriority w:val="1"/>
    <w:locked/>
    <w:rsid w:val="000C5D63"/>
    <w:rPr>
      <w:szCs w:val="21"/>
    </w:rPr>
  </w:style>
  <w:style w:type="character" w:customStyle="1" w:styleId="t1">
    <w:name w:val="t1"/>
    <w:basedOn w:val="a0"/>
    <w:rsid w:val="000C5D63"/>
    <w:rPr>
      <w:color w:val="990000"/>
    </w:rPr>
  </w:style>
  <w:style w:type="paragraph" w:styleId="afa">
    <w:name w:val="List Paragraph"/>
    <w:basedOn w:val="a"/>
    <w:uiPriority w:val="34"/>
    <w:rsid w:val="000C5D63"/>
    <w:pPr>
      <w:ind w:firstLineChars="200" w:firstLine="420"/>
    </w:pPr>
  </w:style>
  <w:style w:type="paragraph" w:customStyle="1" w:styleId="Default">
    <w:name w:val="Default"/>
    <w:rsid w:val="000C5D63"/>
    <w:pPr>
      <w:widowControl w:val="0"/>
      <w:autoSpaceDE w:val="0"/>
      <w:autoSpaceDN w:val="0"/>
      <w:adjustRightInd w:val="0"/>
    </w:pPr>
    <w:rPr>
      <w:rFonts w:ascii="FangSong" w:hAnsi="FangSong" w:cs="FangSong"/>
      <w:color w:val="000000"/>
      <w:sz w:val="24"/>
      <w:szCs w:val="24"/>
    </w:rPr>
  </w:style>
  <w:style w:type="character" w:styleId="afb">
    <w:name w:val="Strong"/>
    <w:basedOn w:val="a0"/>
    <w:uiPriority w:val="22"/>
    <w:qFormat/>
    <w:rsid w:val="000C5D63"/>
    <w:rPr>
      <w:rFonts w:eastAsia="宋体"/>
      <w:b/>
      <w:bCs/>
      <w:spacing w:val="0"/>
      <w:sz w:val="30"/>
    </w:rPr>
  </w:style>
  <w:style w:type="paragraph" w:styleId="TOC">
    <w:name w:val="TOC Heading"/>
    <w:basedOn w:val="1"/>
    <w:next w:val="a"/>
    <w:uiPriority w:val="39"/>
    <w:semiHidden/>
    <w:unhideWhenUsed/>
    <w:qFormat/>
    <w:rsid w:val="000C5D63"/>
    <w:pPr>
      <w:outlineLvl w:val="9"/>
    </w:pPr>
  </w:style>
  <w:style w:type="paragraph" w:customStyle="1" w:styleId="31">
    <w:name w:val="样式3"/>
    <w:basedOn w:val="3"/>
    <w:link w:val="3Char1"/>
    <w:rsid w:val="000C5D63"/>
    <w:pPr>
      <w:spacing w:line="360" w:lineRule="auto"/>
    </w:pPr>
    <w:rPr>
      <w:rFonts w:ascii="黑体" w:eastAsia="黑体" w:hAnsi="黑体"/>
      <w:sz w:val="24"/>
      <w:szCs w:val="24"/>
    </w:rPr>
  </w:style>
  <w:style w:type="character" w:customStyle="1" w:styleId="3Char1">
    <w:name w:val="样式3 Char"/>
    <w:basedOn w:val="a0"/>
    <w:link w:val="31"/>
    <w:rsid w:val="000C5D63"/>
    <w:rPr>
      <w:rFonts w:ascii="黑体" w:eastAsia="黑体" w:hAnsi="黑体"/>
      <w:b/>
      <w:bCs/>
      <w:sz w:val="24"/>
      <w:szCs w:val="24"/>
    </w:rPr>
  </w:style>
  <w:style w:type="paragraph" w:customStyle="1" w:styleId="xx">
    <w:name w:val="x.x三级"/>
    <w:basedOn w:val="31"/>
    <w:link w:val="xxChar"/>
    <w:qFormat/>
    <w:rsid w:val="000C5D63"/>
    <w:pPr>
      <w:spacing w:line="240" w:lineRule="auto"/>
    </w:pPr>
    <w:rPr>
      <w:rFonts w:asciiTheme="minorEastAsia" w:eastAsia="宋体" w:hAnsiTheme="minorEastAsia"/>
    </w:rPr>
  </w:style>
  <w:style w:type="character" w:customStyle="1" w:styleId="xxChar">
    <w:name w:val="x.x三级 Char"/>
    <w:basedOn w:val="3Char1"/>
    <w:link w:val="xx"/>
    <w:rsid w:val="000C5D63"/>
    <w:rPr>
      <w:rFonts w:asciiTheme="minorEastAsia" w:eastAsia="宋体" w:hAnsiTheme="minorEastAsia"/>
      <w:b/>
      <w:bCs/>
      <w:sz w:val="24"/>
      <w:szCs w:val="24"/>
    </w:rPr>
  </w:style>
  <w:style w:type="paragraph" w:customStyle="1" w:styleId="new">
    <w:name w:val="正文小标题new"/>
    <w:basedOn w:val="a"/>
    <w:link w:val="newChar"/>
    <w:qFormat/>
    <w:rsid w:val="000C5D63"/>
    <w:pPr>
      <w:autoSpaceDE w:val="0"/>
      <w:autoSpaceDN w:val="0"/>
      <w:adjustRightInd w:val="0"/>
      <w:spacing w:line="360" w:lineRule="auto"/>
    </w:pPr>
    <w:rPr>
      <w:rFonts w:ascii="宋体" w:hAnsi="宋体"/>
      <w:b/>
      <w:color w:val="000000" w:themeColor="text1"/>
    </w:rPr>
  </w:style>
  <w:style w:type="character" w:customStyle="1" w:styleId="newChar">
    <w:name w:val="正文小标题new Char"/>
    <w:basedOn w:val="a0"/>
    <w:link w:val="new"/>
    <w:rsid w:val="000C5D63"/>
    <w:rPr>
      <w:rFonts w:ascii="宋体" w:hAnsi="宋体"/>
      <w:b/>
      <w:color w:val="000000" w:themeColor="text1"/>
      <w:szCs w:val="21"/>
    </w:rPr>
  </w:style>
  <w:style w:type="paragraph" w:customStyle="1" w:styleId="xx0">
    <w:name w:val="x.x三级标"/>
    <w:basedOn w:val="new"/>
    <w:next w:val="32"/>
    <w:link w:val="xxChar0"/>
    <w:rsid w:val="000C5D63"/>
    <w:rPr>
      <w:rFonts w:eastAsia="黑体"/>
    </w:rPr>
  </w:style>
  <w:style w:type="character" w:customStyle="1" w:styleId="xxChar0">
    <w:name w:val="x.x三级标 Char"/>
    <w:basedOn w:val="newChar"/>
    <w:link w:val="xx0"/>
    <w:rsid w:val="000C5D63"/>
    <w:rPr>
      <w:rFonts w:ascii="宋体" w:eastAsia="黑体" w:hAnsi="宋体"/>
      <w:b/>
      <w:color w:val="000000" w:themeColor="text1"/>
      <w:szCs w:val="21"/>
    </w:rPr>
  </w:style>
  <w:style w:type="paragraph" w:styleId="32">
    <w:name w:val="index 3"/>
    <w:basedOn w:val="a"/>
    <w:next w:val="a"/>
    <w:autoRedefine/>
    <w:rsid w:val="000C5D63"/>
    <w:pPr>
      <w:ind w:leftChars="400" w:left="400" w:firstLine="0"/>
    </w:pPr>
  </w:style>
  <w:style w:type="paragraph" w:customStyle="1" w:styleId="xxnew">
    <w:name w:val="x.x三级标new"/>
    <w:basedOn w:val="xx0"/>
    <w:next w:val="xx0"/>
    <w:link w:val="xxnewChar"/>
    <w:rsid w:val="000C5D63"/>
  </w:style>
  <w:style w:type="character" w:customStyle="1" w:styleId="xxnewChar">
    <w:name w:val="x.x三级标new Char"/>
    <w:basedOn w:val="xxChar0"/>
    <w:link w:val="xxnew"/>
    <w:rsid w:val="000C5D63"/>
    <w:rPr>
      <w:rFonts w:ascii="宋体" w:eastAsia="黑体" w:hAnsi="宋体"/>
      <w:b/>
      <w:color w:val="000000" w:themeColor="text1"/>
      <w:szCs w:val="21"/>
    </w:rPr>
  </w:style>
  <w:style w:type="character" w:customStyle="1" w:styleId="4Char">
    <w:name w:val="标题 4 Char"/>
    <w:basedOn w:val="a0"/>
    <w:link w:val="4"/>
    <w:uiPriority w:val="9"/>
    <w:semiHidden/>
    <w:rsid w:val="000C5D63"/>
    <w:rPr>
      <w:rFonts w:asciiTheme="majorHAnsi" w:eastAsiaTheme="majorEastAsia" w:hAnsiTheme="majorHAnsi" w:cstheme="majorBidi"/>
      <w:b/>
      <w:bCs/>
      <w:sz w:val="28"/>
      <w:szCs w:val="28"/>
    </w:rPr>
  </w:style>
  <w:style w:type="character" w:customStyle="1" w:styleId="5Char">
    <w:name w:val="标题 5 Char"/>
    <w:basedOn w:val="a0"/>
    <w:link w:val="50"/>
    <w:uiPriority w:val="9"/>
    <w:semiHidden/>
    <w:rsid w:val="000C5D63"/>
    <w:rPr>
      <w:b/>
      <w:bCs/>
      <w:sz w:val="28"/>
      <w:szCs w:val="28"/>
    </w:rPr>
  </w:style>
  <w:style w:type="character" w:customStyle="1" w:styleId="6Char">
    <w:name w:val="标题 6 Char"/>
    <w:basedOn w:val="a0"/>
    <w:link w:val="6"/>
    <w:uiPriority w:val="9"/>
    <w:semiHidden/>
    <w:rsid w:val="000C5D63"/>
    <w:rPr>
      <w:rFonts w:asciiTheme="majorHAnsi" w:eastAsiaTheme="majorEastAsia" w:hAnsiTheme="majorHAnsi" w:cstheme="majorBidi"/>
      <w:b/>
      <w:bCs/>
      <w:szCs w:val="24"/>
    </w:rPr>
  </w:style>
  <w:style w:type="character" w:customStyle="1" w:styleId="7Char">
    <w:name w:val="标题 7 Char"/>
    <w:basedOn w:val="a0"/>
    <w:link w:val="7"/>
    <w:uiPriority w:val="9"/>
    <w:semiHidden/>
    <w:rsid w:val="000C5D63"/>
    <w:rPr>
      <w:b/>
      <w:bCs/>
      <w:szCs w:val="24"/>
    </w:rPr>
  </w:style>
  <w:style w:type="character" w:customStyle="1" w:styleId="8Char">
    <w:name w:val="标题 8 Char"/>
    <w:basedOn w:val="a0"/>
    <w:link w:val="8"/>
    <w:uiPriority w:val="9"/>
    <w:semiHidden/>
    <w:rsid w:val="000C5D63"/>
    <w:rPr>
      <w:rFonts w:asciiTheme="majorHAnsi" w:eastAsiaTheme="majorEastAsia" w:hAnsiTheme="majorHAnsi" w:cstheme="majorBidi"/>
      <w:szCs w:val="24"/>
    </w:rPr>
  </w:style>
  <w:style w:type="character" w:customStyle="1" w:styleId="9Char">
    <w:name w:val="标题 9 Char"/>
    <w:basedOn w:val="a0"/>
    <w:link w:val="9"/>
    <w:uiPriority w:val="9"/>
    <w:semiHidden/>
    <w:rsid w:val="000C5D63"/>
    <w:rPr>
      <w:rFonts w:asciiTheme="majorHAnsi" w:eastAsiaTheme="majorEastAsia" w:hAnsiTheme="majorHAnsi" w:cstheme="majorBidi"/>
      <w:szCs w:val="21"/>
    </w:rPr>
  </w:style>
  <w:style w:type="paragraph" w:customStyle="1" w:styleId="40">
    <w:name w:val="标题4"/>
    <w:basedOn w:val="4"/>
    <w:link w:val="4Char0"/>
    <w:rsid w:val="000C5D63"/>
  </w:style>
  <w:style w:type="character" w:customStyle="1" w:styleId="4Char0">
    <w:name w:val="标题4 Char"/>
    <w:basedOn w:val="4Char"/>
    <w:link w:val="40"/>
    <w:rsid w:val="000C5D63"/>
    <w:rPr>
      <w:rFonts w:asciiTheme="majorHAnsi" w:eastAsiaTheme="majorEastAsia" w:hAnsiTheme="majorHAnsi" w:cstheme="majorBidi"/>
      <w:b/>
      <w:bCs/>
      <w:sz w:val="28"/>
      <w:szCs w:val="28"/>
    </w:rPr>
  </w:style>
  <w:style w:type="character" w:styleId="afc">
    <w:name w:val="Subtle Reference"/>
    <w:uiPriority w:val="31"/>
    <w:rsid w:val="000C5D63"/>
    <w:rPr>
      <w:rFonts w:asciiTheme="minorEastAsia" w:hAnsiTheme="minorEastAsia"/>
      <w:smallCaps/>
      <w:color w:val="auto"/>
      <w:sz w:val="24"/>
    </w:rPr>
  </w:style>
  <w:style w:type="character" w:styleId="afd">
    <w:name w:val="Subtle Emphasis"/>
    <w:uiPriority w:val="19"/>
    <w:rsid w:val="000C5D63"/>
    <w:rPr>
      <w:i/>
      <w:iCs/>
      <w:color w:val="808080" w:themeColor="text1" w:themeTint="7F"/>
    </w:rPr>
  </w:style>
  <w:style w:type="paragraph" w:styleId="afe">
    <w:name w:val="Subtitle"/>
    <w:basedOn w:val="a"/>
    <w:next w:val="a"/>
    <w:link w:val="Chard"/>
    <w:uiPriority w:val="11"/>
    <w:qFormat/>
    <w:rsid w:val="000C5D63"/>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d">
    <w:name w:val="副标题 Char"/>
    <w:basedOn w:val="a0"/>
    <w:link w:val="afe"/>
    <w:uiPriority w:val="11"/>
    <w:rsid w:val="000C5D63"/>
    <w:rPr>
      <w:rFonts w:asciiTheme="majorHAnsi" w:eastAsia="宋体" w:hAnsiTheme="majorHAnsi" w:cstheme="majorBidi"/>
      <w:b/>
      <w:bCs/>
      <w:kern w:val="28"/>
      <w:sz w:val="32"/>
      <w:szCs w:val="32"/>
    </w:rPr>
  </w:style>
  <w:style w:type="character" w:styleId="aff">
    <w:name w:val="Intense Reference"/>
    <w:basedOn w:val="a0"/>
    <w:uiPriority w:val="32"/>
    <w:rsid w:val="000C5D63"/>
    <w:rPr>
      <w:b/>
      <w:bCs/>
      <w:smallCaps/>
      <w:color w:val="C0504D" w:themeColor="accent2"/>
      <w:spacing w:val="5"/>
      <w:u w:val="single"/>
    </w:rPr>
  </w:style>
  <w:style w:type="character" w:styleId="aff0">
    <w:name w:val="Intense Emphasis"/>
    <w:uiPriority w:val="21"/>
    <w:rsid w:val="000C5D63"/>
    <w:rPr>
      <w:b/>
      <w:bCs/>
      <w:i/>
      <w:iCs/>
      <w:color w:val="4F81BD" w:themeColor="accent1"/>
    </w:rPr>
  </w:style>
  <w:style w:type="paragraph" w:styleId="aff1">
    <w:name w:val="Intense Quote"/>
    <w:basedOn w:val="a"/>
    <w:next w:val="a"/>
    <w:link w:val="Chare"/>
    <w:uiPriority w:val="30"/>
    <w:rsid w:val="000C5D63"/>
    <w:pPr>
      <w:pBdr>
        <w:bottom w:val="single" w:sz="4" w:space="4" w:color="4F81BD" w:themeColor="accent1"/>
      </w:pBdr>
      <w:spacing w:before="200" w:after="280"/>
      <w:ind w:left="936" w:right="936"/>
    </w:pPr>
    <w:rPr>
      <w:b/>
      <w:bCs/>
      <w:i/>
      <w:iCs/>
      <w:color w:val="4F81BD" w:themeColor="accent1"/>
    </w:rPr>
  </w:style>
  <w:style w:type="character" w:customStyle="1" w:styleId="Chare">
    <w:name w:val="明显引用 Char"/>
    <w:basedOn w:val="a0"/>
    <w:link w:val="aff1"/>
    <w:uiPriority w:val="30"/>
    <w:rsid w:val="000C5D63"/>
    <w:rPr>
      <w:b/>
      <w:bCs/>
      <w:i/>
      <w:iCs/>
      <w:color w:val="4F81BD" w:themeColor="accent1"/>
      <w:szCs w:val="21"/>
    </w:rPr>
  </w:style>
  <w:style w:type="character" w:styleId="aff2">
    <w:name w:val="Emphasis"/>
    <w:uiPriority w:val="20"/>
    <w:rsid w:val="000C5D63"/>
    <w:rPr>
      <w:i/>
      <w:iCs/>
    </w:rPr>
  </w:style>
  <w:style w:type="character" w:styleId="aff3">
    <w:name w:val="Book Title"/>
    <w:basedOn w:val="a0"/>
    <w:uiPriority w:val="33"/>
    <w:rsid w:val="000C5D63"/>
    <w:rPr>
      <w:b/>
      <w:bCs/>
      <w:smallCaps/>
      <w:spacing w:val="5"/>
    </w:rPr>
  </w:style>
  <w:style w:type="paragraph" w:styleId="aff4">
    <w:name w:val="caption"/>
    <w:basedOn w:val="a"/>
    <w:next w:val="a"/>
    <w:uiPriority w:val="35"/>
    <w:semiHidden/>
    <w:unhideWhenUsed/>
    <w:qFormat/>
    <w:rsid w:val="000C5D63"/>
    <w:rPr>
      <w:rFonts w:asciiTheme="majorHAnsi" w:eastAsia="黑体" w:hAnsiTheme="majorHAnsi" w:cstheme="majorBidi"/>
      <w:sz w:val="20"/>
      <w:szCs w:val="20"/>
    </w:rPr>
  </w:style>
  <w:style w:type="paragraph" w:customStyle="1" w:styleId="aff5">
    <w:name w:val="无分隔首行缩进"/>
    <w:basedOn w:val="af9"/>
    <w:link w:val="Charf"/>
    <w:qFormat/>
    <w:rsid w:val="000C5D63"/>
    <w:pPr>
      <w:ind w:firstLineChars="202" w:firstLine="424"/>
    </w:pPr>
  </w:style>
  <w:style w:type="character" w:customStyle="1" w:styleId="Charf">
    <w:name w:val="无分隔首行缩进 Char"/>
    <w:basedOn w:val="Charc"/>
    <w:link w:val="aff5"/>
    <w:rsid w:val="000C5D63"/>
    <w:rPr>
      <w:szCs w:val="21"/>
    </w:rPr>
  </w:style>
  <w:style w:type="paragraph" w:customStyle="1" w:styleId="11">
    <w:name w:val="样式1"/>
    <w:basedOn w:val="xxnew"/>
    <w:next w:val="3"/>
    <w:rsid w:val="000C5D63"/>
  </w:style>
  <w:style w:type="paragraph" w:customStyle="1" w:styleId="21">
    <w:name w:val="样式2"/>
    <w:basedOn w:val="xxnew"/>
    <w:link w:val="2Char1"/>
    <w:rsid w:val="000C5D63"/>
  </w:style>
  <w:style w:type="character" w:customStyle="1" w:styleId="2Char1">
    <w:name w:val="样式2 Char"/>
    <w:basedOn w:val="xxnewChar"/>
    <w:link w:val="21"/>
    <w:rsid w:val="000C5D63"/>
    <w:rPr>
      <w:rFonts w:ascii="宋体" w:eastAsia="黑体" w:hAnsi="宋体"/>
      <w:b/>
      <w:color w:val="000000" w:themeColor="text1"/>
      <w:szCs w:val="21"/>
    </w:rPr>
  </w:style>
  <w:style w:type="paragraph" w:customStyle="1" w:styleId="41">
    <w:name w:val="样式4"/>
    <w:basedOn w:val="40"/>
    <w:link w:val="4Char1"/>
    <w:qFormat/>
    <w:rsid w:val="000C5D63"/>
    <w:pPr>
      <w:spacing w:before="40" w:after="50" w:line="240" w:lineRule="auto"/>
    </w:pPr>
    <w:rPr>
      <w:sz w:val="22"/>
      <w:szCs w:val="24"/>
    </w:rPr>
  </w:style>
  <w:style w:type="character" w:customStyle="1" w:styleId="4Char1">
    <w:name w:val="样式4 Char"/>
    <w:basedOn w:val="4Char0"/>
    <w:link w:val="41"/>
    <w:rsid w:val="000C5D63"/>
    <w:rPr>
      <w:rFonts w:asciiTheme="majorHAnsi" w:eastAsiaTheme="majorEastAsia" w:hAnsiTheme="majorHAnsi" w:cstheme="majorBidi"/>
      <w:b/>
      <w:bCs/>
      <w:sz w:val="22"/>
      <w:szCs w:val="24"/>
    </w:rPr>
  </w:style>
  <w:style w:type="numbering" w:customStyle="1" w:styleId="5">
    <w:name w:val="样式5"/>
    <w:rsid w:val="000C5D63"/>
    <w:pPr>
      <w:numPr>
        <w:numId w:val="5"/>
      </w:numPr>
    </w:pPr>
  </w:style>
  <w:style w:type="character" w:customStyle="1" w:styleId="12">
    <w:name w:val="已访问的超链接1"/>
    <w:basedOn w:val="a0"/>
    <w:rsid w:val="000C5D63"/>
    <w:rPr>
      <w:color w:val="800080"/>
      <w:u w:val="single"/>
    </w:rPr>
  </w:style>
  <w:style w:type="paragraph" w:styleId="aff6">
    <w:name w:val="Quote"/>
    <w:aliases w:val="正文小标题"/>
    <w:basedOn w:val="a"/>
    <w:next w:val="a"/>
    <w:link w:val="Charf0"/>
    <w:uiPriority w:val="29"/>
    <w:rsid w:val="000C5D63"/>
    <w:pPr>
      <w:spacing w:line="360" w:lineRule="auto"/>
    </w:pPr>
    <w:rPr>
      <w:b/>
      <w:iCs/>
      <w:color w:val="000000" w:themeColor="text1"/>
    </w:rPr>
  </w:style>
  <w:style w:type="character" w:customStyle="1" w:styleId="Charf0">
    <w:name w:val="引用 Char"/>
    <w:aliases w:val="正文小标题 Char"/>
    <w:basedOn w:val="a0"/>
    <w:link w:val="aff6"/>
    <w:uiPriority w:val="29"/>
    <w:rsid w:val="000C5D63"/>
    <w:rPr>
      <w:b/>
      <w:iCs/>
      <w:color w:val="000000" w:themeColor="text1"/>
      <w:szCs w:val="21"/>
    </w:rPr>
  </w:style>
  <w:style w:type="paragraph" w:customStyle="1" w:styleId="new0">
    <w:name w:val="正文new"/>
    <w:basedOn w:val="a"/>
    <w:link w:val="newChar0"/>
    <w:qFormat/>
    <w:rsid w:val="000C5D63"/>
    <w:pPr>
      <w:spacing w:line="360" w:lineRule="auto"/>
    </w:pPr>
    <w:rPr>
      <w:rFonts w:asciiTheme="minorEastAsia" w:hAnsiTheme="minorEastAsia"/>
    </w:rPr>
  </w:style>
  <w:style w:type="character" w:customStyle="1" w:styleId="newChar0">
    <w:name w:val="正文new Char"/>
    <w:basedOn w:val="a0"/>
    <w:link w:val="new0"/>
    <w:rsid w:val="000C5D63"/>
    <w:rPr>
      <w:rFonts w:asciiTheme="minorEastAsia" w:hAnsiTheme="minorEastAsia"/>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Char">
    <w:name w:val="5"/>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2025131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F2BC45-0E82-411C-8BD8-F5C195A02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1852</TotalTime>
  <Pages>13</Pages>
  <Words>1634</Words>
  <Characters>9320</Characters>
  <Application>Microsoft Office Word</Application>
  <DocSecurity>0</DocSecurity>
  <Lines>77</Lines>
  <Paragraphs>21</Paragraphs>
  <ScaleCrop>false</ScaleCrop>
  <Company/>
  <LinksUpToDate>false</LinksUpToDate>
  <CharactersWithSpaces>10933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张令坡</cp:lastModifiedBy>
  <cp:revision>320</cp:revision>
  <dcterms:created xsi:type="dcterms:W3CDTF">2012-10-16T06:07:00Z</dcterms:created>
  <dcterms:modified xsi:type="dcterms:W3CDTF">2020-01-15T08:14:00Z</dcterms:modified>
</cp:coreProperties>
</file>