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63DD">
      <w:pPr>
        <w:tabs>
          <w:tab w:val="left" w:pos="8280"/>
        </w:tabs>
        <w:spacing w:line="440" w:lineRule="exact"/>
        <w:jc w:val="center"/>
        <w:rPr>
          <w:rFonts w:ascii="黑体" w:eastAsia="黑体" w:hAnsi="黑体" w:cs="黑体" w:hint="eastAsia"/>
          <w:b/>
          <w:sz w:val="30"/>
          <w:szCs w:val="30"/>
        </w:rPr>
      </w:pPr>
      <w:r>
        <w:rPr>
          <w:rFonts w:ascii="黑体" w:eastAsia="黑体" w:hAnsi="黑体" w:cs="黑体" w:hint="eastAsia"/>
          <w:b/>
          <w:sz w:val="30"/>
          <w:szCs w:val="30"/>
        </w:rPr>
        <w:t>东吴移动互联灵活配置混合型证券投资基金调整大额申购</w:t>
      </w:r>
    </w:p>
    <w:p w:rsidR="00000000" w:rsidRDefault="00CE63DD">
      <w:pPr>
        <w:tabs>
          <w:tab w:val="left" w:pos="8280"/>
        </w:tabs>
        <w:spacing w:line="440" w:lineRule="exact"/>
        <w:jc w:val="center"/>
        <w:rPr>
          <w:rFonts w:ascii="黑体" w:eastAsia="黑体" w:hAnsi="黑体" w:cs="黑体" w:hint="eastAsia"/>
          <w:b/>
          <w:sz w:val="30"/>
          <w:szCs w:val="30"/>
        </w:rPr>
      </w:pPr>
      <w:r>
        <w:rPr>
          <w:rFonts w:ascii="黑体" w:eastAsia="黑体" w:hAnsi="黑体" w:cs="黑体" w:hint="eastAsia"/>
          <w:b/>
          <w:sz w:val="30"/>
          <w:szCs w:val="30"/>
        </w:rPr>
        <w:t>（含定期定额）、大额转换转入业务限额的公告</w:t>
      </w:r>
    </w:p>
    <w:p w:rsidR="00000000" w:rsidRDefault="00CE63DD">
      <w:pPr>
        <w:jc w:val="center"/>
        <w:rPr>
          <w:rFonts w:hint="eastAsia"/>
          <w:b/>
          <w:sz w:val="24"/>
          <w:szCs w:val="24"/>
        </w:rPr>
      </w:pPr>
    </w:p>
    <w:p w:rsidR="00000000" w:rsidRDefault="00CE63DD">
      <w:pPr>
        <w:jc w:val="center"/>
        <w:rPr>
          <w:rFonts w:ascii="宋体" w:eastAsia="宋体" w:hAnsi="宋体" w:cs="宋体" w:hint="eastAsia"/>
          <w:sz w:val="24"/>
        </w:rPr>
      </w:pPr>
      <w:r>
        <w:rPr>
          <w:rFonts w:ascii="宋体" w:eastAsia="宋体" w:hAnsi="宋体" w:cs="宋体" w:hint="eastAsia"/>
          <w:sz w:val="24"/>
        </w:rPr>
        <w:t>公告送出日期：</w:t>
      </w:r>
      <w:r>
        <w:rPr>
          <w:rFonts w:ascii="宋体" w:eastAsia="宋体" w:hAnsi="宋体" w:cs="宋体" w:hint="eastAsia"/>
          <w:sz w:val="24"/>
        </w:rPr>
        <w:t>2020</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9</w:t>
      </w:r>
      <w:r>
        <w:rPr>
          <w:rFonts w:ascii="宋体" w:eastAsia="宋体" w:hAnsi="宋体" w:cs="宋体" w:hint="eastAsia"/>
          <w:sz w:val="24"/>
        </w:rPr>
        <w:t>日</w:t>
      </w:r>
      <w:r>
        <w:rPr>
          <w:rFonts w:ascii="宋体" w:eastAsia="宋体" w:hAnsi="宋体" w:cs="宋体" w:hint="eastAsia"/>
          <w:sz w:val="24"/>
        </w:rPr>
        <w:t xml:space="preserve">  </w:t>
      </w:r>
    </w:p>
    <w:p w:rsidR="00000000" w:rsidRDefault="00CE63DD">
      <w:pPr>
        <w:pStyle w:val="2"/>
        <w:spacing w:line="240" w:lineRule="exact"/>
        <w:rPr>
          <w:rFonts w:ascii="宋体" w:eastAsia="宋体" w:hAnsi="宋体" w:cs="宋体" w:hint="eastAsia"/>
          <w:bCs w:val="0"/>
          <w:sz w:val="24"/>
          <w:szCs w:val="24"/>
        </w:rPr>
      </w:pPr>
      <w:bookmarkStart w:id="0" w:name="_Toc275961405"/>
      <w:r>
        <w:rPr>
          <w:rFonts w:ascii="宋体" w:eastAsia="宋体" w:hAnsi="宋体" w:cs="宋体" w:hint="eastAsia"/>
          <w:bCs w:val="0"/>
          <w:sz w:val="24"/>
          <w:szCs w:val="24"/>
        </w:rPr>
        <w:t xml:space="preserve">1 </w:t>
      </w:r>
      <w:r>
        <w:rPr>
          <w:rFonts w:ascii="宋体" w:eastAsia="宋体" w:hAnsi="宋体" w:cs="宋体" w:hint="eastAsia"/>
          <w:bCs w:val="0"/>
          <w:sz w:val="24"/>
          <w:szCs w:val="24"/>
        </w:rPr>
        <w:t>公告基本信息</w:t>
      </w:r>
      <w:bookmarkEnd w:id="0"/>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6"/>
        <w:gridCol w:w="2894"/>
        <w:gridCol w:w="2127"/>
        <w:gridCol w:w="2128"/>
      </w:tblGrid>
      <w:tr w:rsidR="00000000">
        <w:trPr>
          <w:jc w:val="center"/>
        </w:trPr>
        <w:tc>
          <w:tcPr>
            <w:tcW w:w="4380" w:type="dxa"/>
            <w:gridSpan w:val="2"/>
          </w:tcPr>
          <w:p w:rsidR="00000000" w:rsidRDefault="00CE63DD">
            <w:pPr>
              <w:spacing w:line="400" w:lineRule="exact"/>
              <w:rPr>
                <w:rFonts w:ascii="宋体" w:eastAsia="宋体" w:hAnsi="宋体" w:cs="宋体" w:hint="eastAsia"/>
                <w:sz w:val="21"/>
                <w:szCs w:val="21"/>
                <w:highlight w:val="cyan"/>
              </w:rPr>
            </w:pPr>
            <w:r>
              <w:rPr>
                <w:rFonts w:ascii="宋体" w:eastAsia="宋体" w:hAnsi="宋体" w:cs="宋体" w:hint="eastAsia"/>
                <w:sz w:val="21"/>
                <w:szCs w:val="21"/>
              </w:rPr>
              <w:t>基金名称</w:t>
            </w:r>
          </w:p>
        </w:tc>
        <w:tc>
          <w:tcPr>
            <w:tcW w:w="4255" w:type="dxa"/>
            <w:gridSpan w:val="2"/>
          </w:tcPr>
          <w:p w:rsidR="00000000" w:rsidRDefault="00CE63DD">
            <w:pPr>
              <w:spacing w:line="400" w:lineRule="exact"/>
              <w:rPr>
                <w:rFonts w:ascii="宋体" w:eastAsia="宋体" w:hAnsi="宋体" w:cs="宋体" w:hint="eastAsia"/>
                <w:sz w:val="21"/>
                <w:szCs w:val="21"/>
                <w:highlight w:val="cyan"/>
              </w:rPr>
            </w:pPr>
            <w:r>
              <w:rPr>
                <w:rFonts w:ascii="宋体" w:eastAsia="宋体" w:hAnsi="宋体" w:cs="宋体" w:hint="eastAsia"/>
                <w:sz w:val="21"/>
                <w:szCs w:val="21"/>
              </w:rPr>
              <w:t>东吴移动互联灵活配置混合型证券投资基金</w:t>
            </w:r>
          </w:p>
        </w:tc>
      </w:tr>
      <w:tr w:rsidR="00000000">
        <w:trPr>
          <w:jc w:val="center"/>
        </w:trPr>
        <w:tc>
          <w:tcPr>
            <w:tcW w:w="4380"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sz w:val="21"/>
                <w:szCs w:val="21"/>
              </w:rPr>
              <w:t>基金简称</w:t>
            </w:r>
          </w:p>
        </w:tc>
        <w:tc>
          <w:tcPr>
            <w:tcW w:w="4255"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东吴移动互联</w:t>
            </w:r>
          </w:p>
        </w:tc>
      </w:tr>
      <w:tr w:rsidR="00000000">
        <w:trPr>
          <w:jc w:val="center"/>
        </w:trPr>
        <w:tc>
          <w:tcPr>
            <w:tcW w:w="4380"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sz w:val="21"/>
                <w:szCs w:val="21"/>
              </w:rPr>
              <w:t>基金主代码</w:t>
            </w:r>
          </w:p>
        </w:tc>
        <w:tc>
          <w:tcPr>
            <w:tcW w:w="4255"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001323</w:t>
            </w:r>
          </w:p>
        </w:tc>
      </w:tr>
      <w:tr w:rsidR="00000000">
        <w:trPr>
          <w:jc w:val="center"/>
        </w:trPr>
        <w:tc>
          <w:tcPr>
            <w:tcW w:w="4380"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sz w:val="21"/>
                <w:szCs w:val="21"/>
              </w:rPr>
              <w:t>基金管理人名称</w:t>
            </w:r>
          </w:p>
        </w:tc>
        <w:tc>
          <w:tcPr>
            <w:tcW w:w="4255"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东吴基金管理有限公司</w:t>
            </w:r>
          </w:p>
        </w:tc>
      </w:tr>
      <w:tr w:rsidR="00000000">
        <w:trPr>
          <w:jc w:val="center"/>
        </w:trPr>
        <w:tc>
          <w:tcPr>
            <w:tcW w:w="4380" w:type="dxa"/>
            <w:gridSpan w:val="2"/>
            <w:vAlign w:val="center"/>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sz w:val="21"/>
                <w:szCs w:val="21"/>
              </w:rPr>
              <w:t>公告依据</w:t>
            </w:r>
          </w:p>
        </w:tc>
        <w:tc>
          <w:tcPr>
            <w:tcW w:w="4255"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根据法律法规及《东吴移动互联灵活配置混合型证券投资基金基金合同》、《东吴移动互联灵活配置混合型证券投资基金招募说明书》等相关规定。</w:t>
            </w:r>
          </w:p>
        </w:tc>
      </w:tr>
      <w:tr w:rsidR="00000000">
        <w:trPr>
          <w:jc w:val="center"/>
        </w:trPr>
        <w:tc>
          <w:tcPr>
            <w:tcW w:w="1486" w:type="dxa"/>
            <w:vMerge w:val="restart"/>
            <w:vAlign w:val="center"/>
          </w:tcPr>
          <w:p w:rsidR="00000000" w:rsidRDefault="00CE63DD">
            <w:pPr>
              <w:spacing w:line="400" w:lineRule="exact"/>
              <w:rPr>
                <w:rFonts w:ascii="宋体" w:eastAsia="宋体" w:hAnsi="宋体" w:cs="宋体" w:hint="eastAsia"/>
                <w:sz w:val="21"/>
                <w:szCs w:val="21"/>
              </w:rPr>
            </w:pPr>
            <w:r>
              <w:rPr>
                <w:rFonts w:ascii="宋体" w:eastAsia="宋体" w:hAnsi="宋体" w:cs="宋体" w:hint="eastAsia"/>
                <w:sz w:val="21"/>
                <w:szCs w:val="21"/>
              </w:rPr>
              <w:t>暂停相关业务的起始日、金额及原因说明</w:t>
            </w:r>
          </w:p>
        </w:tc>
        <w:tc>
          <w:tcPr>
            <w:tcW w:w="2894"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sz w:val="21"/>
                <w:szCs w:val="21"/>
              </w:rPr>
              <w:t>暂停（大额）申购起始日</w:t>
            </w:r>
          </w:p>
        </w:tc>
        <w:tc>
          <w:tcPr>
            <w:tcW w:w="4255"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20</w:t>
            </w:r>
            <w:r>
              <w:rPr>
                <w:rFonts w:ascii="宋体" w:eastAsia="宋体" w:hAnsi="宋体" w:cs="宋体" w:hint="eastAsia"/>
                <w:kern w:val="0"/>
                <w:sz w:val="21"/>
                <w:szCs w:val="21"/>
              </w:rPr>
              <w:t>2</w:t>
            </w:r>
            <w:r>
              <w:rPr>
                <w:rFonts w:ascii="宋体" w:eastAsia="宋体" w:hAnsi="宋体" w:cs="宋体" w:hint="eastAsia"/>
                <w:kern w:val="0"/>
                <w:sz w:val="21"/>
                <w:szCs w:val="21"/>
              </w:rPr>
              <w:t>0</w:t>
            </w:r>
            <w:r>
              <w:rPr>
                <w:rFonts w:ascii="宋体" w:eastAsia="宋体" w:hAnsi="宋体" w:cs="宋体" w:hint="eastAsia"/>
                <w:kern w:val="0"/>
                <w:sz w:val="21"/>
                <w:szCs w:val="21"/>
              </w:rPr>
              <w:t>年</w:t>
            </w:r>
            <w:r>
              <w:rPr>
                <w:rFonts w:ascii="宋体" w:eastAsia="宋体" w:hAnsi="宋体" w:cs="宋体" w:hint="eastAsia"/>
                <w:kern w:val="0"/>
                <w:sz w:val="21"/>
                <w:szCs w:val="21"/>
              </w:rPr>
              <w:t>1</w:t>
            </w:r>
            <w:r>
              <w:rPr>
                <w:rFonts w:ascii="宋体" w:eastAsia="宋体" w:hAnsi="宋体" w:cs="宋体" w:hint="eastAsia"/>
                <w:kern w:val="0"/>
                <w:sz w:val="21"/>
                <w:szCs w:val="21"/>
              </w:rPr>
              <w:t>月</w:t>
            </w:r>
            <w:r>
              <w:rPr>
                <w:rFonts w:ascii="宋体" w:eastAsia="宋体" w:hAnsi="宋体" w:cs="宋体" w:hint="eastAsia"/>
                <w:kern w:val="0"/>
                <w:sz w:val="21"/>
                <w:szCs w:val="21"/>
              </w:rPr>
              <w:t>13</w:t>
            </w:r>
            <w:r>
              <w:rPr>
                <w:rFonts w:ascii="宋体" w:eastAsia="宋体" w:hAnsi="宋体" w:cs="宋体" w:hint="eastAsia"/>
                <w:kern w:val="0"/>
                <w:sz w:val="21"/>
                <w:szCs w:val="21"/>
              </w:rPr>
              <w:t>日</w:t>
            </w:r>
          </w:p>
        </w:tc>
      </w:tr>
      <w:tr w:rsidR="00000000">
        <w:trPr>
          <w:jc w:val="center"/>
        </w:trPr>
        <w:tc>
          <w:tcPr>
            <w:tcW w:w="1486" w:type="dxa"/>
            <w:vMerge/>
          </w:tcPr>
          <w:p w:rsidR="00000000" w:rsidRDefault="00CE63DD">
            <w:pPr>
              <w:spacing w:line="400" w:lineRule="exact"/>
              <w:rPr>
                <w:rFonts w:ascii="宋体" w:eastAsia="宋体" w:hAnsi="宋体" w:cs="宋体" w:hint="eastAsia"/>
                <w:sz w:val="21"/>
                <w:szCs w:val="21"/>
              </w:rPr>
            </w:pPr>
          </w:p>
        </w:tc>
        <w:tc>
          <w:tcPr>
            <w:tcW w:w="2894"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sz w:val="21"/>
                <w:szCs w:val="21"/>
              </w:rPr>
              <w:t>暂停（大额）转换转入起始日</w:t>
            </w:r>
          </w:p>
        </w:tc>
        <w:tc>
          <w:tcPr>
            <w:tcW w:w="4255"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20</w:t>
            </w:r>
            <w:r>
              <w:rPr>
                <w:rFonts w:ascii="宋体" w:eastAsia="宋体" w:hAnsi="宋体" w:cs="宋体" w:hint="eastAsia"/>
                <w:kern w:val="0"/>
                <w:sz w:val="21"/>
                <w:szCs w:val="21"/>
              </w:rPr>
              <w:t>20</w:t>
            </w:r>
            <w:r>
              <w:rPr>
                <w:rFonts w:ascii="宋体" w:eastAsia="宋体" w:hAnsi="宋体" w:cs="宋体" w:hint="eastAsia"/>
                <w:kern w:val="0"/>
                <w:sz w:val="21"/>
                <w:szCs w:val="21"/>
              </w:rPr>
              <w:t>年</w:t>
            </w:r>
            <w:r>
              <w:rPr>
                <w:rFonts w:ascii="宋体" w:eastAsia="宋体" w:hAnsi="宋体" w:cs="宋体" w:hint="eastAsia"/>
                <w:kern w:val="0"/>
                <w:sz w:val="21"/>
                <w:szCs w:val="21"/>
              </w:rPr>
              <w:t>1</w:t>
            </w:r>
            <w:r>
              <w:rPr>
                <w:rFonts w:ascii="宋体" w:eastAsia="宋体" w:hAnsi="宋体" w:cs="宋体" w:hint="eastAsia"/>
                <w:kern w:val="0"/>
                <w:sz w:val="21"/>
                <w:szCs w:val="21"/>
              </w:rPr>
              <w:t>月</w:t>
            </w:r>
            <w:r>
              <w:rPr>
                <w:rFonts w:ascii="宋体" w:eastAsia="宋体" w:hAnsi="宋体" w:cs="宋体" w:hint="eastAsia"/>
                <w:kern w:val="0"/>
                <w:sz w:val="21"/>
                <w:szCs w:val="21"/>
              </w:rPr>
              <w:t>13</w:t>
            </w:r>
            <w:r>
              <w:rPr>
                <w:rFonts w:ascii="宋体" w:eastAsia="宋体" w:hAnsi="宋体" w:cs="宋体" w:hint="eastAsia"/>
                <w:kern w:val="0"/>
                <w:sz w:val="21"/>
                <w:szCs w:val="21"/>
              </w:rPr>
              <w:t>日</w:t>
            </w:r>
          </w:p>
        </w:tc>
      </w:tr>
      <w:tr w:rsidR="00000000">
        <w:trPr>
          <w:jc w:val="center"/>
        </w:trPr>
        <w:tc>
          <w:tcPr>
            <w:tcW w:w="1486" w:type="dxa"/>
            <w:vMerge/>
          </w:tcPr>
          <w:p w:rsidR="00000000" w:rsidRDefault="00CE63DD">
            <w:pPr>
              <w:spacing w:line="400" w:lineRule="exact"/>
              <w:rPr>
                <w:rFonts w:ascii="宋体" w:eastAsia="宋体" w:hAnsi="宋体" w:cs="宋体" w:hint="eastAsia"/>
                <w:sz w:val="21"/>
                <w:szCs w:val="21"/>
              </w:rPr>
            </w:pPr>
          </w:p>
        </w:tc>
        <w:tc>
          <w:tcPr>
            <w:tcW w:w="2894"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sz w:val="21"/>
                <w:szCs w:val="21"/>
              </w:rPr>
              <w:t>暂停赎回起始日</w:t>
            </w:r>
          </w:p>
        </w:tc>
        <w:tc>
          <w:tcPr>
            <w:tcW w:w="4255"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w:t>
            </w:r>
          </w:p>
        </w:tc>
      </w:tr>
      <w:tr w:rsidR="00000000">
        <w:trPr>
          <w:jc w:val="center"/>
        </w:trPr>
        <w:tc>
          <w:tcPr>
            <w:tcW w:w="1486" w:type="dxa"/>
            <w:vMerge/>
          </w:tcPr>
          <w:p w:rsidR="00000000" w:rsidRDefault="00CE63DD">
            <w:pPr>
              <w:spacing w:line="400" w:lineRule="exact"/>
              <w:rPr>
                <w:rFonts w:ascii="宋体" w:eastAsia="宋体" w:hAnsi="宋体" w:cs="宋体" w:hint="eastAsia"/>
                <w:sz w:val="21"/>
                <w:szCs w:val="21"/>
              </w:rPr>
            </w:pPr>
          </w:p>
        </w:tc>
        <w:tc>
          <w:tcPr>
            <w:tcW w:w="2894"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sz w:val="21"/>
                <w:szCs w:val="21"/>
              </w:rPr>
              <w:t>暂停转换转出起始日</w:t>
            </w:r>
          </w:p>
        </w:tc>
        <w:tc>
          <w:tcPr>
            <w:tcW w:w="4255"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w:t>
            </w:r>
          </w:p>
        </w:tc>
      </w:tr>
      <w:tr w:rsidR="00000000">
        <w:trPr>
          <w:jc w:val="center"/>
        </w:trPr>
        <w:tc>
          <w:tcPr>
            <w:tcW w:w="1486" w:type="dxa"/>
            <w:vMerge/>
          </w:tcPr>
          <w:p w:rsidR="00000000" w:rsidRDefault="00CE63DD">
            <w:pPr>
              <w:spacing w:line="400" w:lineRule="exact"/>
              <w:rPr>
                <w:rFonts w:ascii="宋体" w:eastAsia="宋体" w:hAnsi="宋体" w:cs="宋体" w:hint="eastAsia"/>
                <w:sz w:val="21"/>
                <w:szCs w:val="21"/>
              </w:rPr>
            </w:pPr>
          </w:p>
        </w:tc>
        <w:tc>
          <w:tcPr>
            <w:tcW w:w="2894"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sz w:val="21"/>
                <w:szCs w:val="21"/>
              </w:rPr>
              <w:t>暂停定期定额投资起始日</w:t>
            </w:r>
          </w:p>
        </w:tc>
        <w:tc>
          <w:tcPr>
            <w:tcW w:w="4255"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w:t>
            </w:r>
          </w:p>
        </w:tc>
      </w:tr>
      <w:tr w:rsidR="00000000">
        <w:trPr>
          <w:jc w:val="center"/>
        </w:trPr>
        <w:tc>
          <w:tcPr>
            <w:tcW w:w="1486" w:type="dxa"/>
            <w:vMerge/>
          </w:tcPr>
          <w:p w:rsidR="00000000" w:rsidRDefault="00CE63DD">
            <w:pPr>
              <w:spacing w:line="400" w:lineRule="exact"/>
              <w:rPr>
                <w:rFonts w:ascii="宋体" w:eastAsia="宋体" w:hAnsi="宋体" w:cs="宋体" w:hint="eastAsia"/>
                <w:sz w:val="21"/>
                <w:szCs w:val="21"/>
              </w:rPr>
            </w:pPr>
          </w:p>
        </w:tc>
        <w:tc>
          <w:tcPr>
            <w:tcW w:w="2894" w:type="dxa"/>
          </w:tcPr>
          <w:p w:rsidR="00000000" w:rsidRDefault="00CE63DD">
            <w:pPr>
              <w:spacing w:line="400" w:lineRule="exact"/>
              <w:rPr>
                <w:rFonts w:ascii="宋体" w:eastAsia="宋体" w:hAnsi="宋体" w:cs="宋体" w:hint="eastAsia"/>
                <w:sz w:val="21"/>
                <w:szCs w:val="21"/>
              </w:rPr>
            </w:pPr>
            <w:r>
              <w:rPr>
                <w:rFonts w:ascii="宋体" w:eastAsia="宋体" w:hAnsi="宋体" w:cs="宋体" w:hint="eastAsia"/>
                <w:sz w:val="21"/>
                <w:szCs w:val="21"/>
              </w:rPr>
              <w:t>限制申购金额（单位：元）</w:t>
            </w:r>
          </w:p>
        </w:tc>
        <w:tc>
          <w:tcPr>
            <w:tcW w:w="4255" w:type="dxa"/>
            <w:gridSpan w:val="2"/>
          </w:tcPr>
          <w:p w:rsidR="00000000" w:rsidRDefault="00CE63DD">
            <w:pPr>
              <w:widowControl/>
              <w:jc w:val="left"/>
              <w:textAlignment w:val="top"/>
              <w:rPr>
                <w:rFonts w:ascii="宋体" w:eastAsia="宋体" w:hAnsi="宋体" w:cs="宋体" w:hint="eastAsia"/>
                <w:kern w:val="0"/>
                <w:sz w:val="21"/>
                <w:szCs w:val="21"/>
              </w:rPr>
            </w:pPr>
            <w:r>
              <w:rPr>
                <w:rFonts w:ascii="宋体" w:eastAsia="宋体" w:hAnsi="宋体" w:cs="宋体" w:hint="eastAsia"/>
                <w:color w:val="000000"/>
                <w:kern w:val="0"/>
                <w:sz w:val="21"/>
                <w:szCs w:val="21"/>
                <w:lang/>
              </w:rPr>
              <w:t>1,000,000.00</w:t>
            </w:r>
          </w:p>
        </w:tc>
      </w:tr>
      <w:tr w:rsidR="00000000">
        <w:trPr>
          <w:jc w:val="center"/>
        </w:trPr>
        <w:tc>
          <w:tcPr>
            <w:tcW w:w="1486" w:type="dxa"/>
            <w:vMerge/>
          </w:tcPr>
          <w:p w:rsidR="00000000" w:rsidRDefault="00CE63DD">
            <w:pPr>
              <w:spacing w:line="400" w:lineRule="exact"/>
              <w:rPr>
                <w:rFonts w:ascii="宋体" w:eastAsia="宋体" w:hAnsi="宋体" w:cs="宋体" w:hint="eastAsia"/>
                <w:sz w:val="21"/>
                <w:szCs w:val="21"/>
              </w:rPr>
            </w:pPr>
          </w:p>
        </w:tc>
        <w:tc>
          <w:tcPr>
            <w:tcW w:w="2894" w:type="dxa"/>
          </w:tcPr>
          <w:p w:rsidR="00000000" w:rsidRDefault="00CE63DD">
            <w:pPr>
              <w:spacing w:line="400" w:lineRule="exact"/>
              <w:rPr>
                <w:rFonts w:ascii="宋体" w:eastAsia="宋体" w:hAnsi="宋体" w:cs="宋体" w:hint="eastAsia"/>
                <w:sz w:val="21"/>
                <w:szCs w:val="21"/>
              </w:rPr>
            </w:pPr>
            <w:r>
              <w:rPr>
                <w:rFonts w:ascii="宋体" w:eastAsia="宋体" w:hAnsi="宋体" w:cs="宋体" w:hint="eastAsia"/>
                <w:sz w:val="21"/>
                <w:szCs w:val="21"/>
              </w:rPr>
              <w:t>限制转换转入金额（单位：元）</w:t>
            </w:r>
          </w:p>
        </w:tc>
        <w:tc>
          <w:tcPr>
            <w:tcW w:w="4255" w:type="dxa"/>
            <w:gridSpan w:val="2"/>
          </w:tcPr>
          <w:p w:rsidR="00000000" w:rsidRDefault="00CE63DD">
            <w:pPr>
              <w:widowControl/>
              <w:jc w:val="left"/>
              <w:textAlignment w:val="top"/>
              <w:rPr>
                <w:rFonts w:ascii="宋体" w:eastAsia="宋体" w:hAnsi="宋体" w:cs="宋体" w:hint="eastAsia"/>
                <w:kern w:val="0"/>
                <w:sz w:val="21"/>
                <w:szCs w:val="21"/>
              </w:rPr>
            </w:pPr>
            <w:r>
              <w:rPr>
                <w:rFonts w:ascii="宋体" w:eastAsia="宋体" w:hAnsi="宋体" w:cs="宋体" w:hint="eastAsia"/>
                <w:color w:val="000000"/>
                <w:kern w:val="0"/>
                <w:sz w:val="21"/>
                <w:szCs w:val="21"/>
                <w:lang/>
              </w:rPr>
              <w:t>1,000,000.00</w:t>
            </w:r>
          </w:p>
        </w:tc>
      </w:tr>
      <w:tr w:rsidR="00000000">
        <w:trPr>
          <w:trHeight w:val="1409"/>
          <w:jc w:val="center"/>
        </w:trPr>
        <w:tc>
          <w:tcPr>
            <w:tcW w:w="1486" w:type="dxa"/>
            <w:vMerge/>
          </w:tcPr>
          <w:p w:rsidR="00000000" w:rsidRDefault="00CE63DD">
            <w:pPr>
              <w:spacing w:line="400" w:lineRule="exact"/>
              <w:rPr>
                <w:rFonts w:ascii="宋体" w:eastAsia="宋体" w:hAnsi="宋体" w:cs="宋体" w:hint="eastAsia"/>
                <w:sz w:val="21"/>
                <w:szCs w:val="21"/>
              </w:rPr>
            </w:pPr>
          </w:p>
        </w:tc>
        <w:tc>
          <w:tcPr>
            <w:tcW w:w="2894" w:type="dxa"/>
            <w:vAlign w:val="center"/>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sz w:val="21"/>
                <w:szCs w:val="21"/>
              </w:rPr>
              <w:t>暂停（大额）申购、（大额）转换转入的原因说明</w:t>
            </w:r>
          </w:p>
        </w:tc>
        <w:tc>
          <w:tcPr>
            <w:tcW w:w="4255" w:type="dxa"/>
            <w:gridSpan w:val="2"/>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为保护现有基金持有人的利益，根据《东吴移动互联灵活配置混合型证券投资基金基金合同》、《东吴移动互联灵活配置混合型证券投资基金更新的招募说明书》的有关规定。</w:t>
            </w:r>
          </w:p>
        </w:tc>
      </w:tr>
      <w:tr w:rsidR="00000000">
        <w:trPr>
          <w:trHeight w:val="450"/>
          <w:jc w:val="center"/>
        </w:trPr>
        <w:tc>
          <w:tcPr>
            <w:tcW w:w="4380" w:type="dxa"/>
            <w:gridSpan w:val="2"/>
          </w:tcPr>
          <w:p w:rsidR="00000000" w:rsidRDefault="00CE63DD">
            <w:pPr>
              <w:spacing w:line="400" w:lineRule="exact"/>
              <w:rPr>
                <w:rFonts w:ascii="宋体" w:eastAsia="宋体" w:hAnsi="宋体" w:cs="宋体" w:hint="eastAsia"/>
                <w:sz w:val="21"/>
                <w:szCs w:val="21"/>
              </w:rPr>
            </w:pPr>
            <w:r>
              <w:rPr>
                <w:rFonts w:ascii="宋体" w:eastAsia="宋体" w:hAnsi="宋体" w:cs="宋体" w:hint="eastAsia"/>
                <w:sz w:val="21"/>
                <w:szCs w:val="21"/>
              </w:rPr>
              <w:t>下属基金的基金简称</w:t>
            </w:r>
          </w:p>
        </w:tc>
        <w:tc>
          <w:tcPr>
            <w:tcW w:w="2127"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东吴移动</w:t>
            </w:r>
            <w:r>
              <w:rPr>
                <w:rFonts w:ascii="宋体" w:eastAsia="宋体" w:hAnsi="宋体" w:cs="宋体" w:hint="eastAsia"/>
                <w:kern w:val="0"/>
                <w:sz w:val="21"/>
                <w:szCs w:val="21"/>
              </w:rPr>
              <w:t>互联</w:t>
            </w:r>
            <w:r>
              <w:rPr>
                <w:rFonts w:ascii="宋体" w:eastAsia="宋体" w:hAnsi="宋体" w:cs="宋体" w:hint="eastAsia"/>
                <w:kern w:val="0"/>
                <w:sz w:val="21"/>
                <w:szCs w:val="21"/>
              </w:rPr>
              <w:t>A</w:t>
            </w:r>
          </w:p>
        </w:tc>
        <w:tc>
          <w:tcPr>
            <w:tcW w:w="2128"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东吴移动互联</w:t>
            </w:r>
            <w:r>
              <w:rPr>
                <w:rFonts w:ascii="宋体" w:eastAsia="宋体" w:hAnsi="宋体" w:cs="宋体" w:hint="eastAsia"/>
                <w:kern w:val="0"/>
                <w:sz w:val="21"/>
                <w:szCs w:val="21"/>
              </w:rPr>
              <w:t>C</w:t>
            </w:r>
          </w:p>
        </w:tc>
      </w:tr>
      <w:tr w:rsidR="00000000">
        <w:trPr>
          <w:trHeight w:val="394"/>
          <w:jc w:val="center"/>
        </w:trPr>
        <w:tc>
          <w:tcPr>
            <w:tcW w:w="4380" w:type="dxa"/>
            <w:gridSpan w:val="2"/>
          </w:tcPr>
          <w:p w:rsidR="00000000" w:rsidRDefault="00CE63DD">
            <w:pPr>
              <w:spacing w:line="400" w:lineRule="exact"/>
              <w:rPr>
                <w:rFonts w:ascii="宋体" w:eastAsia="宋体" w:hAnsi="宋体" w:cs="宋体" w:hint="eastAsia"/>
                <w:sz w:val="21"/>
                <w:szCs w:val="21"/>
              </w:rPr>
            </w:pPr>
            <w:r>
              <w:rPr>
                <w:rFonts w:ascii="宋体" w:eastAsia="宋体" w:hAnsi="宋体" w:cs="宋体" w:hint="eastAsia"/>
                <w:sz w:val="21"/>
                <w:szCs w:val="21"/>
              </w:rPr>
              <w:t>下属基金的交易代码</w:t>
            </w:r>
          </w:p>
        </w:tc>
        <w:tc>
          <w:tcPr>
            <w:tcW w:w="2127"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001323</w:t>
            </w:r>
          </w:p>
        </w:tc>
        <w:tc>
          <w:tcPr>
            <w:tcW w:w="2128"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002170</w:t>
            </w:r>
          </w:p>
        </w:tc>
      </w:tr>
      <w:tr w:rsidR="00000000">
        <w:trPr>
          <w:trHeight w:val="844"/>
          <w:jc w:val="center"/>
        </w:trPr>
        <w:tc>
          <w:tcPr>
            <w:tcW w:w="4380" w:type="dxa"/>
            <w:gridSpan w:val="2"/>
          </w:tcPr>
          <w:p w:rsidR="00000000" w:rsidRDefault="00CE63DD">
            <w:pPr>
              <w:spacing w:line="400" w:lineRule="exact"/>
              <w:rPr>
                <w:rFonts w:ascii="宋体" w:eastAsia="宋体" w:hAnsi="宋体" w:cs="宋体" w:hint="eastAsia"/>
                <w:sz w:val="21"/>
                <w:szCs w:val="21"/>
              </w:rPr>
            </w:pPr>
            <w:r>
              <w:rPr>
                <w:rFonts w:ascii="宋体" w:eastAsia="宋体" w:hAnsi="宋体" w:cs="宋体" w:hint="eastAsia"/>
                <w:sz w:val="21"/>
                <w:szCs w:val="21"/>
              </w:rPr>
              <w:t>该基金是否暂停（大额）申购</w:t>
            </w:r>
            <w:r>
              <w:rPr>
                <w:rFonts w:ascii="宋体" w:eastAsia="宋体" w:hAnsi="宋体" w:cs="宋体" w:hint="eastAsia"/>
                <w:sz w:val="21"/>
                <w:szCs w:val="21"/>
              </w:rPr>
              <w:t>（含定期定额）</w:t>
            </w:r>
            <w:r>
              <w:rPr>
                <w:rFonts w:ascii="宋体" w:eastAsia="宋体" w:hAnsi="宋体" w:cs="宋体" w:hint="eastAsia"/>
                <w:sz w:val="21"/>
                <w:szCs w:val="21"/>
              </w:rPr>
              <w:t>、（大额）转换转入</w:t>
            </w:r>
          </w:p>
        </w:tc>
        <w:tc>
          <w:tcPr>
            <w:tcW w:w="2127" w:type="dxa"/>
            <w:vAlign w:val="center"/>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是</w:t>
            </w:r>
          </w:p>
        </w:tc>
        <w:tc>
          <w:tcPr>
            <w:tcW w:w="2128" w:type="dxa"/>
            <w:vAlign w:val="center"/>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kern w:val="0"/>
                <w:sz w:val="21"/>
                <w:szCs w:val="21"/>
              </w:rPr>
              <w:t>是</w:t>
            </w:r>
          </w:p>
        </w:tc>
      </w:tr>
      <w:tr w:rsidR="00000000">
        <w:trPr>
          <w:trHeight w:val="369"/>
          <w:jc w:val="center"/>
        </w:trPr>
        <w:tc>
          <w:tcPr>
            <w:tcW w:w="4380" w:type="dxa"/>
            <w:gridSpan w:val="2"/>
          </w:tcPr>
          <w:p w:rsidR="00000000" w:rsidRDefault="00CE63DD">
            <w:pPr>
              <w:spacing w:line="400" w:lineRule="exact"/>
              <w:rPr>
                <w:rFonts w:ascii="宋体" w:eastAsia="宋体" w:hAnsi="宋体" w:cs="宋体" w:hint="eastAsia"/>
                <w:sz w:val="21"/>
                <w:szCs w:val="21"/>
              </w:rPr>
            </w:pPr>
            <w:r>
              <w:rPr>
                <w:rFonts w:ascii="宋体" w:eastAsia="宋体" w:hAnsi="宋体" w:cs="宋体" w:hint="eastAsia"/>
                <w:sz w:val="21"/>
                <w:szCs w:val="21"/>
              </w:rPr>
              <w:t>下属基金的限制申购金额（单位：元）</w:t>
            </w:r>
          </w:p>
        </w:tc>
        <w:tc>
          <w:tcPr>
            <w:tcW w:w="2127"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color w:val="000000"/>
                <w:kern w:val="0"/>
                <w:sz w:val="21"/>
                <w:szCs w:val="21"/>
                <w:lang/>
              </w:rPr>
              <w:t>1,000,000.00</w:t>
            </w:r>
          </w:p>
        </w:tc>
        <w:tc>
          <w:tcPr>
            <w:tcW w:w="2128" w:type="dxa"/>
          </w:tcPr>
          <w:p w:rsidR="00000000" w:rsidRDefault="00CE63DD">
            <w:pPr>
              <w:spacing w:line="400" w:lineRule="exact"/>
              <w:rPr>
                <w:rFonts w:ascii="宋体" w:eastAsia="宋体" w:hAnsi="宋体" w:cs="宋体" w:hint="eastAsia"/>
                <w:kern w:val="0"/>
                <w:sz w:val="21"/>
                <w:szCs w:val="21"/>
                <w:lang/>
              </w:rPr>
            </w:pPr>
            <w:r>
              <w:rPr>
                <w:rFonts w:ascii="宋体" w:eastAsia="宋体" w:hAnsi="宋体" w:cs="宋体" w:hint="eastAsia"/>
                <w:color w:val="000000"/>
                <w:kern w:val="0"/>
                <w:sz w:val="21"/>
                <w:szCs w:val="21"/>
                <w:lang/>
              </w:rPr>
              <w:t>1,000,000.00</w:t>
            </w:r>
          </w:p>
        </w:tc>
      </w:tr>
      <w:tr w:rsidR="00000000">
        <w:trPr>
          <w:trHeight w:val="444"/>
          <w:jc w:val="center"/>
        </w:trPr>
        <w:tc>
          <w:tcPr>
            <w:tcW w:w="4380" w:type="dxa"/>
            <w:gridSpan w:val="2"/>
          </w:tcPr>
          <w:p w:rsidR="00000000" w:rsidRDefault="00CE63DD">
            <w:pPr>
              <w:spacing w:line="400" w:lineRule="exact"/>
              <w:rPr>
                <w:rFonts w:ascii="宋体" w:eastAsia="宋体" w:hAnsi="宋体" w:cs="宋体" w:hint="eastAsia"/>
                <w:sz w:val="21"/>
                <w:szCs w:val="21"/>
              </w:rPr>
            </w:pPr>
            <w:r>
              <w:rPr>
                <w:rFonts w:ascii="宋体" w:eastAsia="宋体" w:hAnsi="宋体" w:cs="宋体" w:hint="eastAsia"/>
                <w:sz w:val="21"/>
                <w:szCs w:val="21"/>
              </w:rPr>
              <w:t>下属基金的限制转换转入金额（单位：元）</w:t>
            </w:r>
          </w:p>
        </w:tc>
        <w:tc>
          <w:tcPr>
            <w:tcW w:w="2127" w:type="dxa"/>
          </w:tcPr>
          <w:p w:rsidR="00000000" w:rsidRDefault="00CE63DD">
            <w:pPr>
              <w:spacing w:line="400" w:lineRule="exact"/>
              <w:rPr>
                <w:rFonts w:ascii="宋体" w:eastAsia="宋体" w:hAnsi="宋体" w:cs="宋体" w:hint="eastAsia"/>
                <w:kern w:val="0"/>
                <w:sz w:val="21"/>
                <w:szCs w:val="21"/>
              </w:rPr>
            </w:pPr>
            <w:r>
              <w:rPr>
                <w:rFonts w:ascii="宋体" w:eastAsia="宋体" w:hAnsi="宋体" w:cs="宋体" w:hint="eastAsia"/>
                <w:color w:val="000000"/>
                <w:kern w:val="0"/>
                <w:sz w:val="21"/>
                <w:szCs w:val="21"/>
                <w:lang/>
              </w:rPr>
              <w:t>1,000,000.00</w:t>
            </w:r>
          </w:p>
        </w:tc>
        <w:tc>
          <w:tcPr>
            <w:tcW w:w="2128" w:type="dxa"/>
          </w:tcPr>
          <w:p w:rsidR="00000000" w:rsidRDefault="00CE63DD">
            <w:pPr>
              <w:spacing w:line="400" w:lineRule="exact"/>
              <w:rPr>
                <w:rFonts w:ascii="宋体" w:eastAsia="宋体" w:hAnsi="宋体" w:cs="宋体" w:hint="eastAsia"/>
                <w:kern w:val="0"/>
                <w:sz w:val="21"/>
                <w:szCs w:val="21"/>
                <w:lang/>
              </w:rPr>
            </w:pPr>
            <w:r>
              <w:rPr>
                <w:rFonts w:ascii="宋体" w:eastAsia="宋体" w:hAnsi="宋体" w:cs="宋体" w:hint="eastAsia"/>
                <w:color w:val="000000"/>
                <w:kern w:val="0"/>
                <w:sz w:val="21"/>
                <w:szCs w:val="21"/>
                <w:lang/>
              </w:rPr>
              <w:t>1,000,000.00</w:t>
            </w:r>
          </w:p>
        </w:tc>
      </w:tr>
    </w:tbl>
    <w:p w:rsidR="00000000" w:rsidRDefault="00CE63DD">
      <w:pPr>
        <w:pStyle w:val="2"/>
        <w:spacing w:line="400" w:lineRule="exact"/>
        <w:rPr>
          <w:rFonts w:ascii="宋体" w:eastAsia="宋体" w:hAnsi="宋体" w:cs="宋体" w:hint="eastAsia"/>
          <w:bCs w:val="0"/>
          <w:sz w:val="24"/>
          <w:szCs w:val="24"/>
        </w:rPr>
      </w:pPr>
      <w:bookmarkStart w:id="1" w:name="_Toc275961406"/>
      <w:r>
        <w:rPr>
          <w:rFonts w:ascii="宋体" w:eastAsia="宋体" w:hAnsi="宋体" w:cs="宋体" w:hint="eastAsia"/>
          <w:bCs w:val="0"/>
          <w:sz w:val="24"/>
          <w:szCs w:val="24"/>
        </w:rPr>
        <w:t xml:space="preserve">2 </w:t>
      </w:r>
      <w:r>
        <w:rPr>
          <w:rFonts w:ascii="宋体" w:eastAsia="宋体" w:hAnsi="宋体" w:cs="宋体" w:hint="eastAsia"/>
          <w:bCs w:val="0"/>
          <w:sz w:val="24"/>
          <w:szCs w:val="24"/>
        </w:rPr>
        <w:t>其他需要提示的事项</w:t>
      </w:r>
      <w:bookmarkEnd w:id="1"/>
    </w:p>
    <w:p w:rsidR="00000000" w:rsidRDefault="00CE63DD">
      <w:pPr>
        <w:pStyle w:val="HTML"/>
        <w:spacing w:line="360" w:lineRule="auto"/>
        <w:ind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 xml:space="preserve">(1) </w:t>
      </w:r>
      <w:r>
        <w:rPr>
          <w:rFonts w:ascii="宋体" w:eastAsia="宋体" w:hAnsi="宋体" w:cs="宋体" w:hint="eastAsia"/>
          <w:kern w:val="0"/>
          <w:sz w:val="21"/>
          <w:szCs w:val="21"/>
        </w:rPr>
        <w:t>上述基金自</w:t>
      </w:r>
      <w:r>
        <w:rPr>
          <w:rFonts w:ascii="宋体" w:eastAsia="宋体" w:hAnsi="宋体" w:cs="宋体" w:hint="eastAsia"/>
          <w:kern w:val="0"/>
          <w:sz w:val="21"/>
          <w:szCs w:val="21"/>
        </w:rPr>
        <w:t>2019</w:t>
      </w:r>
      <w:r>
        <w:rPr>
          <w:rFonts w:ascii="宋体" w:eastAsia="宋体" w:hAnsi="宋体" w:cs="宋体" w:hint="eastAsia"/>
          <w:kern w:val="0"/>
          <w:sz w:val="21"/>
          <w:szCs w:val="21"/>
        </w:rPr>
        <w:t>年</w:t>
      </w:r>
      <w:r>
        <w:rPr>
          <w:rFonts w:ascii="宋体" w:eastAsia="宋体" w:hAnsi="宋体" w:cs="宋体" w:hint="eastAsia"/>
          <w:kern w:val="0"/>
          <w:sz w:val="21"/>
          <w:szCs w:val="21"/>
        </w:rPr>
        <w:t>8</w:t>
      </w:r>
      <w:r>
        <w:rPr>
          <w:rFonts w:ascii="宋体" w:eastAsia="宋体" w:hAnsi="宋体" w:cs="宋体" w:hint="eastAsia"/>
          <w:kern w:val="0"/>
          <w:sz w:val="21"/>
          <w:szCs w:val="21"/>
        </w:rPr>
        <w:t>月</w:t>
      </w:r>
      <w:r>
        <w:rPr>
          <w:rFonts w:ascii="宋体" w:eastAsia="宋体" w:hAnsi="宋体" w:cs="宋体" w:hint="eastAsia"/>
          <w:kern w:val="0"/>
          <w:sz w:val="21"/>
          <w:szCs w:val="21"/>
        </w:rPr>
        <w:t>22</w:t>
      </w:r>
      <w:r>
        <w:rPr>
          <w:rFonts w:ascii="宋体" w:eastAsia="宋体" w:hAnsi="宋体" w:cs="宋体" w:hint="eastAsia"/>
          <w:kern w:val="0"/>
          <w:sz w:val="21"/>
          <w:szCs w:val="21"/>
        </w:rPr>
        <w:t>日起暂停</w:t>
      </w:r>
      <w:r>
        <w:rPr>
          <w:rFonts w:ascii="宋体" w:eastAsia="宋体" w:hAnsi="宋体" w:cs="宋体" w:hint="eastAsia"/>
          <w:kern w:val="0"/>
          <w:sz w:val="21"/>
          <w:szCs w:val="21"/>
        </w:rPr>
        <w:t>5000</w:t>
      </w:r>
      <w:r>
        <w:rPr>
          <w:rFonts w:ascii="宋体" w:eastAsia="宋体" w:hAnsi="宋体" w:cs="宋体" w:hint="eastAsia"/>
          <w:kern w:val="0"/>
          <w:sz w:val="21"/>
          <w:szCs w:val="21"/>
        </w:rPr>
        <w:t>元以上的申购（含定期定额）、转换转</w:t>
      </w:r>
      <w:r>
        <w:rPr>
          <w:rFonts w:ascii="宋体" w:eastAsia="宋体" w:hAnsi="宋体" w:cs="宋体" w:hint="eastAsia"/>
          <w:kern w:val="0"/>
          <w:sz w:val="21"/>
          <w:szCs w:val="21"/>
        </w:rPr>
        <w:lastRenderedPageBreak/>
        <w:t>入业务。为满足投资者需求，保护基金持有人利益，本公司自</w:t>
      </w:r>
      <w:r>
        <w:rPr>
          <w:rFonts w:ascii="宋体" w:eastAsia="宋体" w:hAnsi="宋体" w:cs="宋体" w:hint="eastAsia"/>
          <w:kern w:val="0"/>
          <w:sz w:val="21"/>
          <w:szCs w:val="21"/>
        </w:rPr>
        <w:t>2020</w:t>
      </w:r>
      <w:r>
        <w:rPr>
          <w:rFonts w:ascii="宋体" w:eastAsia="宋体" w:hAnsi="宋体" w:cs="宋体" w:hint="eastAsia"/>
          <w:kern w:val="0"/>
          <w:sz w:val="21"/>
          <w:szCs w:val="21"/>
        </w:rPr>
        <w:t>年</w:t>
      </w:r>
      <w:r>
        <w:rPr>
          <w:rFonts w:ascii="宋体" w:eastAsia="宋体" w:hAnsi="宋体" w:cs="宋体" w:hint="eastAsia"/>
          <w:kern w:val="0"/>
          <w:sz w:val="21"/>
          <w:szCs w:val="21"/>
        </w:rPr>
        <w:t>1</w:t>
      </w:r>
      <w:r>
        <w:rPr>
          <w:rFonts w:ascii="宋体" w:eastAsia="宋体" w:hAnsi="宋体" w:cs="宋体" w:hint="eastAsia"/>
          <w:kern w:val="0"/>
          <w:sz w:val="21"/>
          <w:szCs w:val="21"/>
        </w:rPr>
        <w:t>月</w:t>
      </w:r>
      <w:r>
        <w:rPr>
          <w:rFonts w:ascii="宋体" w:eastAsia="宋体" w:hAnsi="宋体" w:cs="宋体" w:hint="eastAsia"/>
          <w:kern w:val="0"/>
          <w:sz w:val="21"/>
          <w:szCs w:val="21"/>
        </w:rPr>
        <w:t>13</w:t>
      </w:r>
      <w:r>
        <w:rPr>
          <w:rFonts w:ascii="宋体" w:eastAsia="宋体" w:hAnsi="宋体" w:cs="宋体" w:hint="eastAsia"/>
          <w:kern w:val="0"/>
          <w:sz w:val="21"/>
          <w:szCs w:val="21"/>
        </w:rPr>
        <w:t>日起对相关业务限额进行调整，具体为：在暂停上述基金的大额申购</w:t>
      </w:r>
      <w:r>
        <w:rPr>
          <w:rFonts w:ascii="宋体" w:eastAsia="宋体" w:hAnsi="宋体" w:cs="宋体" w:hint="eastAsia"/>
          <w:kern w:val="0"/>
          <w:sz w:val="21"/>
          <w:szCs w:val="21"/>
        </w:rPr>
        <w:t>(</w:t>
      </w:r>
      <w:r>
        <w:rPr>
          <w:rFonts w:ascii="宋体" w:eastAsia="宋体" w:hAnsi="宋体" w:cs="宋体" w:hint="eastAsia"/>
          <w:kern w:val="0"/>
          <w:sz w:val="21"/>
          <w:szCs w:val="21"/>
        </w:rPr>
        <w:t>含定期定额）、大额转换转入业务期间，单个基金账户对单只基金日累计申购和转入金额不得超过</w:t>
      </w:r>
      <w:r>
        <w:rPr>
          <w:rFonts w:ascii="宋体" w:eastAsia="宋体" w:hAnsi="宋体" w:cs="宋体" w:hint="eastAsia"/>
          <w:kern w:val="0"/>
          <w:sz w:val="21"/>
          <w:szCs w:val="21"/>
        </w:rPr>
        <w:t>100</w:t>
      </w:r>
      <w:r>
        <w:rPr>
          <w:rFonts w:ascii="宋体" w:eastAsia="宋体" w:hAnsi="宋体" w:cs="宋体" w:hint="eastAsia"/>
          <w:kern w:val="0"/>
          <w:sz w:val="21"/>
          <w:szCs w:val="21"/>
        </w:rPr>
        <w:t>万元</w:t>
      </w:r>
      <w:r>
        <w:rPr>
          <w:rFonts w:ascii="宋体" w:eastAsia="宋体" w:hAnsi="宋体" w:cs="宋体" w:hint="eastAsia"/>
          <w:kern w:val="0"/>
          <w:sz w:val="21"/>
          <w:szCs w:val="21"/>
        </w:rPr>
        <w:t>。如单日单个基金账户累计申购和转入金额超过</w:t>
      </w:r>
      <w:r>
        <w:rPr>
          <w:rFonts w:ascii="宋体" w:eastAsia="宋体" w:hAnsi="宋体" w:cs="宋体" w:hint="eastAsia"/>
          <w:kern w:val="0"/>
          <w:sz w:val="21"/>
          <w:szCs w:val="21"/>
        </w:rPr>
        <w:t>100</w:t>
      </w:r>
      <w:r>
        <w:rPr>
          <w:rFonts w:ascii="宋体" w:eastAsia="宋体" w:hAnsi="宋体" w:cs="宋体" w:hint="eastAsia"/>
          <w:kern w:val="0"/>
          <w:sz w:val="21"/>
          <w:szCs w:val="21"/>
        </w:rPr>
        <w:t>万元</w:t>
      </w:r>
      <w:r>
        <w:rPr>
          <w:rFonts w:ascii="宋体" w:eastAsia="宋体" w:hAnsi="宋体" w:cs="宋体" w:hint="eastAsia"/>
          <w:kern w:val="0"/>
          <w:sz w:val="21"/>
          <w:szCs w:val="21"/>
        </w:rPr>
        <w:t>的，超出部分本基金管理人将有权予以拒绝。</w:t>
      </w:r>
    </w:p>
    <w:p w:rsidR="00000000" w:rsidRDefault="00CE63DD">
      <w:pPr>
        <w:spacing w:line="360" w:lineRule="auto"/>
        <w:ind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 xml:space="preserve">(2) </w:t>
      </w:r>
      <w:r>
        <w:rPr>
          <w:rFonts w:ascii="宋体" w:eastAsia="宋体" w:hAnsi="宋体" w:cs="宋体" w:hint="eastAsia"/>
          <w:kern w:val="0"/>
          <w:sz w:val="21"/>
          <w:szCs w:val="21"/>
        </w:rPr>
        <w:t>本基金暂停上述相关业务期间，本基金的转换转出业务及赎回业务等其他业务仍照常办理；</w:t>
      </w:r>
    </w:p>
    <w:p w:rsidR="00000000" w:rsidRDefault="00CE63DD">
      <w:pPr>
        <w:spacing w:line="360" w:lineRule="auto"/>
        <w:ind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本公告仅对本公司管理的东吴移动互联灵活配置混合型证券投资基金调整</w:t>
      </w:r>
      <w:r>
        <w:rPr>
          <w:rFonts w:ascii="宋体" w:eastAsia="宋体" w:hAnsi="宋体" w:cs="宋体" w:hint="eastAsia"/>
          <w:sz w:val="21"/>
          <w:szCs w:val="21"/>
        </w:rPr>
        <w:t>大额</w:t>
      </w:r>
      <w:r>
        <w:rPr>
          <w:rFonts w:ascii="宋体" w:eastAsia="宋体" w:hAnsi="宋体" w:cs="宋体" w:hint="eastAsia"/>
          <w:kern w:val="0"/>
          <w:sz w:val="21"/>
          <w:szCs w:val="21"/>
        </w:rPr>
        <w:t>申购</w:t>
      </w:r>
      <w:r>
        <w:rPr>
          <w:rFonts w:ascii="宋体" w:eastAsia="宋体" w:hAnsi="宋体" w:cs="宋体" w:hint="eastAsia"/>
          <w:kern w:val="0"/>
          <w:sz w:val="21"/>
          <w:szCs w:val="21"/>
        </w:rPr>
        <w:t>(</w:t>
      </w:r>
      <w:r>
        <w:rPr>
          <w:rFonts w:ascii="宋体" w:eastAsia="宋体" w:hAnsi="宋体" w:cs="宋体" w:hint="eastAsia"/>
          <w:kern w:val="0"/>
          <w:sz w:val="21"/>
          <w:szCs w:val="21"/>
        </w:rPr>
        <w:t>含定期定额）、</w:t>
      </w:r>
      <w:r>
        <w:rPr>
          <w:rFonts w:ascii="宋体" w:eastAsia="宋体" w:hAnsi="宋体" w:cs="宋体" w:hint="eastAsia"/>
          <w:sz w:val="21"/>
          <w:szCs w:val="21"/>
        </w:rPr>
        <w:t>大额</w:t>
      </w:r>
      <w:r>
        <w:rPr>
          <w:rFonts w:ascii="宋体" w:eastAsia="宋体" w:hAnsi="宋体" w:cs="宋体" w:hint="eastAsia"/>
          <w:kern w:val="0"/>
          <w:sz w:val="21"/>
          <w:szCs w:val="21"/>
        </w:rPr>
        <w:t>转换转入业务有关事项予以说明。投资者欲了解本基金的详细情况，可通过本公司</w:t>
      </w:r>
      <w:r>
        <w:rPr>
          <w:rFonts w:ascii="宋体" w:eastAsia="宋体" w:hAnsi="宋体" w:cs="宋体" w:hint="eastAsia"/>
          <w:kern w:val="0"/>
          <w:sz w:val="21"/>
          <w:szCs w:val="21"/>
        </w:rPr>
        <w:t>网站查阅本基金的相关法律文件。</w:t>
      </w:r>
    </w:p>
    <w:p w:rsidR="00000000" w:rsidRDefault="00CE63DD">
      <w:pPr>
        <w:spacing w:line="360" w:lineRule="auto"/>
        <w:ind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 xml:space="preserve">(4) </w:t>
      </w:r>
      <w:r>
        <w:rPr>
          <w:rFonts w:ascii="宋体" w:eastAsia="宋体" w:hAnsi="宋体" w:cs="宋体" w:hint="eastAsia"/>
          <w:kern w:val="0"/>
          <w:sz w:val="21"/>
          <w:szCs w:val="21"/>
        </w:rPr>
        <w:t>如本基金恢复办理</w:t>
      </w:r>
      <w:r>
        <w:rPr>
          <w:rFonts w:ascii="宋体" w:eastAsia="宋体" w:hAnsi="宋体" w:cs="宋体" w:hint="eastAsia"/>
          <w:sz w:val="21"/>
          <w:szCs w:val="21"/>
        </w:rPr>
        <w:t>大额</w:t>
      </w:r>
      <w:r>
        <w:rPr>
          <w:rFonts w:ascii="宋体" w:eastAsia="宋体" w:hAnsi="宋体" w:cs="宋体" w:hint="eastAsia"/>
          <w:kern w:val="0"/>
          <w:sz w:val="21"/>
          <w:szCs w:val="21"/>
        </w:rPr>
        <w:t>申购</w:t>
      </w:r>
      <w:r>
        <w:rPr>
          <w:rFonts w:ascii="宋体" w:eastAsia="宋体" w:hAnsi="宋体" w:cs="宋体" w:hint="eastAsia"/>
          <w:kern w:val="0"/>
          <w:sz w:val="21"/>
          <w:szCs w:val="21"/>
        </w:rPr>
        <w:t>(</w:t>
      </w:r>
      <w:r>
        <w:rPr>
          <w:rFonts w:ascii="宋体" w:eastAsia="宋体" w:hAnsi="宋体" w:cs="宋体" w:hint="eastAsia"/>
          <w:kern w:val="0"/>
          <w:sz w:val="21"/>
          <w:szCs w:val="21"/>
        </w:rPr>
        <w:t>含定期定额）、</w:t>
      </w:r>
      <w:r>
        <w:rPr>
          <w:rFonts w:ascii="宋体" w:eastAsia="宋体" w:hAnsi="宋体" w:cs="宋体" w:hint="eastAsia"/>
          <w:sz w:val="21"/>
          <w:szCs w:val="21"/>
        </w:rPr>
        <w:t>大额</w:t>
      </w:r>
      <w:r>
        <w:rPr>
          <w:rFonts w:ascii="宋体" w:eastAsia="宋体" w:hAnsi="宋体" w:cs="宋体" w:hint="eastAsia"/>
          <w:kern w:val="0"/>
          <w:sz w:val="21"/>
          <w:szCs w:val="21"/>
        </w:rPr>
        <w:t>转换转入业务，本公司将另行公告，敬请投资者注意；</w:t>
      </w:r>
    </w:p>
    <w:p w:rsidR="00000000" w:rsidRDefault="00CE63DD">
      <w:pPr>
        <w:spacing w:line="360" w:lineRule="auto"/>
        <w:ind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如有疑问，请拨打本公司客户服务热线：</w:t>
      </w:r>
      <w:r>
        <w:rPr>
          <w:rFonts w:ascii="宋体" w:eastAsia="宋体" w:hAnsi="宋体" w:cs="宋体" w:hint="eastAsia"/>
          <w:kern w:val="0"/>
          <w:sz w:val="21"/>
          <w:szCs w:val="21"/>
        </w:rPr>
        <w:t>400-821-0588</w:t>
      </w:r>
      <w:r>
        <w:rPr>
          <w:rFonts w:ascii="宋体" w:eastAsia="宋体" w:hAnsi="宋体" w:cs="宋体" w:hint="eastAsia"/>
          <w:kern w:val="0"/>
          <w:sz w:val="21"/>
          <w:szCs w:val="21"/>
        </w:rPr>
        <w:t>，或登陆本公司网站</w:t>
      </w:r>
      <w:r>
        <w:rPr>
          <w:rFonts w:ascii="宋体" w:eastAsia="宋体" w:hAnsi="宋体" w:cs="宋体" w:hint="eastAsia"/>
          <w:kern w:val="0"/>
          <w:sz w:val="21"/>
          <w:szCs w:val="21"/>
        </w:rPr>
        <w:t>www.scfund.com.cn</w:t>
      </w:r>
      <w:r>
        <w:rPr>
          <w:rFonts w:ascii="宋体" w:eastAsia="宋体" w:hAnsi="宋体" w:cs="宋体" w:hint="eastAsia"/>
          <w:kern w:val="0"/>
          <w:sz w:val="21"/>
          <w:szCs w:val="21"/>
        </w:rPr>
        <w:t>获取相关信息。</w:t>
      </w:r>
    </w:p>
    <w:p w:rsidR="00000000" w:rsidRDefault="00CE63DD">
      <w:pPr>
        <w:spacing w:line="360" w:lineRule="auto"/>
        <w:ind w:firstLineChars="200" w:firstLine="420"/>
        <w:rPr>
          <w:rFonts w:ascii="宋体" w:eastAsia="宋体" w:hAnsi="宋体" w:cs="宋体" w:hint="eastAsia"/>
          <w:kern w:val="0"/>
          <w:sz w:val="21"/>
          <w:szCs w:val="21"/>
        </w:rPr>
      </w:pPr>
    </w:p>
    <w:p w:rsidR="00000000" w:rsidRDefault="00CE63DD">
      <w:pPr>
        <w:spacing w:line="360" w:lineRule="auto"/>
        <w:ind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特此公告。</w:t>
      </w:r>
    </w:p>
    <w:p w:rsidR="00000000" w:rsidRDefault="00CE63DD">
      <w:pPr>
        <w:spacing w:line="360" w:lineRule="auto"/>
        <w:ind w:firstLineChars="200" w:firstLine="420"/>
        <w:rPr>
          <w:rFonts w:ascii="宋体" w:eastAsia="宋体" w:hAnsi="宋体" w:cs="宋体" w:hint="eastAsia"/>
          <w:kern w:val="0"/>
          <w:sz w:val="21"/>
          <w:szCs w:val="21"/>
        </w:rPr>
      </w:pPr>
    </w:p>
    <w:p w:rsidR="00000000" w:rsidRDefault="00CE63DD">
      <w:pPr>
        <w:spacing w:line="360" w:lineRule="auto"/>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 xml:space="preserve">                                                      </w:t>
      </w:r>
      <w:r>
        <w:rPr>
          <w:rFonts w:ascii="宋体" w:eastAsia="宋体" w:hAnsi="宋体" w:cs="宋体" w:hint="eastAsia"/>
          <w:kern w:val="0"/>
          <w:sz w:val="21"/>
          <w:szCs w:val="21"/>
        </w:rPr>
        <w:t>东吴基金管理有限公司</w:t>
      </w:r>
    </w:p>
    <w:p w:rsidR="00000000" w:rsidRDefault="00CE63DD">
      <w:pPr>
        <w:spacing w:line="360" w:lineRule="auto"/>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二零</w:t>
      </w:r>
      <w:r>
        <w:rPr>
          <w:rFonts w:ascii="宋体" w:eastAsia="宋体" w:hAnsi="宋体" w:cs="宋体" w:hint="eastAsia"/>
          <w:kern w:val="0"/>
          <w:sz w:val="21"/>
          <w:szCs w:val="21"/>
        </w:rPr>
        <w:t>二零</w:t>
      </w:r>
      <w:r>
        <w:rPr>
          <w:rFonts w:ascii="宋体" w:eastAsia="宋体" w:hAnsi="宋体" w:cs="宋体" w:hint="eastAsia"/>
          <w:kern w:val="0"/>
          <w:sz w:val="21"/>
          <w:szCs w:val="21"/>
        </w:rPr>
        <w:t>年</w:t>
      </w:r>
      <w:r>
        <w:rPr>
          <w:rFonts w:ascii="宋体" w:eastAsia="宋体" w:hAnsi="宋体" w:cs="宋体" w:hint="eastAsia"/>
          <w:kern w:val="0"/>
          <w:sz w:val="21"/>
          <w:szCs w:val="21"/>
        </w:rPr>
        <w:t>一</w:t>
      </w:r>
      <w:r>
        <w:rPr>
          <w:rFonts w:ascii="宋体" w:eastAsia="宋体" w:hAnsi="宋体" w:cs="宋体" w:hint="eastAsia"/>
          <w:kern w:val="0"/>
          <w:sz w:val="21"/>
          <w:szCs w:val="21"/>
        </w:rPr>
        <w:t>月</w:t>
      </w:r>
      <w:r>
        <w:rPr>
          <w:rFonts w:ascii="宋体" w:eastAsia="宋体" w:hAnsi="宋体" w:cs="宋体" w:hint="eastAsia"/>
          <w:kern w:val="0"/>
          <w:sz w:val="21"/>
          <w:szCs w:val="21"/>
        </w:rPr>
        <w:t>九</w:t>
      </w:r>
      <w:r>
        <w:rPr>
          <w:rFonts w:ascii="宋体" w:eastAsia="宋体" w:hAnsi="宋体" w:cs="宋体" w:hint="eastAsia"/>
          <w:kern w:val="0"/>
          <w:sz w:val="21"/>
          <w:szCs w:val="21"/>
        </w:rPr>
        <w:t>日</w:t>
      </w:r>
    </w:p>
    <w:p w:rsidR="00000000" w:rsidRDefault="00CE63DD">
      <w:pPr>
        <w:spacing w:line="400" w:lineRule="exact"/>
        <w:jc w:val="right"/>
        <w:rPr>
          <w:rFonts w:hint="eastAsia"/>
          <w:kern w:val="0"/>
          <w:sz w:val="21"/>
          <w:szCs w:val="21"/>
        </w:rPr>
      </w:pPr>
    </w:p>
    <w:p w:rsidR="00000000" w:rsidRDefault="00CE63DD"/>
    <w:p w:rsidR="00000000" w:rsidRDefault="00CE63DD"/>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3DD" w:rsidRDefault="00CE63DD" w:rsidP="00CE63DD">
      <w:r>
        <w:separator/>
      </w:r>
    </w:p>
  </w:endnote>
  <w:endnote w:type="continuationSeparator" w:id="1">
    <w:p w:rsidR="00CE63DD" w:rsidRDefault="00CE63DD" w:rsidP="00CE6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3DD" w:rsidRDefault="00CE63DD" w:rsidP="00CE63DD">
      <w:r>
        <w:separator/>
      </w:r>
    </w:p>
  </w:footnote>
  <w:footnote w:type="continuationSeparator" w:id="1">
    <w:p w:rsidR="00CE63DD" w:rsidRDefault="00CE63DD" w:rsidP="00CE63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5ADF"/>
    <w:rsid w:val="00012D89"/>
    <w:rsid w:val="00015134"/>
    <w:rsid w:val="00030509"/>
    <w:rsid w:val="00051BB5"/>
    <w:rsid w:val="00071F2A"/>
    <w:rsid w:val="00087C16"/>
    <w:rsid w:val="000A77F7"/>
    <w:rsid w:val="000C4372"/>
    <w:rsid w:val="000D6EFB"/>
    <w:rsid w:val="000F5641"/>
    <w:rsid w:val="00105890"/>
    <w:rsid w:val="00137DAF"/>
    <w:rsid w:val="00154BD2"/>
    <w:rsid w:val="00167B7D"/>
    <w:rsid w:val="00170637"/>
    <w:rsid w:val="00183A96"/>
    <w:rsid w:val="00190DA3"/>
    <w:rsid w:val="001934CC"/>
    <w:rsid w:val="00195605"/>
    <w:rsid w:val="00196F80"/>
    <w:rsid w:val="001970EA"/>
    <w:rsid w:val="001C4454"/>
    <w:rsid w:val="001D495F"/>
    <w:rsid w:val="001D5655"/>
    <w:rsid w:val="001D608B"/>
    <w:rsid w:val="001E438A"/>
    <w:rsid w:val="002331B4"/>
    <w:rsid w:val="002624E4"/>
    <w:rsid w:val="00266B79"/>
    <w:rsid w:val="0028625F"/>
    <w:rsid w:val="002C0D90"/>
    <w:rsid w:val="002C4FDF"/>
    <w:rsid w:val="002E6B78"/>
    <w:rsid w:val="0031482A"/>
    <w:rsid w:val="00316295"/>
    <w:rsid w:val="003300D4"/>
    <w:rsid w:val="00330474"/>
    <w:rsid w:val="00332E0B"/>
    <w:rsid w:val="003473E3"/>
    <w:rsid w:val="00350153"/>
    <w:rsid w:val="003719EB"/>
    <w:rsid w:val="0037356D"/>
    <w:rsid w:val="003769CC"/>
    <w:rsid w:val="003B0E5E"/>
    <w:rsid w:val="003B29DE"/>
    <w:rsid w:val="003C44B1"/>
    <w:rsid w:val="003D2EBA"/>
    <w:rsid w:val="003E6BE6"/>
    <w:rsid w:val="00416E36"/>
    <w:rsid w:val="0047416A"/>
    <w:rsid w:val="00474335"/>
    <w:rsid w:val="00481625"/>
    <w:rsid w:val="00487A34"/>
    <w:rsid w:val="00490775"/>
    <w:rsid w:val="00491EFC"/>
    <w:rsid w:val="004D7338"/>
    <w:rsid w:val="005048CF"/>
    <w:rsid w:val="00585C7B"/>
    <w:rsid w:val="0059648E"/>
    <w:rsid w:val="005C537E"/>
    <w:rsid w:val="005E1347"/>
    <w:rsid w:val="005E4C60"/>
    <w:rsid w:val="005F59BB"/>
    <w:rsid w:val="00666D5C"/>
    <w:rsid w:val="00670662"/>
    <w:rsid w:val="0067431B"/>
    <w:rsid w:val="006751D9"/>
    <w:rsid w:val="00675F82"/>
    <w:rsid w:val="00677A67"/>
    <w:rsid w:val="006A25D1"/>
    <w:rsid w:val="006C3E8F"/>
    <w:rsid w:val="006F44BA"/>
    <w:rsid w:val="007111B4"/>
    <w:rsid w:val="00726F0D"/>
    <w:rsid w:val="00727A17"/>
    <w:rsid w:val="00730266"/>
    <w:rsid w:val="007A0AD4"/>
    <w:rsid w:val="007C07DD"/>
    <w:rsid w:val="007C5E8A"/>
    <w:rsid w:val="007D25F7"/>
    <w:rsid w:val="007D6D0E"/>
    <w:rsid w:val="007F217C"/>
    <w:rsid w:val="007F49B5"/>
    <w:rsid w:val="00811890"/>
    <w:rsid w:val="00831C60"/>
    <w:rsid w:val="008962D9"/>
    <w:rsid w:val="008A2325"/>
    <w:rsid w:val="008A331A"/>
    <w:rsid w:val="008C783C"/>
    <w:rsid w:val="008E51FE"/>
    <w:rsid w:val="00904C74"/>
    <w:rsid w:val="00930619"/>
    <w:rsid w:val="00931774"/>
    <w:rsid w:val="0093688E"/>
    <w:rsid w:val="0098264E"/>
    <w:rsid w:val="00986F5A"/>
    <w:rsid w:val="009A29DE"/>
    <w:rsid w:val="009A4A3D"/>
    <w:rsid w:val="009A5ADF"/>
    <w:rsid w:val="009B1C5B"/>
    <w:rsid w:val="00A0294B"/>
    <w:rsid w:val="00A4453D"/>
    <w:rsid w:val="00A473EE"/>
    <w:rsid w:val="00A47827"/>
    <w:rsid w:val="00A760CB"/>
    <w:rsid w:val="00A80024"/>
    <w:rsid w:val="00AA12F5"/>
    <w:rsid w:val="00AB0EFD"/>
    <w:rsid w:val="00AC10CD"/>
    <w:rsid w:val="00AF425C"/>
    <w:rsid w:val="00AF5A90"/>
    <w:rsid w:val="00AF74C9"/>
    <w:rsid w:val="00B05D6E"/>
    <w:rsid w:val="00B15D7B"/>
    <w:rsid w:val="00B24084"/>
    <w:rsid w:val="00B56F72"/>
    <w:rsid w:val="00B77AF0"/>
    <w:rsid w:val="00B9537C"/>
    <w:rsid w:val="00BC471C"/>
    <w:rsid w:val="00BD3D33"/>
    <w:rsid w:val="00C50D48"/>
    <w:rsid w:val="00C5297D"/>
    <w:rsid w:val="00C847A1"/>
    <w:rsid w:val="00C90A2D"/>
    <w:rsid w:val="00CA0D4F"/>
    <w:rsid w:val="00CC685D"/>
    <w:rsid w:val="00CE63DD"/>
    <w:rsid w:val="00CF7A4E"/>
    <w:rsid w:val="00D0791A"/>
    <w:rsid w:val="00D16584"/>
    <w:rsid w:val="00D21D19"/>
    <w:rsid w:val="00D32333"/>
    <w:rsid w:val="00D359B1"/>
    <w:rsid w:val="00D40563"/>
    <w:rsid w:val="00D41432"/>
    <w:rsid w:val="00D60C03"/>
    <w:rsid w:val="00D614CC"/>
    <w:rsid w:val="00D76447"/>
    <w:rsid w:val="00D86378"/>
    <w:rsid w:val="00DA70DB"/>
    <w:rsid w:val="00DD0F38"/>
    <w:rsid w:val="00DD3F54"/>
    <w:rsid w:val="00DF2C55"/>
    <w:rsid w:val="00E0763E"/>
    <w:rsid w:val="00E16FE4"/>
    <w:rsid w:val="00E41647"/>
    <w:rsid w:val="00EB0381"/>
    <w:rsid w:val="00ED0460"/>
    <w:rsid w:val="00ED5A92"/>
    <w:rsid w:val="00EF5285"/>
    <w:rsid w:val="00EF6956"/>
    <w:rsid w:val="00F1634A"/>
    <w:rsid w:val="00F5718E"/>
    <w:rsid w:val="00F6254C"/>
    <w:rsid w:val="00F7117C"/>
    <w:rsid w:val="00F83E71"/>
    <w:rsid w:val="00FB455F"/>
    <w:rsid w:val="00FC15D5"/>
    <w:rsid w:val="00FE2D2D"/>
    <w:rsid w:val="02A93107"/>
    <w:rsid w:val="04824419"/>
    <w:rsid w:val="04AD6D59"/>
    <w:rsid w:val="059576B4"/>
    <w:rsid w:val="05EA528E"/>
    <w:rsid w:val="07215F41"/>
    <w:rsid w:val="075427E3"/>
    <w:rsid w:val="0903259D"/>
    <w:rsid w:val="099866AB"/>
    <w:rsid w:val="0A5F2B10"/>
    <w:rsid w:val="0AB4001B"/>
    <w:rsid w:val="0B413038"/>
    <w:rsid w:val="0DAB7EAA"/>
    <w:rsid w:val="0DD663C3"/>
    <w:rsid w:val="0EA53794"/>
    <w:rsid w:val="0EAA5535"/>
    <w:rsid w:val="0F9F10E2"/>
    <w:rsid w:val="101504F3"/>
    <w:rsid w:val="11015B72"/>
    <w:rsid w:val="12BE1A93"/>
    <w:rsid w:val="132B6CD5"/>
    <w:rsid w:val="13EF5AC2"/>
    <w:rsid w:val="13FF0B47"/>
    <w:rsid w:val="147F19B5"/>
    <w:rsid w:val="15F0378C"/>
    <w:rsid w:val="16B6705D"/>
    <w:rsid w:val="17263809"/>
    <w:rsid w:val="1AD90660"/>
    <w:rsid w:val="1BCB3279"/>
    <w:rsid w:val="1BD371CC"/>
    <w:rsid w:val="1DB94325"/>
    <w:rsid w:val="239F333D"/>
    <w:rsid w:val="23DD7990"/>
    <w:rsid w:val="263B5F5E"/>
    <w:rsid w:val="266B7930"/>
    <w:rsid w:val="26751515"/>
    <w:rsid w:val="26F357BA"/>
    <w:rsid w:val="27912859"/>
    <w:rsid w:val="27C216A5"/>
    <w:rsid w:val="28A84C63"/>
    <w:rsid w:val="295C0F57"/>
    <w:rsid w:val="2B676BA6"/>
    <w:rsid w:val="2C3C4DD6"/>
    <w:rsid w:val="2CC06EE8"/>
    <w:rsid w:val="2D6C7BF4"/>
    <w:rsid w:val="2DA372EF"/>
    <w:rsid w:val="2DDC4CA4"/>
    <w:rsid w:val="2E5816FC"/>
    <w:rsid w:val="2EFA32F7"/>
    <w:rsid w:val="2F106BA7"/>
    <w:rsid w:val="2F6B3F4E"/>
    <w:rsid w:val="30A45AD9"/>
    <w:rsid w:val="30DD2FBC"/>
    <w:rsid w:val="310170FC"/>
    <w:rsid w:val="316B58A2"/>
    <w:rsid w:val="317A7C58"/>
    <w:rsid w:val="31AA403A"/>
    <w:rsid w:val="31B54A1D"/>
    <w:rsid w:val="31B833C5"/>
    <w:rsid w:val="32DA34FB"/>
    <w:rsid w:val="341D0453"/>
    <w:rsid w:val="34881634"/>
    <w:rsid w:val="34EA48E1"/>
    <w:rsid w:val="35295A1B"/>
    <w:rsid w:val="369D3BA6"/>
    <w:rsid w:val="37850187"/>
    <w:rsid w:val="39DC78DF"/>
    <w:rsid w:val="3A9A4A4B"/>
    <w:rsid w:val="3B185F20"/>
    <w:rsid w:val="3B992C1D"/>
    <w:rsid w:val="3BCD4126"/>
    <w:rsid w:val="3C09460C"/>
    <w:rsid w:val="3CB0609F"/>
    <w:rsid w:val="3DC34121"/>
    <w:rsid w:val="3E994352"/>
    <w:rsid w:val="3EBD7A3D"/>
    <w:rsid w:val="3F1217F6"/>
    <w:rsid w:val="3F5037B8"/>
    <w:rsid w:val="40122D85"/>
    <w:rsid w:val="404D4F0A"/>
    <w:rsid w:val="415232F0"/>
    <w:rsid w:val="41A8572B"/>
    <w:rsid w:val="42E4524A"/>
    <w:rsid w:val="433B57B2"/>
    <w:rsid w:val="440A11EB"/>
    <w:rsid w:val="4603646C"/>
    <w:rsid w:val="46732FF1"/>
    <w:rsid w:val="46751744"/>
    <w:rsid w:val="46847CBF"/>
    <w:rsid w:val="485B78C5"/>
    <w:rsid w:val="4AD320E5"/>
    <w:rsid w:val="4AE821DB"/>
    <w:rsid w:val="4AF9238C"/>
    <w:rsid w:val="4B683F67"/>
    <w:rsid w:val="4B9E7153"/>
    <w:rsid w:val="4C0C69D1"/>
    <w:rsid w:val="4C7E4716"/>
    <w:rsid w:val="4DA2629E"/>
    <w:rsid w:val="4FD3218F"/>
    <w:rsid w:val="50BF41AC"/>
    <w:rsid w:val="510F3761"/>
    <w:rsid w:val="5151242D"/>
    <w:rsid w:val="52781AFC"/>
    <w:rsid w:val="54340D79"/>
    <w:rsid w:val="569710C5"/>
    <w:rsid w:val="57C7299B"/>
    <w:rsid w:val="57EE28CF"/>
    <w:rsid w:val="583D7E76"/>
    <w:rsid w:val="58CE6BAD"/>
    <w:rsid w:val="598E457A"/>
    <w:rsid w:val="5A455B7F"/>
    <w:rsid w:val="5CA23D47"/>
    <w:rsid w:val="5D6E176C"/>
    <w:rsid w:val="5E6D40F8"/>
    <w:rsid w:val="5EBA364B"/>
    <w:rsid w:val="60982482"/>
    <w:rsid w:val="60B72887"/>
    <w:rsid w:val="620671E2"/>
    <w:rsid w:val="62B94201"/>
    <w:rsid w:val="63EF473B"/>
    <w:rsid w:val="64FA3AEB"/>
    <w:rsid w:val="66AF4DEC"/>
    <w:rsid w:val="6783188B"/>
    <w:rsid w:val="681945B4"/>
    <w:rsid w:val="68601D62"/>
    <w:rsid w:val="68DB0E24"/>
    <w:rsid w:val="693D3C62"/>
    <w:rsid w:val="6AC02D0D"/>
    <w:rsid w:val="6B4056DF"/>
    <w:rsid w:val="6CD96830"/>
    <w:rsid w:val="6CDA6799"/>
    <w:rsid w:val="6DA4665E"/>
    <w:rsid w:val="6E6B32BD"/>
    <w:rsid w:val="6E777D50"/>
    <w:rsid w:val="6E9D6230"/>
    <w:rsid w:val="707E12AA"/>
    <w:rsid w:val="711A76C2"/>
    <w:rsid w:val="71D50E69"/>
    <w:rsid w:val="73405C11"/>
    <w:rsid w:val="73944596"/>
    <w:rsid w:val="74305837"/>
    <w:rsid w:val="78795929"/>
    <w:rsid w:val="7A3F4A1F"/>
    <w:rsid w:val="7A550379"/>
    <w:rsid w:val="7AC136BA"/>
    <w:rsid w:val="7CD46DB7"/>
    <w:rsid w:val="7DD56A95"/>
    <w:rsid w:val="7F051474"/>
    <w:rsid w:val="7F5646F6"/>
    <w:rsid w:val="7FC01B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ver2">
    <w:name w:val="over2"/>
    <w:basedOn w:val="a0"/>
  </w:style>
  <w:style w:type="character" w:styleId="a3">
    <w:name w:val="Hyperlink"/>
    <w:rPr>
      <w:strike w:val="0"/>
      <w:dstrike w:val="0"/>
      <w:color w:val="000000"/>
      <w:u w:val="none"/>
    </w:rPr>
  </w:style>
  <w:style w:type="character" w:customStyle="1" w:styleId="hot46">
    <w:name w:val="hot46"/>
    <w:basedOn w:val="a0"/>
  </w:style>
  <w:style w:type="character" w:customStyle="1" w:styleId="ls">
    <w:name w:val="ls"/>
    <w:rPr>
      <w:color w:val="666666"/>
    </w:rPr>
  </w:style>
  <w:style w:type="character" w:customStyle="1" w:styleId="over1">
    <w:name w:val="over1"/>
    <w:basedOn w:val="a0"/>
  </w:style>
  <w:style w:type="character" w:customStyle="1" w:styleId="az">
    <w:name w:val="az"/>
    <w:rPr>
      <w:bdr w:val="single" w:sz="6" w:space="0" w:color="DFDFDF"/>
    </w:rPr>
  </w:style>
  <w:style w:type="character" w:customStyle="1" w:styleId="hover55">
    <w:name w:val="hover55"/>
    <w:rPr>
      <w:color w:val="666666"/>
    </w:rPr>
  </w:style>
  <w:style w:type="character" w:customStyle="1" w:styleId="lsx">
    <w:name w:val="lsx"/>
    <w:rPr>
      <w:color w:val="00FF00"/>
    </w:rPr>
  </w:style>
  <w:style w:type="character" w:customStyle="1" w:styleId="ios">
    <w:name w:val="ios"/>
    <w:rPr>
      <w:bdr w:val="single" w:sz="6" w:space="0" w:color="DFDFDF"/>
    </w:rPr>
  </w:style>
  <w:style w:type="character" w:customStyle="1" w:styleId="hover53">
    <w:name w:val="hover53"/>
    <w:rPr>
      <w:color w:val="FFFFFF"/>
      <w:shd w:val="clear" w:color="auto" w:fill="EDC211"/>
    </w:rPr>
  </w:style>
  <w:style w:type="character" w:customStyle="1" w:styleId="Char">
    <w:name w:val="页眉 Char"/>
    <w:link w:val="a4"/>
    <w:rPr>
      <w:rFonts w:eastAsia="方正仿宋简体"/>
      <w:kern w:val="2"/>
      <w:sz w:val="18"/>
      <w:szCs w:val="18"/>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bg11">
    <w:name w:val="bg11"/>
    <w:basedOn w:val="a0"/>
  </w:style>
  <w:style w:type="character" w:customStyle="1" w:styleId="bg21">
    <w:name w:val="bg21"/>
    <w:basedOn w:val="a0"/>
  </w:style>
  <w:style w:type="character" w:styleId="a5">
    <w:name w:val="footnote reference"/>
    <w:rPr>
      <w:vertAlign w:val="superscript"/>
    </w:rPr>
  </w:style>
  <w:style w:type="character" w:customStyle="1" w:styleId="over">
    <w:name w:val="over"/>
    <w:basedOn w:val="a0"/>
  </w:style>
  <w:style w:type="character" w:customStyle="1" w:styleId="HTMLChar">
    <w:name w:val="HTML 预设格式 Char"/>
    <w:link w:val="HTML"/>
    <w:rPr>
      <w:rFonts w:ascii="Courier New" w:eastAsia="方正仿宋简体" w:hAnsi="Courier New" w:cs="Courier New"/>
      <w:kern w:val="2"/>
    </w:rPr>
  </w:style>
  <w:style w:type="character" w:customStyle="1" w:styleId="hover52">
    <w:name w:val="hover52"/>
    <w:rPr>
      <w:color w:val="FFFFFF"/>
      <w:shd w:val="clear" w:color="auto" w:fill="C9A363"/>
    </w:rPr>
  </w:style>
  <w:style w:type="character" w:customStyle="1" w:styleId="bg4">
    <w:name w:val="bg4"/>
    <w:basedOn w:val="a0"/>
  </w:style>
  <w:style w:type="character" w:styleId="a6">
    <w:name w:val="FollowedHyperlink"/>
    <w:rPr>
      <w:color w:val="666666"/>
      <w:u w:val="none"/>
    </w:rPr>
  </w:style>
  <w:style w:type="character" w:customStyle="1" w:styleId="bg5">
    <w:name w:val="bg5"/>
    <w:basedOn w:val="a0"/>
  </w:style>
  <w:style w:type="character" w:customStyle="1" w:styleId="hover54">
    <w:name w:val="hover54"/>
    <w:rPr>
      <w:color w:val="666666"/>
    </w:rPr>
  </w:style>
  <w:style w:type="character" w:customStyle="1" w:styleId="hover56">
    <w:name w:val="hover56"/>
    <w:rPr>
      <w:color w:val="FFFFFF"/>
      <w:shd w:val="clear" w:color="auto" w:fill="C9A363"/>
    </w:rPr>
  </w:style>
  <w:style w:type="character" w:customStyle="1" w:styleId="bg31">
    <w:name w:val="bg31"/>
    <w:basedOn w:val="a0"/>
  </w:style>
  <w:style w:type="character" w:customStyle="1" w:styleId="hot47">
    <w:name w:val="hot47"/>
    <w:basedOn w:val="a0"/>
  </w:style>
  <w:style w:type="character" w:customStyle="1" w:styleId="hover58">
    <w:name w:val="hover58"/>
    <w:rPr>
      <w:color w:val="FFFFFF"/>
      <w:shd w:val="clear" w:color="auto" w:fill="ED686E"/>
    </w:rPr>
  </w:style>
  <w:style w:type="character" w:customStyle="1" w:styleId="hover51">
    <w:name w:val="hover51"/>
    <w:rPr>
      <w:color w:val="666666"/>
    </w:rPr>
  </w:style>
  <w:style w:type="character" w:customStyle="1" w:styleId="Char0">
    <w:name w:val="页脚 Char"/>
    <w:link w:val="a7"/>
    <w:rPr>
      <w:rFonts w:eastAsia="方正仿宋简体"/>
      <w:kern w:val="2"/>
      <w:sz w:val="18"/>
      <w:szCs w:val="18"/>
    </w:rPr>
  </w:style>
  <w:style w:type="character" w:customStyle="1" w:styleId="bg2">
    <w:name w:val="bg2"/>
    <w:basedOn w:val="a0"/>
  </w:style>
  <w:style w:type="character" w:customStyle="1" w:styleId="hot49">
    <w:name w:val="hot49"/>
    <w:basedOn w:val="a0"/>
  </w:style>
  <w:style w:type="character" w:customStyle="1" w:styleId="bg41">
    <w:name w:val="bg41"/>
    <w:basedOn w:val="a0"/>
  </w:style>
  <w:style w:type="character" w:customStyle="1" w:styleId="hover57">
    <w:name w:val="hover57"/>
    <w:rPr>
      <w:color w:val="FFFFFF"/>
      <w:shd w:val="clear" w:color="auto" w:fill="EDC211"/>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eastAsia="宋体"/>
      <w:kern w:val="0"/>
      <w:sz w:val="34"/>
    </w:rPr>
  </w:style>
  <w:style w:type="paragraph" w:styleId="a8">
    <w:name w:val="footnote text"/>
    <w:basedOn w:val="a"/>
    <w:pPr>
      <w:snapToGrid w:val="0"/>
      <w:jc w:val="left"/>
    </w:pPr>
    <w:rPr>
      <w:rFonts w:eastAsia="宋体"/>
      <w:sz w:val="18"/>
    </w:rPr>
  </w:style>
  <w:style w:type="paragraph" w:styleId="HTML">
    <w:name w:val="HTML Preformatted"/>
    <w:basedOn w:val="a"/>
    <w:link w:val="HTMLChar"/>
    <w:rPr>
      <w:rFonts w:ascii="Courier New" w:hAnsi="Courier New" w:cs="Courier New"/>
      <w:sz w:val="20"/>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pPr>
      <w:tabs>
        <w:tab w:val="center" w:pos="4153"/>
        <w:tab w:val="right" w:pos="8306"/>
      </w:tabs>
      <w:snapToGrid w:val="0"/>
      <w:jc w:val="left"/>
    </w:pPr>
    <w:rPr>
      <w:sz w:val="18"/>
      <w:szCs w:val="18"/>
    </w:rPr>
  </w:style>
  <w:style w:type="paragraph" w:styleId="a9">
    <w:name w:val="Date"/>
    <w:basedOn w:val="a"/>
    <w:next w:val="a"/>
    <w:pPr>
      <w:ind w:leftChars="2500" w:left="100"/>
    </w:pPr>
  </w:style>
  <w:style w:type="paragraph" w:styleId="aa">
    <w:name w:val="Balloon Text"/>
    <w:basedOn w:val="a"/>
    <w:semiHidden/>
    <w:rPr>
      <w:sz w:val="18"/>
      <w:szCs w:val="18"/>
    </w:rPr>
  </w:style>
  <w:style w:type="paragraph" w:styleId="ab">
    <w:name w:val="Normal (Web)"/>
    <w:basedOn w:val="a"/>
    <w:pPr>
      <w:widowControl/>
      <w:jc w:val="left"/>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4</DocSecurity>
  <PresentationFormat/>
  <Lines>9</Lines>
  <Paragraphs>2</Paragraphs>
  <Slides>0</Slides>
  <Notes>0</Notes>
  <HiddenSlides>0</HiddenSlides>
  <MMClips>0</MMClips>
  <ScaleCrop>false</ScaleCrop>
  <Manager/>
  <Company>dw</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东吴移动互联灵活配置混合型证券投资基金调整大额申购_x000d_（含定期定额）、大额转换转入业务限额的公告</dc:title>
  <dc:subject/>
  <dc:creator>dw</dc:creator>
  <cp:keywords/>
  <dc:description/>
  <cp:lastModifiedBy>JonMMx 2000</cp:lastModifiedBy>
  <cp:revision>2</cp:revision>
  <cp:lastPrinted>2012-12-21T09:32:00Z</cp:lastPrinted>
  <dcterms:created xsi:type="dcterms:W3CDTF">2020-01-08T16:01:00Z</dcterms:created>
  <dcterms:modified xsi:type="dcterms:W3CDTF">2020-01-08T16:01:00Z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