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0" w:rsidRPr="00630158" w:rsidRDefault="00CB49A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630158">
        <w:rPr>
          <w:rFonts w:asciiTheme="majorEastAsia" w:eastAsiaTheme="majorEastAsia" w:hAnsiTheme="majorEastAsia" w:hint="eastAsia"/>
          <w:b/>
          <w:bCs/>
          <w:sz w:val="30"/>
          <w:szCs w:val="30"/>
        </w:rPr>
        <w:t>创金合信基金管理有限公司</w:t>
      </w:r>
      <w:r w:rsidR="00D85A99" w:rsidRPr="00630158">
        <w:rPr>
          <w:rFonts w:asciiTheme="majorEastAsia" w:eastAsiaTheme="majorEastAsia" w:hAnsiTheme="majorEastAsia" w:hint="eastAsia"/>
          <w:b/>
          <w:bCs/>
          <w:sz w:val="30"/>
          <w:szCs w:val="30"/>
        </w:rPr>
        <w:t>关于</w:t>
      </w:r>
      <w:r w:rsidRPr="00630158">
        <w:rPr>
          <w:rFonts w:asciiTheme="majorEastAsia" w:eastAsiaTheme="majorEastAsia" w:hAnsiTheme="majorEastAsia" w:hint="eastAsia"/>
          <w:b/>
          <w:bCs/>
          <w:sz w:val="30"/>
          <w:szCs w:val="30"/>
        </w:rPr>
        <w:t>旗下部分</w:t>
      </w:r>
      <w:r w:rsidR="00625D29" w:rsidRPr="00630158">
        <w:rPr>
          <w:rFonts w:asciiTheme="majorEastAsia" w:eastAsiaTheme="majorEastAsia" w:hAnsiTheme="majorEastAsia" w:hint="eastAsia"/>
          <w:b/>
          <w:bCs/>
          <w:sz w:val="30"/>
          <w:szCs w:val="30"/>
        </w:rPr>
        <w:t>开放式</w:t>
      </w:r>
      <w:r w:rsidRPr="00630158">
        <w:rPr>
          <w:rFonts w:asciiTheme="majorEastAsia" w:eastAsiaTheme="majorEastAsia" w:hAnsiTheme="majorEastAsia" w:hint="eastAsia"/>
          <w:b/>
          <w:bCs/>
          <w:sz w:val="30"/>
          <w:szCs w:val="30"/>
        </w:rPr>
        <w:t>基金增加</w:t>
      </w:r>
      <w:r w:rsidR="0051237C" w:rsidRPr="0051237C">
        <w:rPr>
          <w:rFonts w:asciiTheme="majorEastAsia" w:eastAsiaTheme="majorEastAsia" w:hAnsiTheme="majorEastAsia" w:hint="eastAsia"/>
          <w:b/>
          <w:bCs/>
          <w:sz w:val="30"/>
          <w:szCs w:val="30"/>
        </w:rPr>
        <w:t>北京恒天明泽</w:t>
      </w:r>
      <w:r w:rsidRPr="00630158">
        <w:rPr>
          <w:rFonts w:asciiTheme="majorEastAsia" w:eastAsiaTheme="majorEastAsia" w:hAnsiTheme="majorEastAsia" w:hint="eastAsia"/>
          <w:b/>
          <w:bCs/>
          <w:sz w:val="30"/>
          <w:szCs w:val="30"/>
        </w:rPr>
        <w:t>为</w:t>
      </w:r>
      <w:r w:rsidRPr="00630158">
        <w:rPr>
          <w:rFonts w:asciiTheme="majorEastAsia" w:eastAsiaTheme="majorEastAsia" w:hAnsiTheme="majorEastAsia"/>
          <w:b/>
          <w:bCs/>
          <w:sz w:val="30"/>
          <w:szCs w:val="30"/>
        </w:rPr>
        <w:t>代销机构</w:t>
      </w:r>
      <w:r w:rsidR="00551695" w:rsidRPr="0051237C">
        <w:rPr>
          <w:rFonts w:asciiTheme="majorEastAsia" w:eastAsiaTheme="majorEastAsia" w:hAnsiTheme="majorEastAsia" w:hint="eastAsia"/>
          <w:b/>
          <w:bCs/>
          <w:sz w:val="30"/>
          <w:szCs w:val="30"/>
        </w:rPr>
        <w:t>暨参加</w:t>
      </w:r>
      <w:r w:rsidR="0051237C">
        <w:rPr>
          <w:rFonts w:asciiTheme="majorEastAsia" w:eastAsiaTheme="majorEastAsia" w:hAnsiTheme="majorEastAsia" w:hint="eastAsia"/>
          <w:b/>
          <w:bCs/>
          <w:sz w:val="30"/>
          <w:szCs w:val="30"/>
        </w:rPr>
        <w:t>恒天明泽</w:t>
      </w:r>
      <w:r w:rsidR="00551695" w:rsidRPr="0051237C">
        <w:rPr>
          <w:rFonts w:asciiTheme="majorEastAsia" w:eastAsiaTheme="majorEastAsia" w:hAnsiTheme="majorEastAsia" w:hint="eastAsia"/>
          <w:b/>
          <w:bCs/>
          <w:sz w:val="30"/>
          <w:szCs w:val="30"/>
        </w:rPr>
        <w:t>费率优惠活动的公告</w:t>
      </w:r>
    </w:p>
    <w:p w:rsidR="006E7B80" w:rsidRPr="00630158" w:rsidRDefault="006E7B80">
      <w:pPr>
        <w:spacing w:line="360" w:lineRule="auto"/>
        <w:jc w:val="center"/>
        <w:rPr>
          <w:rFonts w:asciiTheme="majorEastAsia" w:eastAsiaTheme="majorEastAsia" w:hAnsiTheme="majorEastAsia"/>
          <w:bCs/>
          <w:sz w:val="24"/>
        </w:rPr>
      </w:pPr>
    </w:p>
    <w:p w:rsidR="006E7B80" w:rsidRPr="00630158" w:rsidRDefault="00CB49AC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/>
          <w:sz w:val="24"/>
        </w:rPr>
        <w:t>根据</w:t>
      </w:r>
      <w:r w:rsidRPr="00630158">
        <w:rPr>
          <w:rFonts w:asciiTheme="majorEastAsia" w:eastAsiaTheme="majorEastAsia" w:hAnsiTheme="majorEastAsia" w:hint="eastAsia"/>
          <w:sz w:val="24"/>
        </w:rPr>
        <w:t>创金合信</w:t>
      </w:r>
      <w:r w:rsidRPr="00630158">
        <w:rPr>
          <w:rFonts w:asciiTheme="majorEastAsia" w:eastAsiaTheme="majorEastAsia" w:hAnsiTheme="majorEastAsia"/>
          <w:sz w:val="24"/>
        </w:rPr>
        <w:t>基金管理有限公司</w:t>
      </w:r>
      <w:r w:rsidRPr="00630158">
        <w:rPr>
          <w:rFonts w:asciiTheme="majorEastAsia" w:eastAsiaTheme="majorEastAsia" w:hAnsiTheme="majorEastAsia" w:hint="eastAsia"/>
          <w:sz w:val="24"/>
        </w:rPr>
        <w:t>(以下简称“本公司”)</w:t>
      </w:r>
      <w:r w:rsidRPr="00630158">
        <w:rPr>
          <w:rFonts w:asciiTheme="majorEastAsia" w:eastAsiaTheme="majorEastAsia" w:hAnsiTheme="majorEastAsia"/>
          <w:sz w:val="24"/>
        </w:rPr>
        <w:t>与</w:t>
      </w:r>
      <w:r w:rsidR="0051237C" w:rsidRPr="0051237C">
        <w:rPr>
          <w:rFonts w:asciiTheme="majorEastAsia" w:eastAsiaTheme="majorEastAsia" w:hAnsiTheme="majorEastAsia" w:hint="eastAsia"/>
          <w:sz w:val="24"/>
        </w:rPr>
        <w:t>北京恒天明泽基金销售有限公司</w:t>
      </w:r>
      <w:r w:rsidRPr="0051237C">
        <w:rPr>
          <w:rFonts w:asciiTheme="majorEastAsia" w:eastAsiaTheme="majorEastAsia" w:hAnsiTheme="majorEastAsia" w:hint="eastAsia"/>
          <w:sz w:val="24"/>
        </w:rPr>
        <w:t>（以下简称“</w:t>
      </w:r>
      <w:r w:rsidR="0051237C" w:rsidRPr="0051237C">
        <w:rPr>
          <w:rFonts w:asciiTheme="majorEastAsia" w:eastAsiaTheme="majorEastAsia" w:hAnsiTheme="majorEastAsia" w:hint="eastAsia"/>
          <w:sz w:val="24"/>
        </w:rPr>
        <w:t>恒天明泽</w:t>
      </w:r>
      <w:r w:rsidRPr="0051237C">
        <w:rPr>
          <w:rFonts w:asciiTheme="majorEastAsia" w:eastAsiaTheme="majorEastAsia" w:hAnsiTheme="majorEastAsia" w:hint="eastAsia"/>
          <w:sz w:val="24"/>
        </w:rPr>
        <w:t>”）</w:t>
      </w:r>
      <w:r w:rsidRPr="00630158">
        <w:rPr>
          <w:rFonts w:asciiTheme="majorEastAsia" w:eastAsiaTheme="majorEastAsia" w:hAnsiTheme="majorEastAsia"/>
          <w:sz w:val="24"/>
        </w:rPr>
        <w:t>签署的</w:t>
      </w:r>
      <w:r w:rsidRPr="00630158">
        <w:rPr>
          <w:rFonts w:asciiTheme="majorEastAsia" w:eastAsiaTheme="majorEastAsia" w:hAnsiTheme="majorEastAsia" w:hint="eastAsia"/>
          <w:sz w:val="24"/>
        </w:rPr>
        <w:t>销售服务代理协议，</w:t>
      </w:r>
      <w:r w:rsidR="0051237C">
        <w:rPr>
          <w:rFonts w:asciiTheme="majorEastAsia" w:eastAsiaTheme="majorEastAsia" w:hAnsiTheme="majorEastAsia" w:hint="eastAsia"/>
          <w:sz w:val="24"/>
        </w:rPr>
        <w:t>恒天明泽</w:t>
      </w:r>
      <w:r w:rsidRPr="0051237C">
        <w:rPr>
          <w:rFonts w:asciiTheme="majorEastAsia" w:eastAsiaTheme="majorEastAsia" w:hAnsiTheme="majorEastAsia" w:hint="eastAsia"/>
          <w:sz w:val="24"/>
        </w:rPr>
        <w:t>拟</w:t>
      </w:r>
      <w:r w:rsidRPr="00630158">
        <w:rPr>
          <w:rFonts w:asciiTheme="majorEastAsia" w:eastAsiaTheme="majorEastAsia" w:hAnsiTheme="majorEastAsia" w:hint="eastAsia"/>
          <w:sz w:val="24"/>
        </w:rPr>
        <w:t>自</w:t>
      </w:r>
      <w:r w:rsidR="006A625A" w:rsidRPr="00630158">
        <w:rPr>
          <w:rFonts w:asciiTheme="majorEastAsia" w:eastAsiaTheme="majorEastAsia" w:hAnsiTheme="majorEastAsia"/>
          <w:sz w:val="24"/>
        </w:rPr>
        <w:t>20</w:t>
      </w:r>
      <w:r w:rsidR="0051237C">
        <w:rPr>
          <w:rFonts w:asciiTheme="majorEastAsia" w:eastAsiaTheme="majorEastAsia" w:hAnsiTheme="majorEastAsia"/>
          <w:sz w:val="24"/>
        </w:rPr>
        <w:t>20</w:t>
      </w:r>
      <w:r w:rsidRPr="00630158">
        <w:rPr>
          <w:rFonts w:asciiTheme="majorEastAsia" w:eastAsiaTheme="majorEastAsia" w:hAnsiTheme="majorEastAsia" w:hint="eastAsia"/>
          <w:sz w:val="24"/>
        </w:rPr>
        <w:t>年</w:t>
      </w:r>
      <w:r w:rsidR="00CF00EF">
        <w:rPr>
          <w:rFonts w:asciiTheme="majorEastAsia" w:eastAsiaTheme="majorEastAsia" w:hAnsiTheme="majorEastAsia"/>
          <w:sz w:val="24"/>
        </w:rPr>
        <w:t>1</w:t>
      </w:r>
      <w:r w:rsidRPr="00630158">
        <w:rPr>
          <w:rFonts w:asciiTheme="majorEastAsia" w:eastAsiaTheme="majorEastAsia" w:hAnsiTheme="majorEastAsia" w:hint="eastAsia"/>
          <w:sz w:val="24"/>
        </w:rPr>
        <w:t>月</w:t>
      </w:r>
      <w:bookmarkStart w:id="0" w:name="_GoBack"/>
      <w:bookmarkEnd w:id="0"/>
      <w:r w:rsidR="0051237C">
        <w:rPr>
          <w:rFonts w:asciiTheme="majorEastAsia" w:eastAsiaTheme="majorEastAsia" w:hAnsiTheme="majorEastAsia"/>
          <w:sz w:val="24"/>
        </w:rPr>
        <w:t>3</w:t>
      </w:r>
      <w:r w:rsidRPr="00630158">
        <w:rPr>
          <w:rFonts w:asciiTheme="majorEastAsia" w:eastAsiaTheme="majorEastAsia" w:hAnsiTheme="majorEastAsia" w:hint="eastAsia"/>
          <w:sz w:val="24"/>
        </w:rPr>
        <w:t>日起办理本公司旗下如下表所列部分基金的销售业务，最终上线时间以代销机构为准：</w:t>
      </w:r>
    </w:p>
    <w:tbl>
      <w:tblPr>
        <w:tblW w:w="8500" w:type="dxa"/>
        <w:tblLook w:val="04A0"/>
      </w:tblPr>
      <w:tblGrid>
        <w:gridCol w:w="704"/>
        <w:gridCol w:w="1276"/>
        <w:gridCol w:w="6520"/>
      </w:tblGrid>
      <w:tr w:rsidR="00630158" w:rsidRPr="00DE73A8" w:rsidTr="006A625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25A" w:rsidRPr="00DE73A8" w:rsidRDefault="006A625A" w:rsidP="006A62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E73A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25A" w:rsidRPr="00DE73A8" w:rsidRDefault="006A625A" w:rsidP="006A62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E73A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基金代码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25A" w:rsidRPr="00DE73A8" w:rsidRDefault="006A625A" w:rsidP="006A625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E73A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基金名称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003190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创金合信消费主题股票型证券投资基金A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003191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创金合信消费主题股票型证券投资基金C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创金合信MSCI中国A股国际指数发起式证券投资基金A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创金合信MSCI中国A股国际指数发起式证券投资基金C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005968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创金合信工业周期精选股票型发起式证券投资基金A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005969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创金合信工业周期精选股票型发起式证券投资基金C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004112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创金合信国企活力混合型证券投资基金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创金合信国证1000指数发起式证券投资基金A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创金合信国证1000指数发起式证券投资基金C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创金合信国证2000指数发起式证券投资基金A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创金合信国证2000指数发起式证券投资基金C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005414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创金合信国证A股指数发起式证券投资基金A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创金合信国证A股指数发起式证券投资基金C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006076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创金合信恒利超短债债券型证券投资基金A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006077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创金合信恒利超短债债券型证券投资基金C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006874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创金合信恒兴中短债债券型证券投资基金A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006875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创金合信恒兴中短债债券型证券投资基金C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001662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创金合信沪港深研究精选灵活配置混合型证券投资基金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创金合信沪深300指数增强型发起式证券投资基金A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创金合信沪深300指数增强型发起式证券投资基金C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001909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创金合信货币市场基金A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002463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创金合信价值红利灵活配置混合型证券投资基金A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创金合信价值红利灵活配置混合型证券投资基金C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003232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创金合信金融地产精选股票型证券投资基金A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003233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创金合信金融地产精选股票型证券投资基金C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001199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创金合信聚利债券型证券投资基金A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001200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创金合信聚利债券型证券投资基金C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005495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创金合信科技成长主题股票型发起式证券投资基金A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005496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创金合信科技成长主题股票型发起式证券投资基金C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创金合信量化多因子股票型证券投资基金A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003865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创金合信量化多因子股票型证券投资基金C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003241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创金合信量化发现灵活配置混合型证券投资基金A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003242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创金合信量化发现灵活配置混合型证券投资基金C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004359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创金合信量化核心混合型证券投资基金A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004360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创金合信量化核心混合型证券投资基金C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005927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创金合信新能源汽车主题股票型发起式证券投资基金A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005928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创金合信新能源汽车主题股票型发起式证券投资基金C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006824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创金合信鑫日享短债债券型证券投资基金A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006825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创金合信鑫日享短债债券型证券投资基金C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007828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创金合信信用红利债券型证券投资基金A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007829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创金合信信用红利债券型证券投资基金C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003230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创金合信医疗保健行业股票型证券投资基金A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003231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创金合信医疗保健行业股票型证券投资基金C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005076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创金合信优选回报灵活配置混合型证券投资基金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003646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创金合信中证1000指数增强型发起式证券投资基金A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003647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创金合信中证1000指数增强型发起式证券投资基金C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创金合信中证500指数增强型发起式证券投资基金A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002316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创金合信中证500指数增强型发起式证券投资基金C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创金合信中证红利低波动指数发起式证券投资基金A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005562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创金合信中证红利低波动指数发起式证券投资基金C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创金合信转债精选债券型证券投资基金A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002102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创金合信转债精选债券型证券投资基金C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003624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创金合信资源主题精选股票型发起式证券投资基金A</w:t>
            </w:r>
          </w:p>
        </w:tc>
      </w:tr>
      <w:tr w:rsidR="0083443A" w:rsidRPr="00DE73A8" w:rsidTr="00403F23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003625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43A" w:rsidRPr="0083443A" w:rsidRDefault="0083443A" w:rsidP="0083443A">
            <w:pPr>
              <w:rPr>
                <w:rFonts w:asciiTheme="minorEastAsia" w:eastAsiaTheme="minorEastAsia" w:hAnsiTheme="minorEastAsia"/>
                <w:sz w:val="24"/>
              </w:rPr>
            </w:pPr>
            <w:r w:rsidRPr="0083443A">
              <w:rPr>
                <w:rFonts w:asciiTheme="minorEastAsia" w:eastAsiaTheme="minorEastAsia" w:hAnsiTheme="minorEastAsia" w:hint="eastAsia"/>
                <w:sz w:val="24"/>
              </w:rPr>
              <w:t>创金合信资源主题精选股票型发起式证券投资基金C</w:t>
            </w:r>
          </w:p>
        </w:tc>
      </w:tr>
    </w:tbl>
    <w:p w:rsidR="00A12076" w:rsidRDefault="00A1207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6E7B80" w:rsidRPr="00DE73A8" w:rsidRDefault="00CB49AC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E73A8">
        <w:rPr>
          <w:rFonts w:asciiTheme="minorEastAsia" w:eastAsiaTheme="minorEastAsia" w:hAnsiTheme="minorEastAsia" w:hint="eastAsia"/>
          <w:sz w:val="24"/>
        </w:rPr>
        <w:t>投资者可在</w:t>
      </w:r>
      <w:r w:rsidR="0051237C">
        <w:rPr>
          <w:rFonts w:asciiTheme="minorEastAsia" w:eastAsiaTheme="minorEastAsia" w:hAnsiTheme="minorEastAsia" w:hint="eastAsia"/>
          <w:bCs/>
          <w:sz w:val="24"/>
        </w:rPr>
        <w:t>恒天明泽</w:t>
      </w:r>
      <w:r w:rsidRPr="00DE73A8">
        <w:rPr>
          <w:rFonts w:asciiTheme="minorEastAsia" w:eastAsiaTheme="minorEastAsia" w:hAnsiTheme="minorEastAsia" w:hint="eastAsia"/>
          <w:sz w:val="24"/>
        </w:rPr>
        <w:t>办理上述基金的</w:t>
      </w:r>
      <w:r w:rsidR="006A625A" w:rsidRPr="00DE73A8">
        <w:rPr>
          <w:rFonts w:asciiTheme="minorEastAsia" w:eastAsiaTheme="minorEastAsia" w:hAnsiTheme="minorEastAsia" w:hint="eastAsia"/>
          <w:sz w:val="24"/>
        </w:rPr>
        <w:t>开户、</w:t>
      </w:r>
      <w:r w:rsidR="00A272E6" w:rsidRPr="00DE73A8">
        <w:rPr>
          <w:rFonts w:asciiTheme="minorEastAsia" w:eastAsiaTheme="minorEastAsia" w:hAnsiTheme="minorEastAsia" w:hint="eastAsia"/>
          <w:sz w:val="24"/>
        </w:rPr>
        <w:t>申购、定期定额投资、赎回、转换</w:t>
      </w:r>
      <w:r w:rsidRPr="00DE73A8">
        <w:rPr>
          <w:rFonts w:asciiTheme="minorEastAsia" w:eastAsiaTheme="minorEastAsia" w:hAnsiTheme="minorEastAsia" w:hint="eastAsia"/>
          <w:sz w:val="24"/>
        </w:rPr>
        <w:t>等业务。</w:t>
      </w:r>
    </w:p>
    <w:p w:rsidR="00551695" w:rsidRPr="00630158" w:rsidRDefault="00551695" w:rsidP="00551695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同时，</w:t>
      </w:r>
      <w:r w:rsidRPr="00630158">
        <w:rPr>
          <w:rFonts w:asciiTheme="majorEastAsia" w:eastAsiaTheme="majorEastAsia" w:hAnsiTheme="majorEastAsia"/>
          <w:sz w:val="24"/>
        </w:rPr>
        <w:t>为</w:t>
      </w:r>
      <w:r w:rsidRPr="00630158">
        <w:rPr>
          <w:rFonts w:asciiTheme="majorEastAsia" w:eastAsiaTheme="majorEastAsia" w:hAnsiTheme="majorEastAsia" w:hint="eastAsia"/>
          <w:sz w:val="24"/>
        </w:rPr>
        <w:t>更好地满足广大投资者的理财需求</w:t>
      </w:r>
      <w:r w:rsidRPr="00630158">
        <w:rPr>
          <w:rFonts w:asciiTheme="majorEastAsia" w:eastAsiaTheme="majorEastAsia" w:hAnsiTheme="majorEastAsia"/>
          <w:sz w:val="24"/>
        </w:rPr>
        <w:t>，</w:t>
      </w:r>
      <w:r w:rsidRPr="00630158">
        <w:rPr>
          <w:rFonts w:asciiTheme="majorEastAsia" w:eastAsiaTheme="majorEastAsia" w:hAnsiTheme="majorEastAsia" w:hint="eastAsia"/>
          <w:sz w:val="24"/>
        </w:rPr>
        <w:t>答谢投资者长期以来的支持与信任，向广大投资者提供更好的服务，经本公司与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协商一致，</w:t>
      </w:r>
      <w:r w:rsidRPr="00630158">
        <w:rPr>
          <w:rFonts w:asciiTheme="minorEastAsia" w:eastAsiaTheme="minorEastAsia" w:hAnsiTheme="minorEastAsia"/>
          <w:sz w:val="24"/>
        </w:rPr>
        <w:t>决定</w:t>
      </w:r>
      <w:r w:rsidRPr="00630158">
        <w:rPr>
          <w:rFonts w:asciiTheme="minorEastAsia" w:eastAsiaTheme="minorEastAsia" w:hAnsiTheme="minorEastAsia" w:hint="eastAsia"/>
          <w:sz w:val="24"/>
        </w:rPr>
        <w:t>自20</w:t>
      </w:r>
      <w:r w:rsidR="0051237C">
        <w:rPr>
          <w:rFonts w:asciiTheme="minorEastAsia" w:eastAsiaTheme="minorEastAsia" w:hAnsiTheme="minorEastAsia"/>
          <w:sz w:val="24"/>
        </w:rPr>
        <w:t>20</w:t>
      </w:r>
      <w:r w:rsidRPr="00630158">
        <w:rPr>
          <w:rFonts w:asciiTheme="minorEastAsia" w:eastAsiaTheme="minorEastAsia" w:hAnsiTheme="minorEastAsia" w:hint="eastAsia"/>
          <w:sz w:val="24"/>
        </w:rPr>
        <w:t>年</w:t>
      </w:r>
      <w:r w:rsidR="0051237C">
        <w:rPr>
          <w:rFonts w:asciiTheme="minorEastAsia" w:eastAsiaTheme="minorEastAsia" w:hAnsiTheme="minorEastAsia"/>
          <w:sz w:val="24"/>
        </w:rPr>
        <w:t>0</w:t>
      </w:r>
      <w:r w:rsidR="00CF00EF">
        <w:rPr>
          <w:rFonts w:asciiTheme="minorEastAsia" w:eastAsiaTheme="minorEastAsia" w:hAnsiTheme="minorEastAsia"/>
          <w:sz w:val="24"/>
        </w:rPr>
        <w:t>1</w:t>
      </w:r>
      <w:r w:rsidRPr="00630158">
        <w:rPr>
          <w:rFonts w:asciiTheme="minorEastAsia" w:eastAsiaTheme="minorEastAsia" w:hAnsiTheme="minorEastAsia" w:hint="eastAsia"/>
          <w:sz w:val="24"/>
        </w:rPr>
        <w:t>月</w:t>
      </w:r>
      <w:r w:rsidR="0051237C">
        <w:rPr>
          <w:rFonts w:asciiTheme="minorEastAsia" w:eastAsiaTheme="minorEastAsia" w:hAnsiTheme="minorEastAsia"/>
          <w:sz w:val="24"/>
        </w:rPr>
        <w:t>03</w:t>
      </w:r>
      <w:r w:rsidRPr="00630158">
        <w:rPr>
          <w:rFonts w:asciiTheme="minorEastAsia" w:eastAsiaTheme="minorEastAsia" w:hAnsiTheme="minorEastAsia" w:hint="eastAsia"/>
          <w:sz w:val="24"/>
        </w:rPr>
        <w:t>日起，上述</w:t>
      </w:r>
      <w:r w:rsidRPr="00630158">
        <w:rPr>
          <w:rFonts w:asciiTheme="minorEastAsia" w:eastAsiaTheme="minorEastAsia" w:hAnsiTheme="minorEastAsia"/>
          <w:sz w:val="24"/>
        </w:rPr>
        <w:t>基金</w:t>
      </w:r>
      <w:r w:rsidRPr="00630158">
        <w:rPr>
          <w:rFonts w:asciiTheme="minorEastAsia" w:eastAsiaTheme="minorEastAsia" w:hAnsiTheme="minorEastAsia" w:hint="eastAsia"/>
          <w:sz w:val="24"/>
        </w:rPr>
        <w:t>参加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费率优惠活动，具体事项如下：</w:t>
      </w:r>
    </w:p>
    <w:p w:rsidR="00551695" w:rsidRPr="00630158" w:rsidRDefault="00551695" w:rsidP="00551695">
      <w:pPr>
        <w:spacing w:line="360" w:lineRule="auto"/>
        <w:ind w:firstLine="420"/>
        <w:outlineLvl w:val="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1、活动时间</w:t>
      </w:r>
    </w:p>
    <w:p w:rsidR="00551695" w:rsidRPr="00630158" w:rsidRDefault="00551695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/>
          <w:sz w:val="24"/>
        </w:rPr>
        <w:t>费率优惠活动自</w:t>
      </w:r>
      <w:r w:rsidRPr="00630158">
        <w:rPr>
          <w:rFonts w:asciiTheme="minorEastAsia" w:eastAsiaTheme="minorEastAsia" w:hAnsiTheme="minorEastAsia" w:hint="eastAsia"/>
          <w:sz w:val="24"/>
        </w:rPr>
        <w:t>2</w:t>
      </w:r>
      <w:r w:rsidRPr="00630158">
        <w:rPr>
          <w:rFonts w:asciiTheme="minorEastAsia" w:eastAsiaTheme="minorEastAsia" w:hAnsiTheme="minorEastAsia"/>
          <w:sz w:val="24"/>
        </w:rPr>
        <w:t>0</w:t>
      </w:r>
      <w:r w:rsidR="0051237C">
        <w:rPr>
          <w:rFonts w:asciiTheme="minorEastAsia" w:eastAsiaTheme="minorEastAsia" w:hAnsiTheme="minorEastAsia"/>
          <w:sz w:val="24"/>
        </w:rPr>
        <w:t>20</w:t>
      </w:r>
      <w:r w:rsidRPr="00630158">
        <w:rPr>
          <w:rFonts w:asciiTheme="minorEastAsia" w:eastAsiaTheme="minorEastAsia" w:hAnsiTheme="minorEastAsia"/>
          <w:sz w:val="24"/>
        </w:rPr>
        <w:t>年</w:t>
      </w:r>
      <w:r w:rsidR="0051237C">
        <w:rPr>
          <w:rFonts w:asciiTheme="minorEastAsia" w:eastAsiaTheme="minorEastAsia" w:hAnsiTheme="minorEastAsia"/>
          <w:sz w:val="24"/>
        </w:rPr>
        <w:t>0</w:t>
      </w:r>
      <w:r w:rsidR="00CF00EF">
        <w:rPr>
          <w:rFonts w:asciiTheme="minorEastAsia" w:eastAsiaTheme="minorEastAsia" w:hAnsiTheme="minorEastAsia"/>
          <w:sz w:val="24"/>
        </w:rPr>
        <w:t>1</w:t>
      </w:r>
      <w:r w:rsidRPr="00630158">
        <w:rPr>
          <w:rFonts w:asciiTheme="minorEastAsia" w:eastAsiaTheme="minorEastAsia" w:hAnsiTheme="minorEastAsia" w:hint="eastAsia"/>
          <w:sz w:val="24"/>
        </w:rPr>
        <w:t>月</w:t>
      </w:r>
      <w:r w:rsidR="0051237C">
        <w:rPr>
          <w:rFonts w:asciiTheme="minorEastAsia" w:eastAsiaTheme="minorEastAsia" w:hAnsiTheme="minorEastAsia"/>
          <w:sz w:val="24"/>
        </w:rPr>
        <w:t>03</w:t>
      </w:r>
      <w:r w:rsidRPr="00630158">
        <w:rPr>
          <w:rFonts w:asciiTheme="minorEastAsia" w:eastAsiaTheme="minorEastAsia" w:hAnsiTheme="minorEastAsia" w:hint="eastAsia"/>
          <w:sz w:val="24"/>
        </w:rPr>
        <w:t>日起开展，暂不设截止日期。若有变动，以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相关公告为准。</w:t>
      </w:r>
    </w:p>
    <w:p w:rsidR="00551695" w:rsidRPr="00630158" w:rsidRDefault="00551695" w:rsidP="00551695">
      <w:pPr>
        <w:spacing w:line="360" w:lineRule="auto"/>
        <w:ind w:firstLine="420"/>
        <w:outlineLvl w:val="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2、活动内容</w:t>
      </w:r>
    </w:p>
    <w:p w:rsidR="00551695" w:rsidRPr="00630158" w:rsidRDefault="00551695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费率优惠活动期间，投资者通过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网上</w:t>
      </w:r>
      <w:r w:rsidRPr="00630158">
        <w:rPr>
          <w:rFonts w:asciiTheme="minorEastAsia" w:eastAsiaTheme="minorEastAsia" w:hAnsiTheme="minorEastAsia"/>
          <w:sz w:val="24"/>
        </w:rPr>
        <w:t>交易平台</w:t>
      </w:r>
      <w:r w:rsidRPr="00630158">
        <w:rPr>
          <w:rFonts w:asciiTheme="minorEastAsia" w:eastAsiaTheme="minorEastAsia" w:hAnsiTheme="minorEastAsia" w:hint="eastAsia"/>
          <w:sz w:val="24"/>
        </w:rPr>
        <w:t>办理</w:t>
      </w:r>
      <w:r w:rsidR="00630158" w:rsidRPr="00630158">
        <w:rPr>
          <w:rFonts w:asciiTheme="minorEastAsia" w:eastAsiaTheme="minorEastAsia" w:hAnsiTheme="minorEastAsia" w:hint="eastAsia"/>
          <w:sz w:val="24"/>
        </w:rPr>
        <w:t>上述基金</w:t>
      </w:r>
      <w:r w:rsidR="0051237C">
        <w:rPr>
          <w:rFonts w:asciiTheme="minorEastAsia" w:eastAsiaTheme="minorEastAsia" w:hAnsiTheme="minorEastAsia" w:hint="eastAsia"/>
          <w:sz w:val="24"/>
        </w:rPr>
        <w:t>申购</w:t>
      </w:r>
      <w:r w:rsidR="00C140B3">
        <w:rPr>
          <w:rFonts w:asciiTheme="minorEastAsia" w:eastAsiaTheme="minorEastAsia" w:hAnsiTheme="minorEastAsia" w:hint="eastAsia"/>
          <w:sz w:val="24"/>
        </w:rPr>
        <w:t>（含</w:t>
      </w:r>
      <w:r w:rsidR="00C140B3">
        <w:rPr>
          <w:rFonts w:asciiTheme="minorEastAsia" w:eastAsiaTheme="minorEastAsia" w:hAnsiTheme="minorEastAsia"/>
          <w:sz w:val="24"/>
        </w:rPr>
        <w:t>定期定额投资，下同</w:t>
      </w:r>
      <w:r w:rsidR="00C140B3">
        <w:rPr>
          <w:rFonts w:asciiTheme="minorEastAsia" w:eastAsiaTheme="minorEastAsia" w:hAnsiTheme="minorEastAsia" w:hint="eastAsia"/>
          <w:sz w:val="24"/>
        </w:rPr>
        <w:t>）</w:t>
      </w:r>
      <w:r w:rsidRPr="00630158">
        <w:rPr>
          <w:rFonts w:asciiTheme="minorEastAsia" w:eastAsiaTheme="minorEastAsia" w:hAnsiTheme="minorEastAsia" w:hint="eastAsia"/>
          <w:sz w:val="24"/>
        </w:rPr>
        <w:t>，享有</w:t>
      </w:r>
      <w:r w:rsidR="0051237C">
        <w:rPr>
          <w:rFonts w:asciiTheme="minorEastAsia" w:eastAsiaTheme="minorEastAsia" w:hAnsiTheme="minorEastAsia"/>
          <w:sz w:val="24"/>
        </w:rPr>
        <w:t>4</w:t>
      </w:r>
      <w:r w:rsidR="00C171BB">
        <w:rPr>
          <w:rFonts w:asciiTheme="minorEastAsia" w:eastAsiaTheme="minorEastAsia" w:hAnsiTheme="minorEastAsia" w:hint="eastAsia"/>
          <w:sz w:val="24"/>
        </w:rPr>
        <w:t>折优惠</w:t>
      </w:r>
      <w:r w:rsidRPr="00630158">
        <w:rPr>
          <w:rFonts w:asciiTheme="minorEastAsia" w:eastAsiaTheme="minorEastAsia" w:hAnsiTheme="minorEastAsia" w:hint="eastAsia"/>
          <w:sz w:val="24"/>
        </w:rPr>
        <w:t>；原申购费率适用固定费用的，则按原</w:t>
      </w:r>
      <w:r w:rsidR="00C171BB">
        <w:rPr>
          <w:rFonts w:asciiTheme="minorEastAsia" w:eastAsiaTheme="minorEastAsia" w:hAnsiTheme="minorEastAsia" w:hint="eastAsia"/>
          <w:sz w:val="24"/>
        </w:rPr>
        <w:t>费用</w:t>
      </w:r>
      <w:r w:rsidRPr="00630158">
        <w:rPr>
          <w:rFonts w:asciiTheme="minorEastAsia" w:eastAsiaTheme="minorEastAsia" w:hAnsiTheme="minorEastAsia" w:hint="eastAsia"/>
          <w:sz w:val="24"/>
        </w:rPr>
        <w:t>执行，不再享有费率折扣优惠。</w:t>
      </w:r>
    </w:p>
    <w:p w:rsidR="00551695" w:rsidRPr="00630158" w:rsidRDefault="00630158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上述基金</w:t>
      </w:r>
      <w:r w:rsidR="00551695" w:rsidRPr="00630158">
        <w:rPr>
          <w:rFonts w:asciiTheme="minorEastAsia" w:eastAsiaTheme="minorEastAsia" w:hAnsiTheme="minorEastAsia" w:hint="eastAsia"/>
          <w:sz w:val="24"/>
        </w:rPr>
        <w:t>原申购费率参见其相关法律文件及本公司发布的最新相关公告。</w:t>
      </w:r>
    </w:p>
    <w:p w:rsidR="00551695" w:rsidRPr="00630158" w:rsidRDefault="00551695" w:rsidP="00551695">
      <w:pPr>
        <w:spacing w:line="360" w:lineRule="auto"/>
        <w:ind w:firstLine="420"/>
        <w:outlineLvl w:val="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/>
          <w:sz w:val="24"/>
        </w:rPr>
        <w:lastRenderedPageBreak/>
        <w:t>3</w:t>
      </w:r>
      <w:r w:rsidRPr="00630158">
        <w:rPr>
          <w:rFonts w:asciiTheme="minorEastAsia" w:eastAsiaTheme="minorEastAsia" w:hAnsiTheme="minorEastAsia" w:hint="eastAsia"/>
          <w:sz w:val="24"/>
        </w:rPr>
        <w:t>、重要提示</w:t>
      </w:r>
    </w:p>
    <w:p w:rsidR="00551695" w:rsidRPr="00630158" w:rsidRDefault="00551695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（1）上述费率优惠活动的具体规则以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相关公告为准。投资者通过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办理上述业务的，需遵循其相关规定。</w:t>
      </w:r>
    </w:p>
    <w:p w:rsidR="00551695" w:rsidRPr="00630158" w:rsidRDefault="00551695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（2）本优惠活动仅适用于处于正常申购期的基金产品的日常申购</w:t>
      </w:r>
      <w:r w:rsidR="00380345">
        <w:rPr>
          <w:rFonts w:asciiTheme="minorEastAsia" w:eastAsiaTheme="minorEastAsia" w:hAnsiTheme="minorEastAsia" w:hint="eastAsia"/>
          <w:sz w:val="24"/>
        </w:rPr>
        <w:t>、定期定额投资业务</w:t>
      </w:r>
      <w:r w:rsidRPr="00630158">
        <w:rPr>
          <w:rFonts w:asciiTheme="minorEastAsia" w:eastAsiaTheme="minorEastAsia" w:hAnsiTheme="minorEastAsia" w:hint="eastAsia"/>
          <w:sz w:val="24"/>
        </w:rPr>
        <w:t>手续费，不包括基金赎回、基金转换业务等其他业务的基金手续费。</w:t>
      </w:r>
    </w:p>
    <w:p w:rsidR="00551695" w:rsidRPr="00630158" w:rsidRDefault="00551695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（3）费率优惠期间，业务办理的流程以</w:t>
      </w:r>
      <w:r w:rsidR="0051237C">
        <w:rPr>
          <w:rFonts w:asciiTheme="minorEastAsia" w:eastAsiaTheme="minorEastAsia" w:hAnsiTheme="minorEastAsia" w:hint="eastAsia"/>
          <w:sz w:val="24"/>
        </w:rPr>
        <w:t>恒天明泽</w:t>
      </w:r>
      <w:r w:rsidRPr="00630158">
        <w:rPr>
          <w:rFonts w:asciiTheme="minorEastAsia" w:eastAsiaTheme="minorEastAsia" w:hAnsiTheme="minorEastAsia" w:hint="eastAsia"/>
          <w:sz w:val="24"/>
        </w:rPr>
        <w:t>的规定为准。投资者欲了解基金产品的详细情况，请仔细阅读基金的基金合同、招募说明书等法律文件。</w:t>
      </w:r>
    </w:p>
    <w:p w:rsidR="00551695" w:rsidRPr="00630158" w:rsidRDefault="00551695" w:rsidP="00551695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30158">
        <w:rPr>
          <w:rFonts w:asciiTheme="minorEastAsia" w:eastAsiaTheme="minorEastAsia" w:hAnsiTheme="minorEastAsia" w:hint="eastAsia"/>
          <w:sz w:val="24"/>
        </w:rPr>
        <w:t>（4）本公告的解释权归创金合信基金管理有限公司所有。</w:t>
      </w:r>
    </w:p>
    <w:p w:rsidR="002609E2" w:rsidRPr="00630158" w:rsidRDefault="002609E2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6E7B80" w:rsidRPr="00630158" w:rsidRDefault="00CB49AC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CF00EF" w:rsidRDefault="00DE73A8" w:rsidP="00A272E6">
      <w:pPr>
        <w:spacing w:line="360" w:lineRule="auto"/>
        <w:ind w:left="468"/>
        <w:jc w:val="left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（一）</w:t>
      </w:r>
      <w:r w:rsidR="0051237C" w:rsidRPr="0051237C">
        <w:rPr>
          <w:rFonts w:asciiTheme="majorEastAsia" w:eastAsiaTheme="majorEastAsia" w:hAnsiTheme="majorEastAsia" w:hint="eastAsia"/>
          <w:sz w:val="24"/>
        </w:rPr>
        <w:t>北京恒天明泽基金销售有限公司</w:t>
      </w:r>
    </w:p>
    <w:p w:rsidR="00CF00EF" w:rsidRDefault="00CB49AC">
      <w:pPr>
        <w:spacing w:line="360" w:lineRule="auto"/>
        <w:ind w:left="468"/>
        <w:jc w:val="left"/>
        <w:rPr>
          <w:rFonts w:ascii="宋体"/>
          <w:color w:val="000000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办公地址：</w:t>
      </w:r>
      <w:r w:rsidR="0051237C">
        <w:rPr>
          <w:rFonts w:ascii="宋体" w:cs="宋体" w:hint="eastAsia"/>
          <w:kern w:val="0"/>
          <w:sz w:val="22"/>
          <w:szCs w:val="22"/>
          <w:lang w:val="zh-CN"/>
        </w:rPr>
        <w:t>北京市朝阳区东三环北路甲</w:t>
      </w:r>
      <w:r w:rsidR="0051237C">
        <w:rPr>
          <w:rFonts w:ascii="宋体" w:cs="宋体"/>
          <w:kern w:val="0"/>
          <w:sz w:val="22"/>
          <w:szCs w:val="22"/>
          <w:lang w:val="zh-CN"/>
        </w:rPr>
        <w:t>19</w:t>
      </w:r>
      <w:r w:rsidR="0051237C">
        <w:rPr>
          <w:rFonts w:ascii="宋体" w:cs="宋体" w:hint="eastAsia"/>
          <w:kern w:val="0"/>
          <w:sz w:val="22"/>
          <w:szCs w:val="22"/>
          <w:lang w:val="zh-CN"/>
        </w:rPr>
        <w:t>号</w:t>
      </w:r>
      <w:r w:rsidR="0051237C">
        <w:rPr>
          <w:rFonts w:ascii="宋体" w:cs="宋体"/>
          <w:kern w:val="0"/>
          <w:sz w:val="22"/>
          <w:szCs w:val="22"/>
          <w:lang w:val="zh-CN"/>
        </w:rPr>
        <w:t>SOHO</w:t>
      </w:r>
      <w:r w:rsidR="0051237C">
        <w:rPr>
          <w:rFonts w:ascii="宋体" w:cs="宋体" w:hint="eastAsia"/>
          <w:kern w:val="0"/>
          <w:sz w:val="22"/>
          <w:szCs w:val="22"/>
          <w:lang w:val="zh-CN"/>
        </w:rPr>
        <w:t>嘉盛中心</w:t>
      </w:r>
      <w:r w:rsidR="0051237C">
        <w:rPr>
          <w:rFonts w:ascii="宋体" w:cs="宋体"/>
          <w:kern w:val="0"/>
          <w:sz w:val="22"/>
          <w:szCs w:val="22"/>
          <w:lang w:val="zh-CN"/>
        </w:rPr>
        <w:t>30</w:t>
      </w:r>
      <w:r w:rsidR="0051237C">
        <w:rPr>
          <w:rFonts w:ascii="宋体" w:cs="宋体" w:hint="eastAsia"/>
          <w:kern w:val="0"/>
          <w:sz w:val="22"/>
          <w:szCs w:val="22"/>
          <w:lang w:val="zh-CN"/>
        </w:rPr>
        <w:t>层</w:t>
      </w:r>
      <w:r w:rsidR="0051237C">
        <w:rPr>
          <w:rFonts w:ascii="宋体" w:cs="宋体"/>
          <w:kern w:val="0"/>
          <w:sz w:val="22"/>
          <w:szCs w:val="22"/>
          <w:lang w:val="zh-CN"/>
        </w:rPr>
        <w:t>3006-3015</w:t>
      </w:r>
      <w:r w:rsidR="0051237C">
        <w:rPr>
          <w:rFonts w:ascii="宋体" w:cs="宋体" w:hint="eastAsia"/>
          <w:kern w:val="0"/>
          <w:sz w:val="22"/>
          <w:szCs w:val="22"/>
          <w:lang w:val="zh-CN"/>
        </w:rPr>
        <w:t>室</w:t>
      </w:r>
    </w:p>
    <w:p w:rsidR="006E7B80" w:rsidRPr="00630158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客服电话：</w:t>
      </w:r>
      <w:r w:rsidR="0051237C" w:rsidRPr="0051237C">
        <w:rPr>
          <w:rFonts w:asciiTheme="majorEastAsia" w:eastAsiaTheme="majorEastAsia" w:hAnsiTheme="majorEastAsia"/>
          <w:sz w:val="24"/>
        </w:rPr>
        <w:t>400-8980-618</w:t>
      </w:r>
    </w:p>
    <w:p w:rsidR="006E7B80" w:rsidRDefault="00CB49AC" w:rsidP="00CF00EF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官方网站：</w:t>
      </w:r>
      <w:r w:rsidR="0051237C" w:rsidRPr="0051237C">
        <w:t>https://www.chtfund.com/</w:t>
      </w:r>
    </w:p>
    <w:p w:rsidR="00CF00EF" w:rsidRPr="00630158" w:rsidRDefault="00CF00EF" w:rsidP="00CF00EF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</w:p>
    <w:p w:rsidR="006E7B80" w:rsidRPr="00630158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（二）创金合信基金管理有限公司</w:t>
      </w:r>
    </w:p>
    <w:p w:rsidR="006E7B80" w:rsidRPr="00630158" w:rsidRDefault="00CB49AC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 xml:space="preserve">    办公地址：深圳市福田区福华一路115号投行大厦15层</w:t>
      </w:r>
    </w:p>
    <w:p w:rsidR="006E7B80" w:rsidRPr="00630158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客服电话：400-868-0666</w:t>
      </w:r>
    </w:p>
    <w:p w:rsidR="006E7B80" w:rsidRPr="00630158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官方网站：</w:t>
      </w:r>
      <w:hyperlink r:id="rId8" w:history="1">
        <w:r w:rsidRPr="00630158"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6E7B80" w:rsidRPr="00630158" w:rsidRDefault="006E7B80">
      <w:pPr>
        <w:spacing w:line="360" w:lineRule="auto"/>
        <w:ind w:left="468"/>
        <w:jc w:val="left"/>
        <w:rPr>
          <w:rStyle w:val="a3"/>
          <w:rFonts w:ascii="宋体" w:hAnsi="宋体"/>
          <w:color w:val="auto"/>
          <w:sz w:val="24"/>
          <w:u w:val="none"/>
        </w:rPr>
      </w:pPr>
    </w:p>
    <w:p w:rsidR="006E7B80" w:rsidRPr="00630158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6E7B80" w:rsidRPr="00630158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/>
          <w:sz w:val="24"/>
        </w:rPr>
        <w:t>特此公告</w:t>
      </w:r>
      <w:r w:rsidRPr="00630158">
        <w:rPr>
          <w:rFonts w:asciiTheme="majorEastAsia" w:eastAsiaTheme="majorEastAsia" w:hAnsiTheme="majorEastAsia" w:hint="eastAsia"/>
          <w:sz w:val="24"/>
        </w:rPr>
        <w:t>。</w:t>
      </w:r>
    </w:p>
    <w:p w:rsidR="00764D7F" w:rsidRPr="00630158" w:rsidRDefault="00764D7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6E7B80" w:rsidRPr="00630158" w:rsidRDefault="00CB49AC" w:rsidP="00380345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 w:rsidRPr="00630158">
        <w:rPr>
          <w:rFonts w:asciiTheme="majorEastAsia" w:eastAsiaTheme="majorEastAsia" w:hAnsiTheme="majorEastAsia" w:hint="eastAsia"/>
          <w:sz w:val="24"/>
        </w:rPr>
        <w:t xml:space="preserve">   创金合信基金管理有限公司</w:t>
      </w:r>
    </w:p>
    <w:p w:rsidR="006E7B80" w:rsidRPr="00630158" w:rsidRDefault="006A625A" w:rsidP="00DE73A8">
      <w:pPr>
        <w:spacing w:line="360" w:lineRule="auto"/>
        <w:ind w:left="468"/>
        <w:jc w:val="right"/>
        <w:rPr>
          <w:rFonts w:eastAsiaTheme="minorEastAsia"/>
          <w:sz w:val="24"/>
        </w:rPr>
      </w:pPr>
      <w:r w:rsidRPr="00630158">
        <w:rPr>
          <w:rFonts w:asciiTheme="majorEastAsia" w:eastAsiaTheme="majorEastAsia" w:hAnsiTheme="majorEastAsia"/>
          <w:sz w:val="24"/>
        </w:rPr>
        <w:t>20</w:t>
      </w:r>
      <w:r w:rsidR="00C140B3">
        <w:rPr>
          <w:rFonts w:asciiTheme="majorEastAsia" w:eastAsiaTheme="majorEastAsia" w:hAnsiTheme="majorEastAsia"/>
          <w:sz w:val="24"/>
        </w:rPr>
        <w:t>20</w:t>
      </w:r>
      <w:r w:rsidR="00944D40" w:rsidRPr="00630158">
        <w:rPr>
          <w:rFonts w:asciiTheme="majorEastAsia" w:eastAsiaTheme="majorEastAsia" w:hAnsiTheme="majorEastAsia" w:hint="eastAsia"/>
          <w:sz w:val="24"/>
        </w:rPr>
        <w:t>年</w:t>
      </w:r>
      <w:r w:rsidR="00C140B3">
        <w:rPr>
          <w:rFonts w:asciiTheme="majorEastAsia" w:eastAsiaTheme="majorEastAsia" w:hAnsiTheme="majorEastAsia"/>
          <w:sz w:val="24"/>
        </w:rPr>
        <w:t>1</w:t>
      </w:r>
      <w:r w:rsidR="00944D40" w:rsidRPr="00630158">
        <w:rPr>
          <w:rFonts w:asciiTheme="majorEastAsia" w:eastAsiaTheme="majorEastAsia" w:hAnsiTheme="majorEastAsia" w:hint="eastAsia"/>
          <w:sz w:val="24"/>
        </w:rPr>
        <w:t>月</w:t>
      </w:r>
      <w:r w:rsidR="00C140B3">
        <w:rPr>
          <w:rFonts w:asciiTheme="majorEastAsia" w:eastAsiaTheme="majorEastAsia" w:hAnsiTheme="majorEastAsia"/>
          <w:sz w:val="24"/>
        </w:rPr>
        <w:t>2</w:t>
      </w:r>
      <w:r w:rsidR="00944D40" w:rsidRPr="00630158">
        <w:rPr>
          <w:rFonts w:asciiTheme="majorEastAsia" w:eastAsiaTheme="majorEastAsia" w:hAnsiTheme="majorEastAsia" w:hint="eastAsia"/>
          <w:sz w:val="24"/>
        </w:rPr>
        <w:t>日</w:t>
      </w:r>
    </w:p>
    <w:sectPr w:rsidR="006E7B80" w:rsidRPr="00630158" w:rsidSect="006E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B6" w:rsidRDefault="00E606B6" w:rsidP="000B39CF">
      <w:r>
        <w:separator/>
      </w:r>
    </w:p>
  </w:endnote>
  <w:endnote w:type="continuationSeparator" w:id="1">
    <w:p w:rsidR="00E606B6" w:rsidRDefault="00E606B6" w:rsidP="000B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B6" w:rsidRDefault="00E606B6" w:rsidP="000B39CF">
      <w:r>
        <w:separator/>
      </w:r>
    </w:p>
  </w:footnote>
  <w:footnote w:type="continuationSeparator" w:id="1">
    <w:p w:rsidR="00E606B6" w:rsidRDefault="00E606B6" w:rsidP="000B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1221C"/>
    <w:rsid w:val="00020A0F"/>
    <w:rsid w:val="000B39CF"/>
    <w:rsid w:val="001D744E"/>
    <w:rsid w:val="00245D34"/>
    <w:rsid w:val="002601AA"/>
    <w:rsid w:val="002609E2"/>
    <w:rsid w:val="002825AE"/>
    <w:rsid w:val="002A21D7"/>
    <w:rsid w:val="002D1834"/>
    <w:rsid w:val="003656CC"/>
    <w:rsid w:val="00380345"/>
    <w:rsid w:val="0038705E"/>
    <w:rsid w:val="00467A1F"/>
    <w:rsid w:val="004F656C"/>
    <w:rsid w:val="00501D9D"/>
    <w:rsid w:val="0051237C"/>
    <w:rsid w:val="00551695"/>
    <w:rsid w:val="005A385E"/>
    <w:rsid w:val="005D2488"/>
    <w:rsid w:val="005F7210"/>
    <w:rsid w:val="00625D29"/>
    <w:rsid w:val="00630158"/>
    <w:rsid w:val="006409CA"/>
    <w:rsid w:val="00647C4A"/>
    <w:rsid w:val="00691C82"/>
    <w:rsid w:val="006A625A"/>
    <w:rsid w:val="006E7B80"/>
    <w:rsid w:val="00700CBA"/>
    <w:rsid w:val="00701C54"/>
    <w:rsid w:val="00764D7F"/>
    <w:rsid w:val="00776730"/>
    <w:rsid w:val="007B73BC"/>
    <w:rsid w:val="007D27B0"/>
    <w:rsid w:val="0083443A"/>
    <w:rsid w:val="0093038E"/>
    <w:rsid w:val="00944D40"/>
    <w:rsid w:val="0097296B"/>
    <w:rsid w:val="00A12076"/>
    <w:rsid w:val="00A272E6"/>
    <w:rsid w:val="00AA7DBE"/>
    <w:rsid w:val="00AE3682"/>
    <w:rsid w:val="00B36392"/>
    <w:rsid w:val="00C140B3"/>
    <w:rsid w:val="00C171BB"/>
    <w:rsid w:val="00C176CE"/>
    <w:rsid w:val="00C307A5"/>
    <w:rsid w:val="00CB49AC"/>
    <w:rsid w:val="00CE1FD2"/>
    <w:rsid w:val="00CF00EF"/>
    <w:rsid w:val="00D02972"/>
    <w:rsid w:val="00D11ECF"/>
    <w:rsid w:val="00D85A99"/>
    <w:rsid w:val="00DA6FDF"/>
    <w:rsid w:val="00DB4A35"/>
    <w:rsid w:val="00DD01AC"/>
    <w:rsid w:val="00DE73A8"/>
    <w:rsid w:val="00E253FF"/>
    <w:rsid w:val="00E606B6"/>
    <w:rsid w:val="00EC40B4"/>
    <w:rsid w:val="00F44A73"/>
    <w:rsid w:val="00FA3861"/>
    <w:rsid w:val="00FC137E"/>
    <w:rsid w:val="15B43B2A"/>
    <w:rsid w:val="59E8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7B80"/>
    <w:rPr>
      <w:color w:val="0000FF"/>
      <w:u w:val="single"/>
    </w:rPr>
  </w:style>
  <w:style w:type="table" w:styleId="a4">
    <w:name w:val="Table Grid"/>
    <w:basedOn w:val="a1"/>
    <w:qFormat/>
    <w:rsid w:val="006E7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39CF"/>
    <w:rPr>
      <w:kern w:val="2"/>
      <w:sz w:val="18"/>
      <w:szCs w:val="18"/>
    </w:rPr>
  </w:style>
  <w:style w:type="paragraph" w:styleId="a6">
    <w:name w:val="footer"/>
    <w:basedOn w:val="a"/>
    <w:link w:val="Char0"/>
    <w:rsid w:val="000B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39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4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dcterms:created xsi:type="dcterms:W3CDTF">2020-01-01T16:01:00Z</dcterms:created>
  <dcterms:modified xsi:type="dcterms:W3CDTF">2020-01-01T16:01:00Z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