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79" w:rsidRDefault="005E59D9" w:rsidP="001D7A79">
      <w:pPr>
        <w:pStyle w:val="Default"/>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关于</w:t>
      </w:r>
      <w:r w:rsidR="00C375C7">
        <w:rPr>
          <w:rFonts w:asciiTheme="minorEastAsia" w:eastAsiaTheme="minorEastAsia" w:hAnsiTheme="minorEastAsia" w:hint="eastAsia"/>
          <w:b/>
          <w:sz w:val="32"/>
          <w:szCs w:val="32"/>
        </w:rPr>
        <w:t>融通中国概念债券型证券投资基金（QDII）</w:t>
      </w:r>
    </w:p>
    <w:p w:rsidR="009F5417" w:rsidRPr="00E07C7D" w:rsidRDefault="00090F0C" w:rsidP="001D7A79">
      <w:pPr>
        <w:pStyle w:val="Default"/>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变更</w:t>
      </w:r>
      <w:r w:rsidR="00355996" w:rsidRPr="00E07C7D">
        <w:rPr>
          <w:rFonts w:asciiTheme="minorEastAsia" w:eastAsiaTheme="minorEastAsia" w:hAnsiTheme="minorEastAsia" w:hint="eastAsia"/>
          <w:b/>
          <w:sz w:val="32"/>
          <w:szCs w:val="32"/>
        </w:rPr>
        <w:t>业绩比较基准</w:t>
      </w:r>
      <w:r w:rsidR="00FA5231">
        <w:rPr>
          <w:rFonts w:asciiTheme="minorEastAsia" w:eastAsiaTheme="minorEastAsia" w:hAnsiTheme="minorEastAsia" w:hint="eastAsia"/>
          <w:b/>
          <w:sz w:val="32"/>
          <w:szCs w:val="32"/>
        </w:rPr>
        <w:t>并修改基金合同</w:t>
      </w:r>
      <w:r w:rsidR="009F5417" w:rsidRPr="00E07C7D">
        <w:rPr>
          <w:rFonts w:asciiTheme="minorEastAsia" w:eastAsiaTheme="minorEastAsia" w:hAnsiTheme="minorEastAsia" w:hint="eastAsia"/>
          <w:b/>
          <w:sz w:val="32"/>
          <w:szCs w:val="32"/>
        </w:rPr>
        <w:t>的公告</w:t>
      </w:r>
    </w:p>
    <w:p w:rsidR="00E91AD1" w:rsidRPr="005169F8" w:rsidRDefault="00E91AD1" w:rsidP="00E00322">
      <w:pPr>
        <w:spacing w:line="360" w:lineRule="auto"/>
        <w:ind w:firstLineChars="200" w:firstLine="420"/>
        <w:rPr>
          <w:rFonts w:ascii="Times New Roman" w:eastAsia="宋体" w:hAnsi="Times New Roman"/>
          <w:szCs w:val="21"/>
        </w:rPr>
      </w:pPr>
      <w:r w:rsidRPr="005169F8">
        <w:rPr>
          <w:rFonts w:ascii="Times New Roman" w:eastAsia="宋体" w:hAnsi="Times New Roman" w:hint="eastAsia"/>
          <w:szCs w:val="21"/>
        </w:rPr>
        <w:t>由融通基金管理有限公司</w:t>
      </w:r>
      <w:r w:rsidRPr="005169F8">
        <w:rPr>
          <w:rFonts w:ascii="Times New Roman" w:eastAsia="宋体" w:hAnsi="Times New Roman"/>
          <w:szCs w:val="21"/>
        </w:rPr>
        <w:t>(</w:t>
      </w:r>
      <w:r w:rsidRPr="005169F8">
        <w:rPr>
          <w:rFonts w:ascii="Times New Roman" w:eastAsia="宋体" w:hAnsi="Times New Roman" w:hint="eastAsia"/>
          <w:szCs w:val="21"/>
        </w:rPr>
        <w:t>以下简称</w:t>
      </w:r>
      <w:r w:rsidRPr="005169F8">
        <w:rPr>
          <w:rFonts w:ascii="Times New Roman" w:eastAsia="宋体" w:hAnsi="Times New Roman"/>
          <w:szCs w:val="21"/>
        </w:rPr>
        <w:t>“</w:t>
      </w:r>
      <w:r w:rsidRPr="005169F8">
        <w:rPr>
          <w:rFonts w:ascii="Times New Roman" w:eastAsia="宋体" w:hAnsi="Times New Roman" w:hint="eastAsia"/>
          <w:szCs w:val="21"/>
        </w:rPr>
        <w:t>本公司</w:t>
      </w:r>
      <w:r w:rsidRPr="005169F8">
        <w:rPr>
          <w:rFonts w:ascii="Times New Roman" w:eastAsia="宋体" w:hAnsi="Times New Roman"/>
          <w:szCs w:val="21"/>
        </w:rPr>
        <w:t>”)</w:t>
      </w:r>
      <w:r w:rsidRPr="005169F8">
        <w:rPr>
          <w:rFonts w:ascii="Times New Roman" w:eastAsia="宋体" w:hAnsi="Times New Roman" w:hint="eastAsia"/>
          <w:szCs w:val="21"/>
        </w:rPr>
        <w:t>担任</w:t>
      </w:r>
      <w:r w:rsidR="00083CA5" w:rsidRPr="005169F8">
        <w:rPr>
          <w:rFonts w:ascii="Times New Roman" w:eastAsia="宋体" w:hAnsi="Times New Roman" w:hint="eastAsia"/>
          <w:szCs w:val="21"/>
        </w:rPr>
        <w:t>基金</w:t>
      </w:r>
      <w:r w:rsidRPr="005169F8">
        <w:rPr>
          <w:rFonts w:ascii="Times New Roman" w:eastAsia="宋体" w:hAnsi="Times New Roman" w:hint="eastAsia"/>
          <w:szCs w:val="21"/>
        </w:rPr>
        <w:t>管理人，</w:t>
      </w:r>
      <w:r w:rsidR="00C375C7" w:rsidRPr="005169F8">
        <w:rPr>
          <w:rFonts w:ascii="Times New Roman" w:eastAsia="宋体" w:hAnsi="Times New Roman" w:hint="eastAsia"/>
          <w:szCs w:val="21"/>
        </w:rPr>
        <w:t>中国建设银行股份有限公司</w:t>
      </w:r>
      <w:r w:rsidRPr="005169F8">
        <w:rPr>
          <w:rFonts w:ascii="Times New Roman" w:eastAsia="宋体" w:hAnsi="Times New Roman" w:hint="eastAsia"/>
          <w:szCs w:val="21"/>
        </w:rPr>
        <w:t>担任基金托管人的</w:t>
      </w:r>
      <w:r w:rsidR="00C375C7" w:rsidRPr="005169F8">
        <w:rPr>
          <w:rFonts w:ascii="Times New Roman" w:eastAsia="宋体" w:hAnsi="Times New Roman" w:hint="eastAsia"/>
          <w:szCs w:val="21"/>
        </w:rPr>
        <w:t>融通中国概念债券型证券投资基金（</w:t>
      </w:r>
      <w:r w:rsidR="00C375C7" w:rsidRPr="005169F8">
        <w:rPr>
          <w:rFonts w:ascii="Times New Roman" w:eastAsia="宋体" w:hAnsi="Times New Roman"/>
          <w:szCs w:val="21"/>
        </w:rPr>
        <w:t>QDII</w:t>
      </w:r>
      <w:r w:rsidR="00C375C7" w:rsidRPr="005169F8">
        <w:rPr>
          <w:rFonts w:ascii="Times New Roman" w:eastAsia="宋体" w:hAnsi="Times New Roman" w:hint="eastAsia"/>
          <w:szCs w:val="21"/>
        </w:rPr>
        <w:t>）</w:t>
      </w:r>
      <w:r w:rsidRPr="005169F8">
        <w:rPr>
          <w:rFonts w:ascii="Times New Roman" w:eastAsia="宋体" w:hAnsi="Times New Roman" w:hint="eastAsia"/>
          <w:szCs w:val="21"/>
        </w:rPr>
        <w:t>（以下简称“本基金”）成立于</w:t>
      </w:r>
      <w:r w:rsidR="00C375C7" w:rsidRPr="005169F8">
        <w:rPr>
          <w:rFonts w:ascii="Times New Roman" w:eastAsia="宋体" w:hAnsi="Times New Roman"/>
          <w:szCs w:val="21"/>
        </w:rPr>
        <w:t>2017</w:t>
      </w:r>
      <w:r w:rsidRPr="005169F8">
        <w:rPr>
          <w:rFonts w:ascii="Times New Roman" w:eastAsia="宋体" w:hAnsi="Times New Roman" w:hint="eastAsia"/>
          <w:szCs w:val="21"/>
        </w:rPr>
        <w:t>年</w:t>
      </w:r>
      <w:r w:rsidR="00C375C7" w:rsidRPr="005169F8">
        <w:rPr>
          <w:rFonts w:ascii="Times New Roman" w:eastAsia="宋体" w:hAnsi="Times New Roman"/>
          <w:szCs w:val="21"/>
        </w:rPr>
        <w:t>11</w:t>
      </w:r>
      <w:r w:rsidRPr="005169F8">
        <w:rPr>
          <w:rFonts w:ascii="Times New Roman" w:eastAsia="宋体" w:hAnsi="Times New Roman" w:hint="eastAsia"/>
          <w:szCs w:val="21"/>
        </w:rPr>
        <w:t>月</w:t>
      </w:r>
      <w:r w:rsidR="00C375C7" w:rsidRPr="005169F8">
        <w:rPr>
          <w:rFonts w:ascii="Times New Roman" w:eastAsia="宋体" w:hAnsi="Times New Roman"/>
          <w:szCs w:val="21"/>
        </w:rPr>
        <w:t>27</w:t>
      </w:r>
      <w:r w:rsidRPr="005169F8">
        <w:rPr>
          <w:rFonts w:ascii="Times New Roman" w:eastAsia="宋体" w:hAnsi="Times New Roman" w:hint="eastAsia"/>
          <w:szCs w:val="21"/>
        </w:rPr>
        <w:t>日，</w:t>
      </w:r>
      <w:r w:rsidR="002271A9" w:rsidRPr="005169F8">
        <w:rPr>
          <w:rFonts w:ascii="Times New Roman" w:eastAsia="宋体" w:hAnsi="Times New Roman" w:hint="eastAsia"/>
          <w:szCs w:val="21"/>
        </w:rPr>
        <w:t>原</w:t>
      </w:r>
      <w:r w:rsidRPr="005169F8">
        <w:rPr>
          <w:rFonts w:ascii="Times New Roman" w:eastAsia="宋体" w:hAnsi="Times New Roman" w:hint="eastAsia"/>
          <w:szCs w:val="21"/>
        </w:rPr>
        <w:t>业绩比较基准为</w:t>
      </w:r>
      <w:r w:rsidR="002271A9" w:rsidRPr="005169F8">
        <w:rPr>
          <w:rFonts w:ascii="Times New Roman" w:eastAsia="宋体" w:hAnsi="Times New Roman" w:hint="eastAsia"/>
          <w:szCs w:val="21"/>
        </w:rPr>
        <w:t>“花旗中国美元债券指数（</w:t>
      </w:r>
      <w:r w:rsidR="002271A9" w:rsidRPr="005169F8">
        <w:rPr>
          <w:rFonts w:ascii="Times New Roman" w:eastAsia="宋体" w:hAnsi="Times New Roman"/>
          <w:szCs w:val="21"/>
        </w:rPr>
        <w:t>Citi Asian Broad Bond Index (ABBI) China Issuers Index in LCL terms</w:t>
      </w:r>
      <w:r w:rsidR="002271A9" w:rsidRPr="005169F8">
        <w:rPr>
          <w:rFonts w:ascii="Times New Roman" w:eastAsia="宋体" w:hAnsi="Times New Roman" w:hint="eastAsia"/>
          <w:szCs w:val="21"/>
        </w:rPr>
        <w:t>）收益率”，并于</w:t>
      </w:r>
      <w:r w:rsidR="002271A9" w:rsidRPr="005169F8">
        <w:rPr>
          <w:rFonts w:ascii="Times New Roman" w:eastAsia="宋体" w:hAnsi="Times New Roman"/>
          <w:szCs w:val="21"/>
        </w:rPr>
        <w:t>2018</w:t>
      </w:r>
      <w:r w:rsidR="002271A9" w:rsidRPr="005169F8">
        <w:rPr>
          <w:rFonts w:ascii="Times New Roman" w:eastAsia="宋体" w:hAnsi="Times New Roman" w:hint="eastAsia"/>
          <w:szCs w:val="21"/>
        </w:rPr>
        <w:t>年</w:t>
      </w:r>
      <w:r w:rsidR="002271A9" w:rsidRPr="005169F8">
        <w:rPr>
          <w:rFonts w:ascii="Times New Roman" w:eastAsia="宋体" w:hAnsi="Times New Roman"/>
          <w:szCs w:val="21"/>
        </w:rPr>
        <w:t>7</w:t>
      </w:r>
      <w:r w:rsidR="002271A9" w:rsidRPr="005169F8">
        <w:rPr>
          <w:rFonts w:ascii="Times New Roman" w:eastAsia="宋体" w:hAnsi="Times New Roman" w:hint="eastAsia"/>
          <w:szCs w:val="21"/>
        </w:rPr>
        <w:t>月</w:t>
      </w:r>
      <w:r w:rsidR="002271A9" w:rsidRPr="005169F8">
        <w:rPr>
          <w:rFonts w:ascii="Times New Roman" w:eastAsia="宋体" w:hAnsi="Times New Roman"/>
          <w:szCs w:val="21"/>
        </w:rPr>
        <w:t>18</w:t>
      </w:r>
      <w:r w:rsidR="002271A9" w:rsidRPr="005169F8">
        <w:rPr>
          <w:rFonts w:ascii="Times New Roman" w:eastAsia="宋体" w:hAnsi="Times New Roman" w:hint="eastAsia"/>
          <w:szCs w:val="21"/>
        </w:rPr>
        <w:t>日更名为</w:t>
      </w:r>
      <w:r w:rsidRPr="005169F8">
        <w:rPr>
          <w:rFonts w:ascii="Times New Roman" w:eastAsia="宋体" w:hAnsi="Times New Roman"/>
          <w:szCs w:val="21"/>
        </w:rPr>
        <w:t>“</w:t>
      </w:r>
      <w:r w:rsidR="00C33B37" w:rsidRPr="005169F8">
        <w:rPr>
          <w:rFonts w:ascii="Times New Roman" w:eastAsia="宋体" w:hAnsi="Times New Roman" w:hint="eastAsia"/>
          <w:szCs w:val="21"/>
        </w:rPr>
        <w:t>富时中国美元债券指数（</w:t>
      </w:r>
      <w:r w:rsidR="00C33B37" w:rsidRPr="005169F8">
        <w:rPr>
          <w:rFonts w:ascii="Times New Roman" w:eastAsia="宋体" w:hAnsi="Times New Roman"/>
          <w:szCs w:val="21"/>
        </w:rPr>
        <w:t>FTSE Asian Broad Bond Index (ABBI) China Issuers Index in LCL terms</w:t>
      </w:r>
      <w:r w:rsidR="00C33B37" w:rsidRPr="005169F8">
        <w:rPr>
          <w:rFonts w:ascii="Times New Roman" w:eastAsia="宋体" w:hAnsi="Times New Roman" w:hint="eastAsia"/>
          <w:szCs w:val="21"/>
        </w:rPr>
        <w:t>）</w:t>
      </w:r>
      <w:r w:rsidR="0080510A" w:rsidRPr="005169F8">
        <w:rPr>
          <w:rFonts w:ascii="Times New Roman" w:eastAsia="宋体" w:hAnsi="Times New Roman" w:hint="eastAsia"/>
          <w:szCs w:val="21"/>
        </w:rPr>
        <w:t>收益率</w:t>
      </w:r>
      <w:r w:rsidRPr="005169F8">
        <w:rPr>
          <w:rFonts w:ascii="Times New Roman" w:eastAsia="宋体" w:hAnsi="Times New Roman"/>
          <w:szCs w:val="21"/>
        </w:rPr>
        <w:t>”</w:t>
      </w:r>
      <w:bookmarkStart w:id="0" w:name="_GoBack"/>
      <w:bookmarkEnd w:id="0"/>
      <w:r w:rsidRPr="005169F8">
        <w:rPr>
          <w:rFonts w:ascii="Times New Roman" w:eastAsia="宋体" w:hAnsi="Times New Roman" w:hint="eastAsia"/>
          <w:szCs w:val="21"/>
        </w:rPr>
        <w:t>。</w:t>
      </w:r>
    </w:p>
    <w:p w:rsidR="009F5417" w:rsidRPr="005169F8" w:rsidRDefault="00C33B37" w:rsidP="006C0116">
      <w:pPr>
        <w:spacing w:line="360" w:lineRule="auto"/>
        <w:ind w:firstLineChars="200" w:firstLine="420"/>
        <w:rPr>
          <w:rFonts w:ascii="Times New Roman" w:eastAsia="宋体" w:hAnsi="Times New Roman"/>
          <w:szCs w:val="21"/>
        </w:rPr>
      </w:pPr>
      <w:r w:rsidRPr="005169F8">
        <w:rPr>
          <w:rFonts w:ascii="Times New Roman" w:eastAsia="宋体" w:hAnsi="Times New Roman" w:hint="eastAsia"/>
          <w:szCs w:val="21"/>
        </w:rPr>
        <w:t>由于证券市场有其他代表性更强、更适合投资的指数推出，据此本公司经与基金托管人协商一致</w:t>
      </w:r>
      <w:r w:rsidR="00AB5A7A" w:rsidRPr="005169F8">
        <w:rPr>
          <w:rFonts w:ascii="Times New Roman" w:eastAsia="宋体" w:hAnsi="Times New Roman" w:hint="eastAsia"/>
          <w:szCs w:val="21"/>
        </w:rPr>
        <w:t>并报中国证监会备案</w:t>
      </w:r>
      <w:r w:rsidRPr="005169F8">
        <w:rPr>
          <w:rFonts w:ascii="Times New Roman" w:eastAsia="宋体" w:hAnsi="Times New Roman" w:hint="eastAsia"/>
          <w:szCs w:val="21"/>
        </w:rPr>
        <w:t>，决定自</w:t>
      </w:r>
      <w:r w:rsidRPr="005169F8">
        <w:rPr>
          <w:rFonts w:ascii="Times New Roman" w:eastAsia="宋体" w:hAnsi="Times New Roman"/>
          <w:szCs w:val="21"/>
        </w:rPr>
        <w:t>2019</w:t>
      </w:r>
      <w:r w:rsidRPr="005169F8">
        <w:rPr>
          <w:rFonts w:ascii="Times New Roman" w:eastAsia="宋体" w:hAnsi="Times New Roman" w:hint="eastAsia"/>
          <w:szCs w:val="21"/>
        </w:rPr>
        <w:t>年</w:t>
      </w:r>
      <w:r w:rsidRPr="005169F8">
        <w:rPr>
          <w:rFonts w:ascii="Times New Roman" w:eastAsia="宋体" w:hAnsi="Times New Roman"/>
          <w:szCs w:val="21"/>
        </w:rPr>
        <w:t>10</w:t>
      </w:r>
      <w:r w:rsidRPr="005169F8">
        <w:rPr>
          <w:rFonts w:ascii="Times New Roman" w:eastAsia="宋体" w:hAnsi="Times New Roman" w:hint="eastAsia"/>
          <w:szCs w:val="21"/>
        </w:rPr>
        <w:t>月</w:t>
      </w:r>
      <w:r w:rsidRPr="005169F8">
        <w:rPr>
          <w:rFonts w:ascii="Times New Roman" w:eastAsia="宋体" w:hAnsi="Times New Roman"/>
          <w:szCs w:val="21"/>
        </w:rPr>
        <w:t>1</w:t>
      </w:r>
      <w:r w:rsidRPr="005169F8">
        <w:rPr>
          <w:rFonts w:ascii="Times New Roman" w:eastAsia="宋体" w:hAnsi="Times New Roman" w:hint="eastAsia"/>
          <w:szCs w:val="21"/>
        </w:rPr>
        <w:t>日起，变更</w:t>
      </w:r>
      <w:r w:rsidR="00E32837" w:rsidRPr="005169F8">
        <w:rPr>
          <w:rFonts w:ascii="Times New Roman" w:eastAsia="宋体" w:hAnsi="Times New Roman" w:hint="eastAsia"/>
          <w:szCs w:val="21"/>
        </w:rPr>
        <w:t>本基金</w:t>
      </w:r>
      <w:r w:rsidRPr="005169F8">
        <w:rPr>
          <w:rFonts w:ascii="Times New Roman" w:eastAsia="宋体" w:hAnsi="Times New Roman" w:hint="eastAsia"/>
          <w:szCs w:val="21"/>
        </w:rPr>
        <w:t>的业绩比较基准为“</w:t>
      </w:r>
      <w:r w:rsidR="00EE7A5B" w:rsidRPr="005169F8">
        <w:rPr>
          <w:rFonts w:ascii="Times New Roman" w:eastAsia="宋体" w:hAnsi="Times New Roman" w:hint="eastAsia"/>
          <w:szCs w:val="21"/>
        </w:rPr>
        <w:t>彭博巴克莱中资美元债指数（</w:t>
      </w:r>
      <w:r w:rsidR="00EE7A5B" w:rsidRPr="005169F8">
        <w:rPr>
          <w:rFonts w:ascii="Times New Roman" w:eastAsia="宋体" w:hAnsi="Times New Roman"/>
          <w:szCs w:val="21"/>
        </w:rPr>
        <w:t>Bloomberg Barclays Asia Ex-Japan USD Credit China</w:t>
      </w:r>
      <w:r w:rsidR="00EE7A5B" w:rsidRPr="005169F8">
        <w:rPr>
          <w:rFonts w:ascii="Times New Roman" w:eastAsia="宋体" w:hAnsi="Times New Roman" w:hint="eastAsia"/>
          <w:szCs w:val="21"/>
        </w:rPr>
        <w:t>）收益率</w:t>
      </w:r>
      <w:r w:rsidRPr="005169F8">
        <w:rPr>
          <w:rFonts w:ascii="Times New Roman" w:eastAsia="宋体" w:hAnsi="Times New Roman" w:hint="eastAsia"/>
          <w:szCs w:val="21"/>
        </w:rPr>
        <w:t>”</w:t>
      </w:r>
      <w:r w:rsidR="00EE7A5B" w:rsidRPr="005169F8">
        <w:rPr>
          <w:rFonts w:ascii="Times New Roman" w:eastAsia="宋体" w:hAnsi="Times New Roman" w:hint="eastAsia"/>
          <w:szCs w:val="21"/>
        </w:rPr>
        <w:t>。</w:t>
      </w:r>
    </w:p>
    <w:p w:rsidR="00D86F3C" w:rsidRPr="005169F8" w:rsidRDefault="00862DFC" w:rsidP="0020746E">
      <w:pPr>
        <w:pStyle w:val="Default"/>
        <w:spacing w:line="360" w:lineRule="auto"/>
        <w:ind w:firstLineChars="200" w:firstLine="420"/>
        <w:jc w:val="both"/>
        <w:rPr>
          <w:rFonts w:ascii="Times New Roman" w:hAnsi="Times New Roman" w:cstheme="minorBidi"/>
          <w:color w:val="auto"/>
          <w:kern w:val="2"/>
          <w:sz w:val="21"/>
          <w:szCs w:val="21"/>
        </w:rPr>
      </w:pPr>
      <w:r w:rsidRPr="005169F8">
        <w:rPr>
          <w:rFonts w:ascii="Times New Roman" w:hAnsi="Times New Roman" w:cstheme="minorBidi" w:hint="eastAsia"/>
          <w:color w:val="auto"/>
          <w:kern w:val="2"/>
          <w:sz w:val="21"/>
          <w:szCs w:val="21"/>
        </w:rPr>
        <w:t>本</w:t>
      </w:r>
      <w:r w:rsidR="00D86F3C" w:rsidRPr="005169F8">
        <w:rPr>
          <w:rFonts w:ascii="Times New Roman" w:hAnsi="Times New Roman" w:cstheme="minorBidi" w:hint="eastAsia"/>
          <w:color w:val="auto"/>
          <w:kern w:val="2"/>
          <w:sz w:val="21"/>
          <w:szCs w:val="21"/>
        </w:rPr>
        <w:t>基金业绩比较基准</w:t>
      </w:r>
      <w:r w:rsidR="00185506" w:rsidRPr="005169F8">
        <w:rPr>
          <w:rFonts w:ascii="Times New Roman" w:hAnsi="Times New Roman" w:cstheme="minorBidi" w:hint="eastAsia"/>
          <w:color w:val="auto"/>
          <w:kern w:val="2"/>
          <w:sz w:val="21"/>
          <w:szCs w:val="21"/>
        </w:rPr>
        <w:t>的</w:t>
      </w:r>
      <w:r w:rsidR="00C33B37" w:rsidRPr="005169F8">
        <w:rPr>
          <w:rFonts w:ascii="Times New Roman" w:hAnsi="Times New Roman" w:cstheme="minorBidi" w:hint="eastAsia"/>
          <w:color w:val="auto"/>
          <w:kern w:val="2"/>
          <w:sz w:val="21"/>
          <w:szCs w:val="21"/>
        </w:rPr>
        <w:t>变更</w:t>
      </w:r>
      <w:r w:rsidR="00D86F3C" w:rsidRPr="005169F8">
        <w:rPr>
          <w:rFonts w:ascii="Times New Roman" w:hAnsi="Times New Roman" w:cstheme="minorBidi" w:hint="eastAsia"/>
          <w:color w:val="auto"/>
          <w:kern w:val="2"/>
          <w:sz w:val="21"/>
          <w:szCs w:val="21"/>
        </w:rPr>
        <w:t>对基金份额持有人的利益无实质性不利影响，不需召开基金份额持有人大会。</w:t>
      </w:r>
      <w:r w:rsidR="00C33B37" w:rsidRPr="005169F8">
        <w:rPr>
          <w:rFonts w:ascii="Times New Roman" w:hAnsi="Times New Roman" w:cstheme="minorBidi" w:hint="eastAsia"/>
          <w:color w:val="auto"/>
          <w:kern w:val="2"/>
          <w:sz w:val="21"/>
          <w:szCs w:val="21"/>
        </w:rPr>
        <w:t>变更</w:t>
      </w:r>
      <w:r w:rsidR="00D86F3C" w:rsidRPr="005169F8">
        <w:rPr>
          <w:rFonts w:ascii="Times New Roman" w:hAnsi="Times New Roman" w:cstheme="minorBidi" w:hint="eastAsia"/>
          <w:color w:val="auto"/>
          <w:kern w:val="2"/>
          <w:sz w:val="21"/>
          <w:szCs w:val="21"/>
        </w:rPr>
        <w:t>修订事项已报中国证监会备案，符合相关法律法规及基金合同的规定</w:t>
      </w:r>
      <w:r w:rsidR="001523C3" w:rsidRPr="005169F8">
        <w:rPr>
          <w:rFonts w:ascii="Times New Roman" w:hAnsi="Times New Roman" w:cstheme="minorBidi" w:hint="eastAsia"/>
          <w:color w:val="auto"/>
          <w:kern w:val="2"/>
          <w:sz w:val="21"/>
          <w:szCs w:val="21"/>
        </w:rPr>
        <w:t>，变更内容自</w:t>
      </w:r>
      <w:r w:rsidR="00C33B37" w:rsidRPr="005169F8">
        <w:rPr>
          <w:rFonts w:ascii="Times New Roman" w:hAnsi="Times New Roman" w:cstheme="minorBidi"/>
          <w:color w:val="auto"/>
          <w:kern w:val="2"/>
          <w:sz w:val="21"/>
          <w:szCs w:val="21"/>
        </w:rPr>
        <w:t>2019</w:t>
      </w:r>
      <w:r w:rsidR="001523C3" w:rsidRPr="005169F8">
        <w:rPr>
          <w:rFonts w:ascii="Times New Roman" w:hAnsi="Times New Roman" w:cstheme="minorBidi" w:hint="eastAsia"/>
          <w:color w:val="auto"/>
          <w:kern w:val="2"/>
          <w:sz w:val="21"/>
          <w:szCs w:val="21"/>
        </w:rPr>
        <w:t>年</w:t>
      </w:r>
      <w:r w:rsidR="00C33B37" w:rsidRPr="005169F8">
        <w:rPr>
          <w:rFonts w:ascii="Times New Roman" w:hAnsi="Times New Roman" w:cstheme="minorBidi"/>
          <w:color w:val="auto"/>
          <w:kern w:val="2"/>
          <w:sz w:val="21"/>
          <w:szCs w:val="21"/>
        </w:rPr>
        <w:t>10</w:t>
      </w:r>
      <w:r w:rsidR="001523C3" w:rsidRPr="005169F8">
        <w:rPr>
          <w:rFonts w:ascii="Times New Roman" w:hAnsi="Times New Roman" w:cstheme="minorBidi" w:hint="eastAsia"/>
          <w:color w:val="auto"/>
          <w:kern w:val="2"/>
          <w:sz w:val="21"/>
          <w:szCs w:val="21"/>
        </w:rPr>
        <w:t>月</w:t>
      </w:r>
      <w:r w:rsidR="00C33B37" w:rsidRPr="005169F8">
        <w:rPr>
          <w:rFonts w:ascii="Times New Roman" w:hAnsi="Times New Roman" w:cstheme="minorBidi"/>
          <w:color w:val="auto"/>
          <w:kern w:val="2"/>
          <w:sz w:val="21"/>
          <w:szCs w:val="21"/>
        </w:rPr>
        <w:t>1</w:t>
      </w:r>
      <w:r w:rsidR="001523C3" w:rsidRPr="005169F8">
        <w:rPr>
          <w:rFonts w:ascii="Times New Roman" w:hAnsi="Times New Roman" w:cstheme="minorBidi" w:hint="eastAsia"/>
          <w:color w:val="auto"/>
          <w:kern w:val="2"/>
          <w:sz w:val="21"/>
          <w:szCs w:val="21"/>
        </w:rPr>
        <w:t>日起生效</w:t>
      </w:r>
      <w:r w:rsidR="00D86F3C" w:rsidRPr="005169F8">
        <w:rPr>
          <w:rFonts w:ascii="Times New Roman" w:hAnsi="Times New Roman" w:cstheme="minorBidi" w:hint="eastAsia"/>
          <w:color w:val="auto"/>
          <w:kern w:val="2"/>
          <w:sz w:val="21"/>
          <w:szCs w:val="21"/>
        </w:rPr>
        <w:t>。</w:t>
      </w:r>
    </w:p>
    <w:p w:rsidR="00C33B37" w:rsidRPr="005169F8" w:rsidRDefault="00C33B37" w:rsidP="00C33B37">
      <w:pPr>
        <w:pStyle w:val="Default"/>
        <w:spacing w:line="360" w:lineRule="auto"/>
        <w:ind w:firstLineChars="200" w:firstLine="420"/>
        <w:jc w:val="both"/>
        <w:rPr>
          <w:rFonts w:ascii="Times New Roman" w:hAnsi="Times New Roman" w:cstheme="minorBidi"/>
          <w:color w:val="auto"/>
          <w:kern w:val="2"/>
          <w:sz w:val="21"/>
          <w:szCs w:val="21"/>
        </w:rPr>
      </w:pPr>
      <w:r w:rsidRPr="005169F8">
        <w:rPr>
          <w:rFonts w:ascii="Times New Roman" w:hAnsi="Times New Roman" w:cstheme="minorBidi" w:hint="eastAsia"/>
          <w:color w:val="auto"/>
          <w:kern w:val="2"/>
          <w:sz w:val="21"/>
          <w:szCs w:val="21"/>
        </w:rPr>
        <w:t>基于上述业绩比较基准的变更，本公司将对基金合同中涉及业绩比较基准的相关内容进行修订</w:t>
      </w:r>
      <w:r w:rsidR="00522AE4" w:rsidRPr="005169F8">
        <w:rPr>
          <w:rFonts w:ascii="Times New Roman" w:hAnsi="Times New Roman" w:cstheme="minorBidi" w:hint="eastAsia"/>
          <w:color w:val="auto"/>
          <w:kern w:val="2"/>
          <w:sz w:val="21"/>
          <w:szCs w:val="21"/>
        </w:rPr>
        <w:t>，并</w:t>
      </w:r>
      <w:r w:rsidRPr="005169F8">
        <w:rPr>
          <w:rFonts w:ascii="Times New Roman" w:hAnsi="Times New Roman" w:cstheme="minorBidi" w:hint="eastAsia"/>
          <w:color w:val="auto"/>
          <w:kern w:val="2"/>
          <w:sz w:val="21"/>
          <w:szCs w:val="21"/>
        </w:rPr>
        <w:t>在更新招募说明书</w:t>
      </w:r>
      <w:r w:rsidR="00522AE4" w:rsidRPr="005169F8">
        <w:rPr>
          <w:rFonts w:ascii="Times New Roman" w:hAnsi="Times New Roman" w:cstheme="minorBidi" w:hint="eastAsia"/>
          <w:color w:val="auto"/>
          <w:kern w:val="2"/>
          <w:sz w:val="21"/>
          <w:szCs w:val="21"/>
        </w:rPr>
        <w:t>中对</w:t>
      </w:r>
      <w:r w:rsidRPr="005169F8">
        <w:rPr>
          <w:rFonts w:ascii="Times New Roman" w:hAnsi="Times New Roman" w:cstheme="minorBidi" w:hint="eastAsia"/>
          <w:color w:val="auto"/>
          <w:kern w:val="2"/>
          <w:sz w:val="21"/>
          <w:szCs w:val="21"/>
        </w:rPr>
        <w:t>相应内容</w:t>
      </w:r>
      <w:r w:rsidR="00522AE4" w:rsidRPr="005169F8">
        <w:rPr>
          <w:rFonts w:ascii="Times New Roman" w:hAnsi="Times New Roman" w:cstheme="minorBidi" w:hint="eastAsia"/>
          <w:color w:val="auto"/>
          <w:kern w:val="2"/>
          <w:sz w:val="21"/>
          <w:szCs w:val="21"/>
        </w:rPr>
        <w:t>进行</w:t>
      </w:r>
      <w:r w:rsidRPr="005169F8">
        <w:rPr>
          <w:rFonts w:ascii="Times New Roman" w:hAnsi="Times New Roman" w:cstheme="minorBidi" w:hint="eastAsia"/>
          <w:color w:val="auto"/>
          <w:kern w:val="2"/>
          <w:sz w:val="21"/>
          <w:szCs w:val="21"/>
        </w:rPr>
        <w:t>更新。</w:t>
      </w:r>
    </w:p>
    <w:p w:rsidR="00C33B37" w:rsidRPr="005169F8" w:rsidRDefault="00C33B37" w:rsidP="00C33B37">
      <w:pPr>
        <w:pStyle w:val="Default"/>
        <w:spacing w:line="360" w:lineRule="auto"/>
        <w:ind w:firstLineChars="200" w:firstLine="420"/>
        <w:jc w:val="both"/>
        <w:rPr>
          <w:rFonts w:ascii="Times New Roman" w:hAnsi="Times New Roman" w:cstheme="minorBidi"/>
          <w:color w:val="auto"/>
          <w:kern w:val="2"/>
          <w:sz w:val="21"/>
          <w:szCs w:val="21"/>
        </w:rPr>
      </w:pPr>
      <w:r w:rsidRPr="005169F8">
        <w:rPr>
          <w:rFonts w:ascii="Times New Roman" w:hAnsi="Times New Roman" w:cstheme="minorBidi" w:hint="eastAsia"/>
          <w:color w:val="auto"/>
          <w:kern w:val="2"/>
          <w:sz w:val="21"/>
          <w:szCs w:val="21"/>
        </w:rPr>
        <w:t>基金合同的具体修改内容如下：</w:t>
      </w:r>
    </w:p>
    <w:p w:rsidR="00C33B37" w:rsidRPr="005169F8" w:rsidRDefault="00C33B37" w:rsidP="00C33B37">
      <w:pPr>
        <w:pStyle w:val="Default"/>
        <w:spacing w:line="360" w:lineRule="auto"/>
        <w:ind w:firstLineChars="200" w:firstLine="420"/>
        <w:jc w:val="both"/>
        <w:rPr>
          <w:rFonts w:ascii="Times New Roman" w:hAnsi="Times New Roman" w:cstheme="minorBidi"/>
          <w:color w:val="auto"/>
          <w:kern w:val="2"/>
          <w:sz w:val="21"/>
          <w:szCs w:val="21"/>
        </w:rPr>
      </w:pPr>
      <w:r w:rsidRPr="005169F8">
        <w:rPr>
          <w:rFonts w:ascii="Times New Roman" w:hAnsi="Times New Roman" w:cstheme="minorBidi" w:hint="eastAsia"/>
          <w:color w:val="auto"/>
          <w:kern w:val="2"/>
          <w:sz w:val="21"/>
          <w:szCs w:val="21"/>
        </w:rPr>
        <w:t>将基金合同第十二部分</w:t>
      </w:r>
      <w:r w:rsidRPr="005169F8">
        <w:rPr>
          <w:rFonts w:ascii="Times New Roman" w:hAnsi="Times New Roman" w:cstheme="minorBidi"/>
          <w:color w:val="auto"/>
          <w:kern w:val="2"/>
          <w:sz w:val="21"/>
          <w:szCs w:val="21"/>
        </w:rPr>
        <w:t>“</w:t>
      </w:r>
      <w:r w:rsidRPr="005169F8">
        <w:rPr>
          <w:rFonts w:ascii="Times New Roman" w:hAnsi="Times New Roman" w:cstheme="minorBidi" w:hint="eastAsia"/>
          <w:color w:val="auto"/>
          <w:kern w:val="2"/>
          <w:sz w:val="21"/>
          <w:szCs w:val="21"/>
        </w:rPr>
        <w:t>基金的投资</w:t>
      </w:r>
      <w:r w:rsidRPr="005169F8">
        <w:rPr>
          <w:rFonts w:ascii="Times New Roman" w:hAnsi="Times New Roman" w:cstheme="minorBidi"/>
          <w:color w:val="auto"/>
          <w:kern w:val="2"/>
          <w:sz w:val="21"/>
          <w:szCs w:val="21"/>
        </w:rPr>
        <w:t>”</w:t>
      </w:r>
      <w:r w:rsidRPr="005169F8">
        <w:rPr>
          <w:rFonts w:ascii="Times New Roman" w:hAnsi="Times New Roman" w:cstheme="minorBidi" w:hint="eastAsia"/>
          <w:color w:val="auto"/>
          <w:kern w:val="2"/>
          <w:sz w:val="21"/>
          <w:szCs w:val="21"/>
        </w:rPr>
        <w:t>、</w:t>
      </w:r>
      <w:r w:rsidRPr="005169F8">
        <w:rPr>
          <w:rFonts w:ascii="Times New Roman" w:hAnsi="Times New Roman" w:cstheme="minorBidi"/>
          <w:color w:val="auto"/>
          <w:kern w:val="2"/>
          <w:sz w:val="21"/>
          <w:szCs w:val="21"/>
        </w:rPr>
        <w:t>“</w:t>
      </w:r>
      <w:r w:rsidRPr="005169F8">
        <w:rPr>
          <w:rFonts w:ascii="Times New Roman" w:hAnsi="Times New Roman" w:cstheme="minorBidi" w:hint="eastAsia"/>
          <w:color w:val="auto"/>
          <w:kern w:val="2"/>
          <w:sz w:val="21"/>
          <w:szCs w:val="21"/>
        </w:rPr>
        <w:t>五、业绩比较基准</w:t>
      </w:r>
      <w:r w:rsidRPr="005169F8">
        <w:rPr>
          <w:rFonts w:ascii="Times New Roman" w:hAnsi="Times New Roman" w:cstheme="minorBidi"/>
          <w:color w:val="auto"/>
          <w:kern w:val="2"/>
          <w:sz w:val="21"/>
          <w:szCs w:val="21"/>
        </w:rPr>
        <w:t>”</w:t>
      </w:r>
      <w:r w:rsidRPr="005169F8">
        <w:rPr>
          <w:rFonts w:ascii="Times New Roman" w:hAnsi="Times New Roman" w:cstheme="minorBidi" w:hint="eastAsia"/>
          <w:color w:val="auto"/>
          <w:kern w:val="2"/>
          <w:sz w:val="21"/>
          <w:szCs w:val="21"/>
        </w:rPr>
        <w:t>的内容修改为：</w:t>
      </w:r>
    </w:p>
    <w:p w:rsidR="003E24C5" w:rsidRPr="005169F8" w:rsidRDefault="00C33B37" w:rsidP="00C33B37">
      <w:pPr>
        <w:pStyle w:val="Default"/>
        <w:spacing w:line="360" w:lineRule="auto"/>
        <w:ind w:firstLineChars="200" w:firstLine="420"/>
        <w:jc w:val="both"/>
        <w:rPr>
          <w:rFonts w:ascii="Times New Roman" w:hAnsi="Times New Roman" w:cstheme="minorBidi"/>
          <w:color w:val="auto"/>
          <w:kern w:val="2"/>
          <w:sz w:val="21"/>
          <w:szCs w:val="21"/>
        </w:rPr>
      </w:pPr>
      <w:r w:rsidRPr="005169F8">
        <w:rPr>
          <w:rFonts w:ascii="Times New Roman" w:hAnsi="Times New Roman" w:cstheme="minorBidi"/>
          <w:color w:val="auto"/>
          <w:kern w:val="2"/>
          <w:sz w:val="21"/>
          <w:szCs w:val="21"/>
        </w:rPr>
        <w:t>“1</w:t>
      </w:r>
      <w:r w:rsidRPr="005169F8">
        <w:rPr>
          <w:rFonts w:ascii="Times New Roman" w:hAnsi="Times New Roman" w:cstheme="minorBidi" w:hint="eastAsia"/>
          <w:color w:val="auto"/>
          <w:kern w:val="2"/>
          <w:sz w:val="21"/>
          <w:szCs w:val="21"/>
        </w:rPr>
        <w:t>、本基金的业绩比较基准为：</w:t>
      </w:r>
      <w:r w:rsidR="00EE7A5B" w:rsidRPr="005169F8">
        <w:rPr>
          <w:rFonts w:ascii="Times New Roman" w:hAnsi="Times New Roman" w:cstheme="minorBidi" w:hint="eastAsia"/>
          <w:color w:val="auto"/>
          <w:kern w:val="2"/>
          <w:sz w:val="21"/>
          <w:szCs w:val="21"/>
        </w:rPr>
        <w:t>彭博巴克莱中资美元债指数（</w:t>
      </w:r>
      <w:r w:rsidR="00EE7A5B" w:rsidRPr="005169F8">
        <w:rPr>
          <w:rFonts w:ascii="Times New Roman" w:hAnsi="Times New Roman" w:cstheme="minorBidi"/>
          <w:color w:val="auto"/>
          <w:kern w:val="2"/>
          <w:sz w:val="21"/>
          <w:szCs w:val="21"/>
        </w:rPr>
        <w:t>Bloomberg Barclays Asia Ex-Japan USD Credit China</w:t>
      </w:r>
      <w:r w:rsidR="00EE7A5B" w:rsidRPr="005169F8">
        <w:rPr>
          <w:rFonts w:ascii="Times New Roman" w:hAnsi="Times New Roman" w:cstheme="minorBidi" w:hint="eastAsia"/>
          <w:color w:val="auto"/>
          <w:kern w:val="2"/>
          <w:sz w:val="21"/>
          <w:szCs w:val="21"/>
        </w:rPr>
        <w:t>）</w:t>
      </w:r>
      <w:r w:rsidR="003E24C5" w:rsidRPr="005169F8">
        <w:rPr>
          <w:rFonts w:ascii="Times New Roman" w:hAnsi="Times New Roman" w:cstheme="minorBidi" w:hint="eastAsia"/>
          <w:color w:val="auto"/>
          <w:kern w:val="2"/>
          <w:sz w:val="21"/>
          <w:szCs w:val="21"/>
        </w:rPr>
        <w:t>收益率</w:t>
      </w:r>
      <w:r w:rsidRPr="005169F8">
        <w:rPr>
          <w:rFonts w:ascii="Times New Roman" w:hAnsi="Times New Roman" w:cstheme="minorBidi" w:hint="eastAsia"/>
          <w:color w:val="auto"/>
          <w:kern w:val="2"/>
          <w:sz w:val="21"/>
          <w:szCs w:val="21"/>
        </w:rPr>
        <w:t>。</w:t>
      </w:r>
    </w:p>
    <w:p w:rsidR="00B7058C" w:rsidRPr="005169F8" w:rsidRDefault="00C33B37" w:rsidP="00C33B37">
      <w:pPr>
        <w:pStyle w:val="Default"/>
        <w:spacing w:line="360" w:lineRule="auto"/>
        <w:ind w:firstLineChars="200" w:firstLine="420"/>
        <w:jc w:val="both"/>
        <w:rPr>
          <w:rFonts w:ascii="Times New Roman" w:hAnsi="Times New Roman" w:cstheme="minorBidi"/>
          <w:color w:val="auto"/>
          <w:kern w:val="2"/>
          <w:sz w:val="21"/>
          <w:szCs w:val="21"/>
        </w:rPr>
      </w:pPr>
      <w:r w:rsidRPr="005169F8">
        <w:rPr>
          <w:rFonts w:ascii="Times New Roman" w:hAnsi="Times New Roman" w:cstheme="minorBidi"/>
          <w:color w:val="auto"/>
          <w:kern w:val="2"/>
          <w:sz w:val="21"/>
          <w:szCs w:val="21"/>
        </w:rPr>
        <w:t xml:space="preserve"> 2</w:t>
      </w:r>
      <w:r w:rsidRPr="005169F8">
        <w:rPr>
          <w:rFonts w:ascii="Times New Roman" w:hAnsi="Times New Roman" w:cstheme="minorBidi" w:hint="eastAsia"/>
          <w:color w:val="auto"/>
          <w:kern w:val="2"/>
          <w:sz w:val="21"/>
          <w:szCs w:val="21"/>
        </w:rPr>
        <w:t>、选择业绩比较基准的理由：</w:t>
      </w:r>
      <w:r w:rsidR="00EE7A5B" w:rsidRPr="005169F8">
        <w:rPr>
          <w:rFonts w:ascii="Times New Roman" w:hAnsi="Times New Roman" w:cstheme="minorBidi" w:hint="eastAsia"/>
          <w:color w:val="auto"/>
          <w:kern w:val="2"/>
          <w:sz w:val="21"/>
          <w:szCs w:val="21"/>
        </w:rPr>
        <w:t>彭博巴克莱中资美元债指数</w:t>
      </w:r>
      <w:r w:rsidRPr="005169F8">
        <w:rPr>
          <w:rFonts w:ascii="Times New Roman" w:hAnsi="Times New Roman" w:cstheme="minorBidi" w:hint="eastAsia"/>
          <w:color w:val="auto"/>
          <w:kern w:val="2"/>
          <w:sz w:val="21"/>
          <w:szCs w:val="21"/>
        </w:rPr>
        <w:t>涵盖了中国企业在海外市场所发行的大多数债券，根据市场情况每月重估调整，充分反映了海外中国债券市场的主要投资特征，具有较好的参考性、客观性、实用性和透明度。</w:t>
      </w:r>
    </w:p>
    <w:p w:rsidR="00C33B37" w:rsidRPr="005169F8" w:rsidRDefault="00C33B37" w:rsidP="00C33B37">
      <w:pPr>
        <w:pStyle w:val="Default"/>
        <w:spacing w:line="360" w:lineRule="auto"/>
        <w:ind w:firstLineChars="200" w:firstLine="420"/>
        <w:jc w:val="both"/>
        <w:rPr>
          <w:rFonts w:ascii="Times New Roman" w:hAnsi="Times New Roman" w:cstheme="minorBidi"/>
          <w:color w:val="auto"/>
          <w:kern w:val="2"/>
          <w:sz w:val="21"/>
          <w:szCs w:val="21"/>
        </w:rPr>
      </w:pPr>
      <w:r w:rsidRPr="005169F8">
        <w:rPr>
          <w:rFonts w:ascii="Times New Roman" w:hAnsi="Times New Roman" w:cstheme="minorBidi" w:hint="eastAsia"/>
          <w:color w:val="auto"/>
          <w:kern w:val="2"/>
          <w:sz w:val="21"/>
          <w:szCs w:val="21"/>
        </w:rPr>
        <w:t>如果今后法律法规发生变化，或者有更权威的、更能为市场普遍接受的业绩比较基准推出，或者有其他代表性更强、更科学客观的业绩比较基准适用于本基金时，经基金管理人和基金托管人协商一致后，本基金可以在报中国证监会备案后变更业绩比较基准并及时公告，且无需召开基金份额持有人大会。</w:t>
      </w:r>
      <w:r w:rsidRPr="005169F8">
        <w:rPr>
          <w:rFonts w:ascii="Times New Roman" w:hAnsi="Times New Roman" w:cstheme="minorBidi"/>
          <w:color w:val="auto"/>
          <w:kern w:val="2"/>
          <w:sz w:val="21"/>
          <w:szCs w:val="21"/>
        </w:rPr>
        <w:t>”</w:t>
      </w:r>
    </w:p>
    <w:p w:rsidR="00C33B37" w:rsidRPr="005169F8" w:rsidRDefault="00C33B37" w:rsidP="00C33B37">
      <w:pPr>
        <w:pStyle w:val="Default"/>
        <w:spacing w:line="360" w:lineRule="auto"/>
        <w:ind w:firstLineChars="200" w:firstLine="420"/>
        <w:jc w:val="both"/>
        <w:rPr>
          <w:rFonts w:ascii="Times New Roman" w:hAnsi="Times New Roman" w:cstheme="minorBidi"/>
          <w:color w:val="auto"/>
          <w:kern w:val="2"/>
          <w:sz w:val="21"/>
          <w:szCs w:val="21"/>
        </w:rPr>
      </w:pPr>
      <w:r w:rsidRPr="005169F8">
        <w:rPr>
          <w:rFonts w:ascii="Times New Roman" w:hAnsi="Times New Roman" w:cstheme="minorBidi" w:hint="eastAsia"/>
          <w:color w:val="auto"/>
          <w:kern w:val="2"/>
          <w:sz w:val="21"/>
          <w:szCs w:val="21"/>
        </w:rPr>
        <w:t>本基金业绩比较基准变更不改变本基金的投资范围，不涉及基金合同当事人权利义务关系的变化，对基金份额持有人的利益无实质性不利影响，不需召开基金份额持有人大会。变</w:t>
      </w:r>
      <w:r w:rsidRPr="005169F8">
        <w:rPr>
          <w:rFonts w:ascii="Times New Roman" w:hAnsi="Times New Roman" w:cstheme="minorBidi" w:hint="eastAsia"/>
          <w:color w:val="auto"/>
          <w:kern w:val="2"/>
          <w:sz w:val="21"/>
          <w:szCs w:val="21"/>
        </w:rPr>
        <w:lastRenderedPageBreak/>
        <w:t>更修订事项已报中国证监会备案，符合相关法律法规及基金合同的规定。</w:t>
      </w:r>
    </w:p>
    <w:p w:rsidR="009F5417" w:rsidRPr="005169F8" w:rsidRDefault="009F5417" w:rsidP="0020746E">
      <w:pPr>
        <w:pStyle w:val="Default"/>
        <w:spacing w:line="360" w:lineRule="auto"/>
        <w:ind w:firstLineChars="200" w:firstLine="420"/>
        <w:jc w:val="both"/>
        <w:rPr>
          <w:rFonts w:ascii="Times New Roman" w:hAnsi="Times New Roman" w:cstheme="minorBidi"/>
          <w:color w:val="auto"/>
          <w:kern w:val="2"/>
          <w:sz w:val="21"/>
          <w:szCs w:val="21"/>
        </w:rPr>
      </w:pPr>
      <w:r w:rsidRPr="005169F8">
        <w:rPr>
          <w:rFonts w:ascii="Times New Roman" w:hAnsi="Times New Roman" w:cstheme="minorBidi" w:hint="eastAsia"/>
          <w:color w:val="auto"/>
          <w:kern w:val="2"/>
          <w:sz w:val="21"/>
          <w:szCs w:val="21"/>
        </w:rPr>
        <w:t>投资者可拨打</w:t>
      </w:r>
      <w:r w:rsidR="001523C3" w:rsidRPr="005169F8">
        <w:rPr>
          <w:rFonts w:ascii="Times New Roman" w:hAnsi="Times New Roman" w:cstheme="minorBidi" w:hint="eastAsia"/>
          <w:color w:val="auto"/>
          <w:kern w:val="2"/>
          <w:sz w:val="21"/>
          <w:szCs w:val="21"/>
        </w:rPr>
        <w:t>本公司</w:t>
      </w:r>
      <w:r w:rsidRPr="005169F8">
        <w:rPr>
          <w:rFonts w:ascii="Times New Roman" w:hAnsi="Times New Roman" w:cstheme="minorBidi" w:hint="eastAsia"/>
          <w:color w:val="auto"/>
          <w:kern w:val="2"/>
          <w:sz w:val="21"/>
          <w:szCs w:val="21"/>
        </w:rPr>
        <w:t>客户服务电话（</w:t>
      </w:r>
      <w:r w:rsidRPr="005169F8">
        <w:rPr>
          <w:rFonts w:ascii="Times New Roman" w:hAnsi="Times New Roman" w:cstheme="minorBidi"/>
          <w:color w:val="auto"/>
          <w:kern w:val="2"/>
          <w:sz w:val="21"/>
          <w:szCs w:val="21"/>
        </w:rPr>
        <w:t>400-88</w:t>
      </w:r>
      <w:r w:rsidR="00DB3B10" w:rsidRPr="005169F8">
        <w:rPr>
          <w:rFonts w:ascii="Times New Roman" w:hAnsi="Times New Roman" w:cstheme="minorBidi"/>
          <w:color w:val="auto"/>
          <w:kern w:val="2"/>
          <w:sz w:val="21"/>
          <w:szCs w:val="21"/>
        </w:rPr>
        <w:t>3</w:t>
      </w:r>
      <w:r w:rsidRPr="005169F8">
        <w:rPr>
          <w:rFonts w:ascii="Times New Roman" w:hAnsi="Times New Roman" w:cstheme="minorBidi"/>
          <w:color w:val="auto"/>
          <w:kern w:val="2"/>
          <w:sz w:val="21"/>
          <w:szCs w:val="21"/>
        </w:rPr>
        <w:t>-</w:t>
      </w:r>
      <w:r w:rsidR="00DB3B10" w:rsidRPr="005169F8">
        <w:rPr>
          <w:rFonts w:ascii="Times New Roman" w:hAnsi="Times New Roman" w:cstheme="minorBidi"/>
          <w:color w:val="auto"/>
          <w:kern w:val="2"/>
          <w:sz w:val="21"/>
          <w:szCs w:val="21"/>
        </w:rPr>
        <w:t>8088</w:t>
      </w:r>
      <w:r w:rsidRPr="005169F8">
        <w:rPr>
          <w:rFonts w:ascii="Times New Roman" w:hAnsi="Times New Roman" w:cstheme="minorBidi" w:hint="eastAsia"/>
          <w:color w:val="auto"/>
          <w:kern w:val="2"/>
          <w:sz w:val="21"/>
          <w:szCs w:val="21"/>
        </w:rPr>
        <w:t>）或登录本公司网站</w:t>
      </w:r>
      <w:r w:rsidRPr="005169F8">
        <w:rPr>
          <w:rFonts w:ascii="Times New Roman" w:hAnsi="Times New Roman" w:cstheme="minorBidi"/>
          <w:color w:val="auto"/>
          <w:kern w:val="2"/>
          <w:sz w:val="21"/>
          <w:szCs w:val="21"/>
        </w:rPr>
        <w:t>(</w:t>
      </w:r>
      <w:hyperlink r:id="rId6" w:history="1">
        <w:r w:rsidR="001523C3" w:rsidRPr="005169F8">
          <w:rPr>
            <w:rStyle w:val="ab"/>
            <w:rFonts w:ascii="Times New Roman" w:hAnsi="Times New Roman" w:cstheme="minorBidi"/>
            <w:kern w:val="2"/>
            <w:sz w:val="21"/>
            <w:szCs w:val="21"/>
          </w:rPr>
          <w:t>www.rtfund.com</w:t>
        </w:r>
      </w:hyperlink>
      <w:r w:rsidRPr="005169F8">
        <w:rPr>
          <w:rFonts w:ascii="Times New Roman" w:hAnsi="Times New Roman" w:cstheme="minorBidi"/>
          <w:color w:val="auto"/>
          <w:kern w:val="2"/>
          <w:sz w:val="21"/>
          <w:szCs w:val="21"/>
        </w:rPr>
        <w:t>)</w:t>
      </w:r>
      <w:r w:rsidR="001523C3" w:rsidRPr="005169F8">
        <w:rPr>
          <w:rFonts w:ascii="Times New Roman" w:hAnsi="Times New Roman" w:cstheme="minorBidi" w:hint="eastAsia"/>
          <w:color w:val="auto"/>
          <w:kern w:val="2"/>
          <w:sz w:val="21"/>
          <w:szCs w:val="21"/>
        </w:rPr>
        <w:t>了解</w:t>
      </w:r>
      <w:r w:rsidRPr="005169F8">
        <w:rPr>
          <w:rFonts w:ascii="Times New Roman" w:hAnsi="Times New Roman" w:cstheme="minorBidi" w:hint="eastAsia"/>
          <w:color w:val="auto"/>
          <w:kern w:val="2"/>
          <w:sz w:val="21"/>
          <w:szCs w:val="21"/>
        </w:rPr>
        <w:t>相关信息。</w:t>
      </w:r>
    </w:p>
    <w:p w:rsidR="009F5417" w:rsidRPr="005169F8" w:rsidRDefault="009F5417" w:rsidP="0020746E">
      <w:pPr>
        <w:pStyle w:val="Default"/>
        <w:spacing w:line="360" w:lineRule="auto"/>
        <w:ind w:firstLineChars="200" w:firstLine="420"/>
        <w:jc w:val="both"/>
        <w:rPr>
          <w:rFonts w:ascii="Times New Roman" w:hAnsi="Times New Roman" w:cstheme="minorBidi"/>
          <w:color w:val="auto"/>
          <w:kern w:val="2"/>
          <w:sz w:val="21"/>
          <w:szCs w:val="21"/>
        </w:rPr>
      </w:pPr>
      <w:r w:rsidRPr="005169F8">
        <w:rPr>
          <w:rFonts w:ascii="Times New Roman" w:hAnsi="Times New Roman" w:cstheme="minorBidi" w:hint="eastAsia"/>
          <w:color w:val="auto"/>
          <w:kern w:val="2"/>
          <w:sz w:val="21"/>
          <w:szCs w:val="21"/>
        </w:rPr>
        <w:t>风险提示：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基金的相关法律文件，并选择适合自身风险承受能力的投资品种进行投资。</w:t>
      </w:r>
    </w:p>
    <w:p w:rsidR="009F5417" w:rsidRPr="00276125" w:rsidRDefault="009F5417" w:rsidP="0020746E">
      <w:pPr>
        <w:pStyle w:val="Default"/>
        <w:spacing w:line="360" w:lineRule="auto"/>
        <w:ind w:firstLineChars="200" w:firstLine="420"/>
        <w:jc w:val="both"/>
        <w:rPr>
          <w:rFonts w:asciiTheme="minorEastAsia" w:eastAsiaTheme="minorEastAsia" w:hAnsiTheme="minorEastAsia" w:cstheme="minorBidi"/>
          <w:color w:val="auto"/>
          <w:kern w:val="2"/>
          <w:sz w:val="21"/>
          <w:szCs w:val="21"/>
        </w:rPr>
      </w:pPr>
      <w:r w:rsidRPr="005169F8">
        <w:rPr>
          <w:rFonts w:ascii="Times New Roman" w:hAnsi="Times New Roman" w:cstheme="minorBidi" w:hint="eastAsia"/>
          <w:color w:val="auto"/>
          <w:kern w:val="2"/>
          <w:sz w:val="21"/>
          <w:szCs w:val="21"/>
        </w:rPr>
        <w:t>特此公告。</w:t>
      </w:r>
    </w:p>
    <w:p w:rsidR="009F5417" w:rsidRPr="00276125" w:rsidRDefault="009F5417" w:rsidP="00850EEE">
      <w:pPr>
        <w:pStyle w:val="Default"/>
        <w:spacing w:line="360" w:lineRule="auto"/>
        <w:ind w:firstLineChars="200" w:firstLine="420"/>
        <w:jc w:val="right"/>
        <w:rPr>
          <w:rFonts w:asciiTheme="minorEastAsia" w:eastAsiaTheme="minorEastAsia" w:hAnsiTheme="minorEastAsia" w:cstheme="minorBidi"/>
          <w:color w:val="auto"/>
          <w:kern w:val="2"/>
          <w:sz w:val="21"/>
          <w:szCs w:val="21"/>
        </w:rPr>
      </w:pPr>
      <w:r w:rsidRPr="00276125">
        <w:rPr>
          <w:rFonts w:asciiTheme="minorEastAsia" w:eastAsiaTheme="minorEastAsia" w:hAnsiTheme="minorEastAsia" w:cstheme="minorBidi" w:hint="eastAsia"/>
          <w:color w:val="auto"/>
          <w:kern w:val="2"/>
          <w:sz w:val="21"/>
          <w:szCs w:val="21"/>
        </w:rPr>
        <w:t>融通基金管理有限公司</w:t>
      </w:r>
    </w:p>
    <w:p w:rsidR="009F5417" w:rsidRPr="00850EEE" w:rsidRDefault="009F5417" w:rsidP="00264081">
      <w:pPr>
        <w:wordWrap w:val="0"/>
        <w:spacing w:line="360" w:lineRule="auto"/>
        <w:ind w:firstLineChars="200" w:firstLine="420"/>
        <w:jc w:val="right"/>
        <w:rPr>
          <w:rFonts w:asciiTheme="minorEastAsia" w:hAnsiTheme="minorEastAsia"/>
          <w:szCs w:val="21"/>
        </w:rPr>
      </w:pPr>
      <w:r w:rsidRPr="00850EEE">
        <w:rPr>
          <w:rFonts w:asciiTheme="minorEastAsia" w:hAnsiTheme="minorEastAsia" w:hint="eastAsia"/>
          <w:szCs w:val="21"/>
        </w:rPr>
        <w:t>二○</w:t>
      </w:r>
      <w:r w:rsidR="00C33B37" w:rsidRPr="00850EEE">
        <w:rPr>
          <w:rFonts w:asciiTheme="minorEastAsia" w:hAnsiTheme="minorEastAsia" w:hint="eastAsia"/>
          <w:szCs w:val="21"/>
        </w:rPr>
        <w:t>一</w:t>
      </w:r>
      <w:r w:rsidR="00C33B37">
        <w:rPr>
          <w:rFonts w:asciiTheme="minorEastAsia" w:hAnsiTheme="minorEastAsia" w:hint="eastAsia"/>
          <w:szCs w:val="21"/>
        </w:rPr>
        <w:t>九</w:t>
      </w:r>
      <w:r w:rsidR="00C33B37" w:rsidRPr="00850EEE">
        <w:rPr>
          <w:rFonts w:asciiTheme="minorEastAsia" w:hAnsiTheme="minorEastAsia" w:hint="eastAsia"/>
          <w:szCs w:val="21"/>
        </w:rPr>
        <w:t>年</w:t>
      </w:r>
      <w:r w:rsidR="00C33B37">
        <w:rPr>
          <w:rFonts w:asciiTheme="minorEastAsia" w:hAnsiTheme="minorEastAsia" w:hint="eastAsia"/>
          <w:szCs w:val="21"/>
        </w:rPr>
        <w:t>九</w:t>
      </w:r>
      <w:r w:rsidR="00C33B37" w:rsidRPr="00850EEE">
        <w:rPr>
          <w:rFonts w:asciiTheme="minorEastAsia" w:hAnsiTheme="minorEastAsia" w:hint="eastAsia"/>
          <w:szCs w:val="21"/>
        </w:rPr>
        <w:t>月</w:t>
      </w:r>
      <w:r w:rsidR="00C33B37">
        <w:rPr>
          <w:rFonts w:asciiTheme="minorEastAsia" w:hAnsiTheme="minorEastAsia" w:hint="eastAsia"/>
          <w:szCs w:val="21"/>
        </w:rPr>
        <w:t>二十八</w:t>
      </w:r>
      <w:r w:rsidR="00C33B37" w:rsidRPr="00850EEE">
        <w:rPr>
          <w:rFonts w:asciiTheme="minorEastAsia" w:hAnsiTheme="minorEastAsia" w:hint="eastAsia"/>
          <w:szCs w:val="21"/>
        </w:rPr>
        <w:t>日</w:t>
      </w:r>
    </w:p>
    <w:sectPr w:rsidR="009F5417" w:rsidRPr="00850EEE" w:rsidSect="00852E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F45" w:rsidRDefault="00FA5F45" w:rsidP="004923EB">
      <w:r>
        <w:separator/>
      </w:r>
    </w:p>
  </w:endnote>
  <w:endnote w:type="continuationSeparator" w:id="1">
    <w:p w:rsidR="00FA5F45" w:rsidRDefault="00FA5F45" w:rsidP="00492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718231"/>
      <w:docPartObj>
        <w:docPartGallery w:val="Page Numbers (Bottom of Page)"/>
        <w:docPartUnique/>
      </w:docPartObj>
    </w:sdtPr>
    <w:sdtEndPr>
      <w:rPr>
        <w:rFonts w:ascii="Times New Roman" w:hAnsi="Times New Roman"/>
      </w:rPr>
    </w:sdtEndPr>
    <w:sdtContent>
      <w:p w:rsidR="004923EB" w:rsidRPr="005169F8" w:rsidRDefault="0074531D">
        <w:pPr>
          <w:pStyle w:val="a5"/>
          <w:jc w:val="center"/>
          <w:rPr>
            <w:rFonts w:ascii="Times New Roman" w:hAnsi="Times New Roman"/>
          </w:rPr>
        </w:pPr>
        <w:r w:rsidRPr="005169F8">
          <w:rPr>
            <w:rFonts w:ascii="Times New Roman" w:hAnsi="Times New Roman"/>
          </w:rPr>
          <w:fldChar w:fldCharType="begin"/>
        </w:r>
        <w:r w:rsidR="004923EB" w:rsidRPr="005169F8">
          <w:rPr>
            <w:rFonts w:ascii="Times New Roman" w:hAnsi="Times New Roman"/>
          </w:rPr>
          <w:instrText>PAGE   \* MERGEFORMAT</w:instrText>
        </w:r>
        <w:r w:rsidRPr="005169F8">
          <w:rPr>
            <w:rFonts w:ascii="Times New Roman" w:hAnsi="Times New Roman"/>
          </w:rPr>
          <w:fldChar w:fldCharType="separate"/>
        </w:r>
        <w:r w:rsidR="00BC1465" w:rsidRPr="00BC1465">
          <w:rPr>
            <w:rFonts w:ascii="Times New Roman" w:hAnsi="Times New Roman"/>
            <w:noProof/>
            <w:lang w:val="zh-CN"/>
          </w:rPr>
          <w:t>1</w:t>
        </w:r>
        <w:r w:rsidRPr="005169F8">
          <w:rPr>
            <w:rFonts w:ascii="Times New Roman" w:hAnsi="Times New Roman"/>
          </w:rPr>
          <w:fldChar w:fldCharType="end"/>
        </w:r>
      </w:p>
    </w:sdtContent>
  </w:sdt>
  <w:p w:rsidR="004923EB" w:rsidRDefault="004923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F45" w:rsidRDefault="00FA5F45" w:rsidP="004923EB">
      <w:r>
        <w:separator/>
      </w:r>
    </w:p>
  </w:footnote>
  <w:footnote w:type="continuationSeparator" w:id="1">
    <w:p w:rsidR="00FA5F45" w:rsidRDefault="00FA5F45" w:rsidP="00492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DFA"/>
    <w:rsid w:val="000112D0"/>
    <w:rsid w:val="00061514"/>
    <w:rsid w:val="000660DC"/>
    <w:rsid w:val="00083CA5"/>
    <w:rsid w:val="00085412"/>
    <w:rsid w:val="00090F0C"/>
    <w:rsid w:val="00093B39"/>
    <w:rsid w:val="000A631D"/>
    <w:rsid w:val="000B3A8C"/>
    <w:rsid w:val="000B3F27"/>
    <w:rsid w:val="000C01DD"/>
    <w:rsid w:val="000D1E9E"/>
    <w:rsid w:val="001523C3"/>
    <w:rsid w:val="00185506"/>
    <w:rsid w:val="001B1F62"/>
    <w:rsid w:val="001B297F"/>
    <w:rsid w:val="001D7A79"/>
    <w:rsid w:val="001E0ECD"/>
    <w:rsid w:val="001F03FA"/>
    <w:rsid w:val="0020746E"/>
    <w:rsid w:val="002271A9"/>
    <w:rsid w:val="00235DC2"/>
    <w:rsid w:val="00236C1D"/>
    <w:rsid w:val="00252CFE"/>
    <w:rsid w:val="00264081"/>
    <w:rsid w:val="00276125"/>
    <w:rsid w:val="002812F1"/>
    <w:rsid w:val="00283AA4"/>
    <w:rsid w:val="00294E8B"/>
    <w:rsid w:val="002A3962"/>
    <w:rsid w:val="002C002A"/>
    <w:rsid w:val="002C5D48"/>
    <w:rsid w:val="002E0A1D"/>
    <w:rsid w:val="00300D0E"/>
    <w:rsid w:val="00336843"/>
    <w:rsid w:val="00345FBC"/>
    <w:rsid w:val="003461F4"/>
    <w:rsid w:val="00355996"/>
    <w:rsid w:val="0037295A"/>
    <w:rsid w:val="00387C49"/>
    <w:rsid w:val="003C7CC9"/>
    <w:rsid w:val="003E0B5A"/>
    <w:rsid w:val="003E24C5"/>
    <w:rsid w:val="003E50B0"/>
    <w:rsid w:val="003F4366"/>
    <w:rsid w:val="003F6430"/>
    <w:rsid w:val="004079AD"/>
    <w:rsid w:val="00413B99"/>
    <w:rsid w:val="004141CC"/>
    <w:rsid w:val="004243F6"/>
    <w:rsid w:val="00442B5E"/>
    <w:rsid w:val="00464C05"/>
    <w:rsid w:val="0048212D"/>
    <w:rsid w:val="004923EB"/>
    <w:rsid w:val="004A0ACD"/>
    <w:rsid w:val="004E10F3"/>
    <w:rsid w:val="004E3D88"/>
    <w:rsid w:val="004F0B34"/>
    <w:rsid w:val="00502A87"/>
    <w:rsid w:val="005169F8"/>
    <w:rsid w:val="00522AE4"/>
    <w:rsid w:val="00547A81"/>
    <w:rsid w:val="00552FF8"/>
    <w:rsid w:val="0055343F"/>
    <w:rsid w:val="005551E2"/>
    <w:rsid w:val="00557B48"/>
    <w:rsid w:val="00567C8C"/>
    <w:rsid w:val="005847E5"/>
    <w:rsid w:val="005A2BFD"/>
    <w:rsid w:val="005E59D9"/>
    <w:rsid w:val="005E6C19"/>
    <w:rsid w:val="005F3E96"/>
    <w:rsid w:val="00606C65"/>
    <w:rsid w:val="00607B38"/>
    <w:rsid w:val="00631272"/>
    <w:rsid w:val="006401BD"/>
    <w:rsid w:val="00653248"/>
    <w:rsid w:val="00657B0C"/>
    <w:rsid w:val="00673174"/>
    <w:rsid w:val="00693D0A"/>
    <w:rsid w:val="006A27A8"/>
    <w:rsid w:val="006C0116"/>
    <w:rsid w:val="006C1C3C"/>
    <w:rsid w:val="006E1AC4"/>
    <w:rsid w:val="006E2C4B"/>
    <w:rsid w:val="006F587D"/>
    <w:rsid w:val="00720346"/>
    <w:rsid w:val="0074531D"/>
    <w:rsid w:val="00745C37"/>
    <w:rsid w:val="0074796A"/>
    <w:rsid w:val="007532C7"/>
    <w:rsid w:val="007730D9"/>
    <w:rsid w:val="00774F90"/>
    <w:rsid w:val="0078374A"/>
    <w:rsid w:val="00794E93"/>
    <w:rsid w:val="007B68AB"/>
    <w:rsid w:val="007C54AF"/>
    <w:rsid w:val="007D0F4E"/>
    <w:rsid w:val="007E20BC"/>
    <w:rsid w:val="0080510A"/>
    <w:rsid w:val="00805923"/>
    <w:rsid w:val="00810A94"/>
    <w:rsid w:val="00850EEE"/>
    <w:rsid w:val="00851F2F"/>
    <w:rsid w:val="00852EB3"/>
    <w:rsid w:val="008614AC"/>
    <w:rsid w:val="00862DFC"/>
    <w:rsid w:val="00866916"/>
    <w:rsid w:val="00873AB8"/>
    <w:rsid w:val="008D2B0C"/>
    <w:rsid w:val="008E03DE"/>
    <w:rsid w:val="00900CE7"/>
    <w:rsid w:val="00906196"/>
    <w:rsid w:val="00923334"/>
    <w:rsid w:val="009440E9"/>
    <w:rsid w:val="00954150"/>
    <w:rsid w:val="0095455B"/>
    <w:rsid w:val="00976D85"/>
    <w:rsid w:val="00983A6F"/>
    <w:rsid w:val="009A13BD"/>
    <w:rsid w:val="009A1EE4"/>
    <w:rsid w:val="009C1A5E"/>
    <w:rsid w:val="009C1BFF"/>
    <w:rsid w:val="009C5D35"/>
    <w:rsid w:val="009E14B9"/>
    <w:rsid w:val="009F5417"/>
    <w:rsid w:val="00A07013"/>
    <w:rsid w:val="00A07D94"/>
    <w:rsid w:val="00A1390B"/>
    <w:rsid w:val="00A167A6"/>
    <w:rsid w:val="00A21C95"/>
    <w:rsid w:val="00A21FFA"/>
    <w:rsid w:val="00A3217A"/>
    <w:rsid w:val="00A37B16"/>
    <w:rsid w:val="00A44870"/>
    <w:rsid w:val="00A514C9"/>
    <w:rsid w:val="00A545E7"/>
    <w:rsid w:val="00A71EEE"/>
    <w:rsid w:val="00A77FE5"/>
    <w:rsid w:val="00A864A8"/>
    <w:rsid w:val="00A8751D"/>
    <w:rsid w:val="00AB31F9"/>
    <w:rsid w:val="00AB5A7A"/>
    <w:rsid w:val="00AE6A27"/>
    <w:rsid w:val="00B07F01"/>
    <w:rsid w:val="00B11037"/>
    <w:rsid w:val="00B31916"/>
    <w:rsid w:val="00B31A37"/>
    <w:rsid w:val="00B33939"/>
    <w:rsid w:val="00B35DFA"/>
    <w:rsid w:val="00B7058C"/>
    <w:rsid w:val="00B91872"/>
    <w:rsid w:val="00B968A7"/>
    <w:rsid w:val="00BA4F23"/>
    <w:rsid w:val="00BB137E"/>
    <w:rsid w:val="00BB2FEB"/>
    <w:rsid w:val="00BC1465"/>
    <w:rsid w:val="00BC4CDC"/>
    <w:rsid w:val="00BD4716"/>
    <w:rsid w:val="00BD5740"/>
    <w:rsid w:val="00BE444D"/>
    <w:rsid w:val="00BF0A04"/>
    <w:rsid w:val="00C25969"/>
    <w:rsid w:val="00C31DF8"/>
    <w:rsid w:val="00C33B37"/>
    <w:rsid w:val="00C375C7"/>
    <w:rsid w:val="00C609CE"/>
    <w:rsid w:val="00C67393"/>
    <w:rsid w:val="00CA453C"/>
    <w:rsid w:val="00CA7997"/>
    <w:rsid w:val="00CC64FC"/>
    <w:rsid w:val="00CC758A"/>
    <w:rsid w:val="00D045CF"/>
    <w:rsid w:val="00D134D6"/>
    <w:rsid w:val="00D15D0E"/>
    <w:rsid w:val="00D24581"/>
    <w:rsid w:val="00D35907"/>
    <w:rsid w:val="00D5164B"/>
    <w:rsid w:val="00D546E9"/>
    <w:rsid w:val="00D56C2E"/>
    <w:rsid w:val="00D579F5"/>
    <w:rsid w:val="00D626E3"/>
    <w:rsid w:val="00D760F8"/>
    <w:rsid w:val="00D773FF"/>
    <w:rsid w:val="00D8154F"/>
    <w:rsid w:val="00D86F3C"/>
    <w:rsid w:val="00DA424A"/>
    <w:rsid w:val="00DB3B10"/>
    <w:rsid w:val="00DB6E55"/>
    <w:rsid w:val="00DE63EE"/>
    <w:rsid w:val="00DE6AAD"/>
    <w:rsid w:val="00DF2587"/>
    <w:rsid w:val="00E00322"/>
    <w:rsid w:val="00E07C7D"/>
    <w:rsid w:val="00E10B64"/>
    <w:rsid w:val="00E32837"/>
    <w:rsid w:val="00E42C94"/>
    <w:rsid w:val="00E460E8"/>
    <w:rsid w:val="00E900ED"/>
    <w:rsid w:val="00E91AD1"/>
    <w:rsid w:val="00EB5322"/>
    <w:rsid w:val="00EE132C"/>
    <w:rsid w:val="00EE7A5B"/>
    <w:rsid w:val="00F033FB"/>
    <w:rsid w:val="00F21519"/>
    <w:rsid w:val="00F31207"/>
    <w:rsid w:val="00F61ED6"/>
    <w:rsid w:val="00F74FA6"/>
    <w:rsid w:val="00F753DE"/>
    <w:rsid w:val="00F910B2"/>
    <w:rsid w:val="00F93AA2"/>
    <w:rsid w:val="00F93C49"/>
    <w:rsid w:val="00FA5231"/>
    <w:rsid w:val="00FA5F45"/>
    <w:rsid w:val="00FB5DD9"/>
    <w:rsid w:val="00FC3A16"/>
    <w:rsid w:val="00FE4BD6"/>
    <w:rsid w:val="00FF2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5417"/>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3F6430"/>
    <w:rPr>
      <w:sz w:val="18"/>
      <w:szCs w:val="18"/>
    </w:rPr>
  </w:style>
  <w:style w:type="character" w:customStyle="1" w:styleId="Char">
    <w:name w:val="批注框文本 Char"/>
    <w:basedOn w:val="a0"/>
    <w:link w:val="a3"/>
    <w:uiPriority w:val="99"/>
    <w:semiHidden/>
    <w:rsid w:val="003F6430"/>
    <w:rPr>
      <w:sz w:val="18"/>
      <w:szCs w:val="18"/>
    </w:rPr>
  </w:style>
  <w:style w:type="paragraph" w:styleId="a4">
    <w:name w:val="header"/>
    <w:basedOn w:val="a"/>
    <w:link w:val="Char0"/>
    <w:uiPriority w:val="99"/>
    <w:unhideWhenUsed/>
    <w:rsid w:val="004923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923EB"/>
    <w:rPr>
      <w:sz w:val="18"/>
      <w:szCs w:val="18"/>
    </w:rPr>
  </w:style>
  <w:style w:type="paragraph" w:styleId="a5">
    <w:name w:val="footer"/>
    <w:basedOn w:val="a"/>
    <w:link w:val="Char1"/>
    <w:uiPriority w:val="99"/>
    <w:unhideWhenUsed/>
    <w:rsid w:val="004923EB"/>
    <w:pPr>
      <w:tabs>
        <w:tab w:val="center" w:pos="4153"/>
        <w:tab w:val="right" w:pos="8306"/>
      </w:tabs>
      <w:snapToGrid w:val="0"/>
      <w:jc w:val="left"/>
    </w:pPr>
    <w:rPr>
      <w:sz w:val="18"/>
      <w:szCs w:val="18"/>
    </w:rPr>
  </w:style>
  <w:style w:type="character" w:customStyle="1" w:styleId="Char1">
    <w:name w:val="页脚 Char"/>
    <w:basedOn w:val="a0"/>
    <w:link w:val="a5"/>
    <w:uiPriority w:val="99"/>
    <w:rsid w:val="004923EB"/>
    <w:rPr>
      <w:sz w:val="18"/>
      <w:szCs w:val="18"/>
    </w:rPr>
  </w:style>
  <w:style w:type="character" w:styleId="a6">
    <w:name w:val="annotation reference"/>
    <w:basedOn w:val="a0"/>
    <w:uiPriority w:val="99"/>
    <w:semiHidden/>
    <w:unhideWhenUsed/>
    <w:rsid w:val="00E42C94"/>
    <w:rPr>
      <w:sz w:val="21"/>
      <w:szCs w:val="21"/>
    </w:rPr>
  </w:style>
  <w:style w:type="paragraph" w:styleId="a7">
    <w:name w:val="annotation text"/>
    <w:basedOn w:val="a"/>
    <w:link w:val="Char2"/>
    <w:uiPriority w:val="99"/>
    <w:semiHidden/>
    <w:unhideWhenUsed/>
    <w:rsid w:val="00E42C94"/>
    <w:pPr>
      <w:jc w:val="left"/>
    </w:pPr>
  </w:style>
  <w:style w:type="character" w:customStyle="1" w:styleId="Char2">
    <w:name w:val="批注文字 Char"/>
    <w:basedOn w:val="a0"/>
    <w:link w:val="a7"/>
    <w:uiPriority w:val="99"/>
    <w:semiHidden/>
    <w:rsid w:val="00E42C94"/>
  </w:style>
  <w:style w:type="paragraph" w:styleId="a8">
    <w:name w:val="annotation subject"/>
    <w:basedOn w:val="a7"/>
    <w:next w:val="a7"/>
    <w:link w:val="Char3"/>
    <w:uiPriority w:val="99"/>
    <w:semiHidden/>
    <w:unhideWhenUsed/>
    <w:rsid w:val="00E42C94"/>
    <w:rPr>
      <w:b/>
      <w:bCs/>
    </w:rPr>
  </w:style>
  <w:style w:type="character" w:customStyle="1" w:styleId="Char3">
    <w:name w:val="批注主题 Char"/>
    <w:basedOn w:val="Char2"/>
    <w:link w:val="a8"/>
    <w:uiPriority w:val="99"/>
    <w:semiHidden/>
    <w:rsid w:val="00E42C94"/>
    <w:rPr>
      <w:b/>
      <w:bCs/>
    </w:rPr>
  </w:style>
  <w:style w:type="paragraph" w:customStyle="1" w:styleId="2">
    <w:name w:val="列表2"/>
    <w:basedOn w:val="a"/>
    <w:next w:val="a9"/>
    <w:rsid w:val="00355996"/>
    <w:pPr>
      <w:tabs>
        <w:tab w:val="num" w:pos="907"/>
      </w:tabs>
      <w:spacing w:line="360" w:lineRule="auto"/>
      <w:ind w:left="907" w:hanging="482"/>
    </w:pPr>
    <w:rPr>
      <w:rFonts w:ascii="Times New Roman" w:eastAsia="宋体" w:hAnsi="Times New Roman" w:cs="Times New Roman"/>
      <w:szCs w:val="20"/>
    </w:rPr>
  </w:style>
  <w:style w:type="paragraph" w:styleId="a9">
    <w:name w:val="Title"/>
    <w:basedOn w:val="a"/>
    <w:next w:val="a"/>
    <w:link w:val="Char4"/>
    <w:uiPriority w:val="10"/>
    <w:qFormat/>
    <w:rsid w:val="00355996"/>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9"/>
    <w:uiPriority w:val="10"/>
    <w:rsid w:val="00355996"/>
    <w:rPr>
      <w:rFonts w:asciiTheme="majorHAnsi" w:eastAsia="宋体" w:hAnsiTheme="majorHAnsi" w:cstheme="majorBidi"/>
      <w:b/>
      <w:bCs/>
      <w:sz w:val="32"/>
      <w:szCs w:val="32"/>
    </w:rPr>
  </w:style>
  <w:style w:type="paragraph" w:styleId="aa">
    <w:name w:val="Revision"/>
    <w:hidden/>
    <w:uiPriority w:val="99"/>
    <w:semiHidden/>
    <w:rsid w:val="00862DFC"/>
  </w:style>
  <w:style w:type="character" w:customStyle="1" w:styleId="apple-converted-space">
    <w:name w:val="apple-converted-space"/>
    <w:basedOn w:val="a0"/>
    <w:rsid w:val="00BF0A04"/>
  </w:style>
  <w:style w:type="character" w:styleId="ab">
    <w:name w:val="Hyperlink"/>
    <w:basedOn w:val="a0"/>
    <w:uiPriority w:val="99"/>
    <w:unhideWhenUsed/>
    <w:rsid w:val="001523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4</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lilm</dc:creator>
  <cp:lastModifiedBy>JonMMx 2000</cp:lastModifiedBy>
  <cp:revision>2</cp:revision>
  <dcterms:created xsi:type="dcterms:W3CDTF">2019-09-27T16:00:00Z</dcterms:created>
  <dcterms:modified xsi:type="dcterms:W3CDTF">2019-09-27T16:00:00Z</dcterms:modified>
</cp:coreProperties>
</file>