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87" w:rsidRDefault="00653119">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天弘基金管理有限公司关于增加江苏苏州农村商业银行股份有限公司为旗下部分基金销售机构并开通申购、赎回、定投业务以及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p>
    <w:p w:rsidR="00051E87" w:rsidRDefault="00051E87">
      <w:pPr>
        <w:spacing w:line="500" w:lineRule="exact"/>
        <w:jc w:val="center"/>
        <w:rPr>
          <w:rFonts w:ascii="黑体" w:eastAsia="黑体" w:hAnsi="黑体"/>
          <w:b/>
          <w:sz w:val="30"/>
          <w:szCs w:val="30"/>
        </w:rPr>
      </w:pP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江苏苏州农村商业银行股份有限公司（以下简称“苏州农商行”）签署的相关基金销售服务协议，自2019年09月11日起，本公司增加苏州农商行为旗下部分基金的销售机构并开通申购、赎回、定期定额投资（以下简称“定投”）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本公司旗下部分</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起参加苏州农商行</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通过苏州农商行指定平台申购、赎回、定投本公司旗下部分基金且符合基金合同约定的投资者。</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3411"/>
        <w:gridCol w:w="2004"/>
        <w:gridCol w:w="1771"/>
        <w:gridCol w:w="1336"/>
      </w:tblGrid>
      <w:tr w:rsidR="001B6FDC" w:rsidTr="001B6FDC">
        <w:trPr>
          <w:trHeight w:val="6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176" w:type="pct"/>
            <w:tcBorders>
              <w:top w:val="single" w:sz="4" w:space="0" w:color="auto"/>
              <w:left w:val="nil"/>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1039" w:type="pct"/>
            <w:tcBorders>
              <w:top w:val="single" w:sz="4" w:space="0" w:color="auto"/>
              <w:left w:val="nil"/>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784" w:type="pct"/>
            <w:tcBorders>
              <w:top w:val="single" w:sz="4" w:space="0" w:color="auto"/>
              <w:left w:val="nil"/>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天弘上证50指数型发起式证券投资基金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A类：001548</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天弘上证50指数型发起式证券投资基金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C类：001549</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天弘中证500指数型发起式证券投资基金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A类：000962</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天弘中证500指数型发起式证券投资基金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C类：005919</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天弘中证500指数增强型证券投资基金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A类：001556</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天弘中证500指数增强型证券投资基金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C类：001557</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天弘中证800指数型发起式证券投资基金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A类：001588</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B72A95"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tcPr>
          <w:p w:rsidR="00B72A95" w:rsidRDefault="00B72A95"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天弘中证800指数型发起式证券投资基金</w:t>
            </w:r>
          </w:p>
        </w:tc>
        <w:tc>
          <w:tcPr>
            <w:tcW w:w="1176" w:type="pct"/>
            <w:tcBorders>
              <w:top w:val="single" w:sz="4" w:space="0" w:color="auto"/>
              <w:left w:val="nil"/>
              <w:bottom w:val="single" w:sz="4" w:space="0" w:color="auto"/>
              <w:right w:val="single" w:sz="4" w:space="0" w:color="auto"/>
            </w:tcBorders>
            <w:noWrap/>
            <w:vAlign w:val="center"/>
          </w:tcPr>
          <w:p w:rsidR="00B72A95" w:rsidRDefault="00B72A95" w:rsidP="00375A19">
            <w:pPr>
              <w:rPr>
                <w:rFonts w:ascii="仿宋_GB2312" w:eastAsia="仿宋_GB2312" w:hAnsiTheme="minorEastAsia"/>
                <w:kern w:val="0"/>
                <w:sz w:val="24"/>
                <w:szCs w:val="24"/>
              </w:rPr>
            </w:pPr>
            <w:r>
              <w:rPr>
                <w:rFonts w:ascii="仿宋_GB2312" w:eastAsia="仿宋_GB2312" w:hAnsiTheme="minorEastAsia"/>
                <w:kern w:val="0"/>
                <w:sz w:val="24"/>
                <w:szCs w:val="24"/>
              </w:rPr>
              <w:t>C</w:t>
            </w:r>
            <w:r>
              <w:rPr>
                <w:rFonts w:ascii="仿宋_GB2312" w:eastAsia="仿宋_GB2312" w:hAnsiTheme="minorEastAsia" w:hint="eastAsia"/>
                <w:kern w:val="0"/>
                <w:sz w:val="24"/>
                <w:szCs w:val="24"/>
              </w:rPr>
              <w:t>类</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001589</w:t>
            </w:r>
          </w:p>
        </w:tc>
        <w:tc>
          <w:tcPr>
            <w:tcW w:w="1039" w:type="pct"/>
            <w:tcBorders>
              <w:top w:val="single" w:sz="4" w:space="0" w:color="auto"/>
              <w:left w:val="nil"/>
              <w:bottom w:val="single" w:sz="4" w:space="0" w:color="auto"/>
              <w:right w:val="single" w:sz="4" w:space="0" w:color="auto"/>
            </w:tcBorders>
            <w:noWrap/>
            <w:vAlign w:val="center"/>
          </w:tcPr>
          <w:p w:rsidR="00B72A95" w:rsidRDefault="00B72A95"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tcPr>
          <w:p w:rsidR="00B72A95" w:rsidRDefault="00B72A95"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天弘中证医药100指数型发起式证券投资基金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A类：001550</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天弘中证医药100指数型发起式证券投资基金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C类：001551</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天弘中证电子指数型发起式证券投资基金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A类：001617</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天弘中证电子指数型发起式证券投资基金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C类：001618</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天弘中证计算机主题指数型发起式证券投资基金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A类：001629</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天弘中证计算机主题指数型发起式证券投资基金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C类：001630</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天弘中证证券保险指数型发起式证券投资基金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A类：001552</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天弘中证证券保险指数型发起式证券投资基金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C类：001553</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天弘中证银行指数型发起式证券投资基金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A类：001594</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天弘中证银行指数型发起式证券投资基金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C类：001595</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天弘中证食品饮料指数型发起式证券投资基金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A类：001631</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天弘中证食品饮料指数型发起式证券投资基金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C类：001632</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天弘创业板指数型发起式证券投资基金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A类：001592</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天弘创业板指数型发起式证券投资基金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C类：001593</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A类：000961</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2001" w:type="pct"/>
            <w:tcBorders>
              <w:top w:val="single" w:sz="4" w:space="0" w:color="auto"/>
              <w:left w:val="single" w:sz="4" w:space="0" w:color="auto"/>
              <w:bottom w:val="single" w:sz="4" w:space="0" w:color="auto"/>
              <w:right w:val="single" w:sz="4" w:space="0" w:color="auto"/>
            </w:tcBorders>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天弘沪深300指数型发起式证券投资基金</w:t>
            </w:r>
          </w:p>
        </w:tc>
        <w:tc>
          <w:tcPr>
            <w:tcW w:w="1176"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C类：005918</w:t>
            </w:r>
          </w:p>
        </w:tc>
        <w:tc>
          <w:tcPr>
            <w:tcW w:w="1039"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784" w:type="pct"/>
            <w:tcBorders>
              <w:top w:val="single" w:sz="4" w:space="0" w:color="auto"/>
              <w:left w:val="nil"/>
              <w:bottom w:val="single" w:sz="4" w:space="0" w:color="auto"/>
              <w:right w:val="single" w:sz="4" w:space="0" w:color="auto"/>
            </w:tcBorders>
            <w:noWrap/>
            <w:vAlign w:val="center"/>
            <w:hideMark/>
          </w:tcPr>
          <w:p w:rsidR="001B6FDC" w:rsidRDefault="00653119" w:rsidP="00375A19">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2019年09月11日，投资者通过苏州农商行指定平台申购（含定投）上述基金时，享受申购费率优惠，具体费率折扣及费率优惠期限请以苏州农商行的规则为准。原申购费为固定费用的，不享受优惠，按固定费用执行。</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各基金原申购费率（用）请详</w:t>
      </w:r>
      <w:bookmarkStart w:id="0" w:name="_GoBack"/>
      <w:bookmarkEnd w:id="0"/>
      <w:r>
        <w:rPr>
          <w:rFonts w:ascii="仿宋_GB2312" w:eastAsia="仿宋_GB2312" w:hAnsiTheme="minorEastAsia" w:hint="eastAsia"/>
          <w:kern w:val="0"/>
          <w:sz w:val="24"/>
          <w:szCs w:val="24"/>
        </w:rPr>
        <w:t>见《基金合同》、《招募说明书》等法律文件，以及本公司发布的最新业务公告。</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1</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、上述相关业务办理规则的具体内容请以苏州农商行的规定、公告或通知</w:t>
      </w:r>
      <w:r>
        <w:rPr>
          <w:rFonts w:ascii="仿宋_GB2312" w:eastAsia="仿宋_GB2312" w:hAnsiTheme="minorEastAsia" w:hint="eastAsia"/>
          <w:kern w:val="0"/>
          <w:sz w:val="24"/>
          <w:szCs w:val="24"/>
        </w:rPr>
        <w:lastRenderedPageBreak/>
        <w:t>为准。</w:t>
      </w:r>
    </w:p>
    <w:p w:rsidR="00051E87" w:rsidRDefault="00051E87">
      <w:pPr>
        <w:spacing w:line="500" w:lineRule="exact"/>
        <w:ind w:firstLineChars="200" w:firstLine="480"/>
        <w:rPr>
          <w:rFonts w:ascii="仿宋_GB2312" w:eastAsia="仿宋_GB2312" w:hAnsiTheme="minorEastAsia"/>
          <w:kern w:val="0"/>
          <w:sz w:val="24"/>
          <w:szCs w:val="24"/>
        </w:rPr>
      </w:pP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(2)江苏苏州农村商业银行股份有限公司</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客服热线：400-86-96068</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网站：wjrcb.com</w:t>
      </w:r>
    </w:p>
    <w:p w:rsidR="00051E87" w:rsidRDefault="00051E87">
      <w:pPr>
        <w:spacing w:line="500" w:lineRule="exact"/>
        <w:ind w:firstLineChars="200" w:firstLine="480"/>
        <w:rPr>
          <w:rFonts w:ascii="仿宋_GB2312" w:eastAsia="仿宋_GB2312" w:hAnsiTheme="minorEastAsia"/>
          <w:kern w:val="0"/>
          <w:sz w:val="24"/>
          <w:szCs w:val="24"/>
        </w:rPr>
      </w:pP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051E87" w:rsidRDefault="00653119">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051E87" w:rsidRDefault="00051E87">
      <w:pPr>
        <w:spacing w:line="500" w:lineRule="exact"/>
        <w:ind w:firstLineChars="200" w:firstLine="480"/>
        <w:rPr>
          <w:rFonts w:ascii="仿宋_GB2312" w:eastAsia="仿宋_GB2312" w:hAnsiTheme="minorEastAsia"/>
          <w:kern w:val="0"/>
          <w:sz w:val="24"/>
          <w:szCs w:val="24"/>
        </w:rPr>
      </w:pPr>
    </w:p>
    <w:p w:rsidR="00051E87" w:rsidRDefault="00653119">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天弘基金管理有限公司</w:t>
      </w:r>
    </w:p>
    <w:p w:rsidR="00051E87" w:rsidRDefault="00653119">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二〇一九年九月十一日</w:t>
      </w:r>
    </w:p>
    <w:p w:rsidR="00051E87" w:rsidRDefault="00051E87"/>
    <w:sectPr w:rsidR="00051E87" w:rsidSect="009D2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34" w:rsidRDefault="00F03E34" w:rsidP="00F03E34">
      <w:r>
        <w:separator/>
      </w:r>
    </w:p>
  </w:endnote>
  <w:endnote w:type="continuationSeparator" w:id="1">
    <w:p w:rsidR="00F03E34" w:rsidRDefault="00F03E34" w:rsidP="00F03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34" w:rsidRDefault="00F03E34" w:rsidP="00F03E34">
      <w:r>
        <w:separator/>
      </w:r>
    </w:p>
  </w:footnote>
  <w:footnote w:type="continuationSeparator" w:id="1">
    <w:p w:rsidR="00F03E34" w:rsidRDefault="00F03E34" w:rsidP="00F03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D57"/>
    <w:rsid w:val="00051E87"/>
    <w:rsid w:val="000B67F9"/>
    <w:rsid w:val="000F6E6E"/>
    <w:rsid w:val="00196A4A"/>
    <w:rsid w:val="001A3889"/>
    <w:rsid w:val="002B3CCC"/>
    <w:rsid w:val="002E4340"/>
    <w:rsid w:val="00331674"/>
    <w:rsid w:val="00356495"/>
    <w:rsid w:val="003619A9"/>
    <w:rsid w:val="004F4E49"/>
    <w:rsid w:val="004F6463"/>
    <w:rsid w:val="005860F1"/>
    <w:rsid w:val="00653119"/>
    <w:rsid w:val="00676E63"/>
    <w:rsid w:val="006C1230"/>
    <w:rsid w:val="007D6643"/>
    <w:rsid w:val="007F1F52"/>
    <w:rsid w:val="00816251"/>
    <w:rsid w:val="00864BA1"/>
    <w:rsid w:val="00891A42"/>
    <w:rsid w:val="008F410B"/>
    <w:rsid w:val="00933705"/>
    <w:rsid w:val="009B7DBB"/>
    <w:rsid w:val="009D2DCD"/>
    <w:rsid w:val="00A43AC9"/>
    <w:rsid w:val="00A77F25"/>
    <w:rsid w:val="00A87A36"/>
    <w:rsid w:val="00AD61F4"/>
    <w:rsid w:val="00B720FF"/>
    <w:rsid w:val="00B72A95"/>
    <w:rsid w:val="00B92D98"/>
    <w:rsid w:val="00B935AD"/>
    <w:rsid w:val="00B9612F"/>
    <w:rsid w:val="00BD1473"/>
    <w:rsid w:val="00BD3B13"/>
    <w:rsid w:val="00BF34A8"/>
    <w:rsid w:val="00C572F2"/>
    <w:rsid w:val="00C871D6"/>
    <w:rsid w:val="00CF13F6"/>
    <w:rsid w:val="00DC0EA3"/>
    <w:rsid w:val="00E608C2"/>
    <w:rsid w:val="00E73379"/>
    <w:rsid w:val="00E95D57"/>
    <w:rsid w:val="00F03E34"/>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D2DCD"/>
    <w:pPr>
      <w:jc w:val="left"/>
    </w:pPr>
  </w:style>
  <w:style w:type="paragraph" w:styleId="a4">
    <w:name w:val="Balloon Text"/>
    <w:basedOn w:val="a"/>
    <w:link w:val="Char0"/>
    <w:uiPriority w:val="99"/>
    <w:semiHidden/>
    <w:unhideWhenUsed/>
    <w:qFormat/>
    <w:rsid w:val="009D2DCD"/>
    <w:rPr>
      <w:sz w:val="18"/>
      <w:szCs w:val="18"/>
    </w:rPr>
  </w:style>
  <w:style w:type="paragraph" w:styleId="a5">
    <w:name w:val="footer"/>
    <w:basedOn w:val="a"/>
    <w:link w:val="Char1"/>
    <w:uiPriority w:val="99"/>
    <w:unhideWhenUsed/>
    <w:qFormat/>
    <w:rsid w:val="009D2DC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D2DC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9D2DCD"/>
    <w:rPr>
      <w:sz w:val="21"/>
      <w:szCs w:val="21"/>
    </w:rPr>
  </w:style>
  <w:style w:type="character" w:customStyle="1" w:styleId="Char2">
    <w:name w:val="页眉 Char"/>
    <w:basedOn w:val="a0"/>
    <w:link w:val="a6"/>
    <w:uiPriority w:val="99"/>
    <w:qFormat/>
    <w:rsid w:val="009D2DCD"/>
    <w:rPr>
      <w:sz w:val="18"/>
      <w:szCs w:val="18"/>
    </w:rPr>
  </w:style>
  <w:style w:type="character" w:customStyle="1" w:styleId="Char1">
    <w:name w:val="页脚 Char"/>
    <w:basedOn w:val="a0"/>
    <w:link w:val="a5"/>
    <w:uiPriority w:val="99"/>
    <w:qFormat/>
    <w:rsid w:val="009D2DCD"/>
    <w:rPr>
      <w:sz w:val="18"/>
      <w:szCs w:val="18"/>
    </w:rPr>
  </w:style>
  <w:style w:type="character" w:customStyle="1" w:styleId="Char">
    <w:name w:val="批注文字 Char"/>
    <w:basedOn w:val="a0"/>
    <w:link w:val="a3"/>
    <w:uiPriority w:val="99"/>
    <w:semiHidden/>
    <w:rsid w:val="009D2DCD"/>
  </w:style>
  <w:style w:type="character" w:customStyle="1" w:styleId="Char0">
    <w:name w:val="批注框文本 Char"/>
    <w:basedOn w:val="a0"/>
    <w:link w:val="a4"/>
    <w:uiPriority w:val="99"/>
    <w:semiHidden/>
    <w:rsid w:val="009D2DC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1414</Characters>
  <Application>Microsoft Office Word</Application>
  <DocSecurity>4</DocSecurity>
  <Lines>11</Lines>
  <Paragraphs>3</Paragraphs>
  <ScaleCrop>false</ScaleCrop>
  <Company>Sky123.Org</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JonMMx 2000</cp:lastModifiedBy>
  <cp:revision>2</cp:revision>
  <dcterms:created xsi:type="dcterms:W3CDTF">2019-09-10T16:10:00Z</dcterms:created>
  <dcterms:modified xsi:type="dcterms:W3CDTF">2019-09-10T16:10:00Z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