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8" w:rsidRDefault="009A2288">
      <w:pPr>
        <w:pStyle w:val="Default"/>
      </w:pPr>
    </w:p>
    <w:p w:rsidR="009A2288" w:rsidRDefault="009A2288">
      <w:pPr>
        <w:pStyle w:val="Default"/>
        <w:rPr>
          <w:sz w:val="18"/>
          <w:szCs w:val="18"/>
        </w:rPr>
      </w:pPr>
    </w:p>
    <w:p w:rsidR="009A2288" w:rsidRDefault="009A2288">
      <w:pPr>
        <w:pStyle w:val="Default"/>
        <w:rPr>
          <w:rFonts w:cstheme="minorBidi"/>
          <w:color w:val="auto"/>
        </w:rPr>
      </w:pPr>
    </w:p>
    <w:p w:rsidR="009A2288" w:rsidRDefault="00B13667">
      <w:pPr>
        <w:pStyle w:val="Default"/>
        <w:jc w:val="center"/>
        <w:rPr>
          <w:rFonts w:ascii="宋体" w:eastAsia="宋体" w:cs="宋体"/>
          <w:b/>
          <w:color w:val="313131"/>
          <w:sz w:val="36"/>
          <w:szCs w:val="36"/>
        </w:rPr>
      </w:pPr>
      <w:r>
        <w:rPr>
          <w:rFonts w:ascii="宋体" w:eastAsia="宋体" w:cs="宋体" w:hint="eastAsia"/>
          <w:b/>
          <w:color w:val="313131"/>
          <w:sz w:val="36"/>
          <w:szCs w:val="36"/>
        </w:rPr>
        <w:t>金元顺安核心动力混合型证券投资基金</w:t>
      </w:r>
    </w:p>
    <w:p w:rsidR="009A2288" w:rsidRDefault="00B13667">
      <w:pPr>
        <w:pStyle w:val="Default"/>
        <w:jc w:val="center"/>
        <w:rPr>
          <w:rFonts w:ascii="宋体" w:eastAsia="宋体" w:cs="宋体"/>
          <w:b/>
          <w:color w:val="313131"/>
          <w:sz w:val="36"/>
          <w:szCs w:val="36"/>
        </w:rPr>
      </w:pPr>
      <w:r>
        <w:rPr>
          <w:rFonts w:ascii="宋体" w:eastAsia="宋体" w:cs="宋体" w:hint="eastAsia"/>
          <w:b/>
          <w:color w:val="313131"/>
          <w:sz w:val="36"/>
          <w:szCs w:val="36"/>
        </w:rPr>
        <w:t>第三次清算报告</w:t>
      </w: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rPr>
          <w:rFonts w:ascii="宋体" w:eastAsia="宋体" w:cs="宋体"/>
          <w:sz w:val="23"/>
          <w:szCs w:val="23"/>
        </w:rPr>
      </w:pPr>
    </w:p>
    <w:p w:rsidR="009A2288" w:rsidRDefault="009A2288">
      <w:pPr>
        <w:pStyle w:val="Default"/>
        <w:jc w:val="center"/>
        <w:rPr>
          <w:rFonts w:ascii="宋体" w:eastAsia="宋体" w:cs="宋体"/>
          <w:sz w:val="23"/>
          <w:szCs w:val="23"/>
        </w:rPr>
      </w:pPr>
    </w:p>
    <w:p w:rsidR="009A2288" w:rsidRDefault="00B13667">
      <w:pPr>
        <w:pStyle w:val="Default"/>
        <w:jc w:val="center"/>
        <w:rPr>
          <w:rFonts w:ascii="宋体" w:eastAsia="宋体" w:cs="宋体"/>
          <w:sz w:val="23"/>
          <w:szCs w:val="23"/>
        </w:rPr>
      </w:pPr>
      <w:r>
        <w:rPr>
          <w:rFonts w:ascii="宋体" w:eastAsia="宋体" w:cs="宋体" w:hint="eastAsia"/>
          <w:sz w:val="23"/>
          <w:szCs w:val="23"/>
        </w:rPr>
        <w:t>基金管理人：金元顺安基金管理有限公司</w:t>
      </w:r>
    </w:p>
    <w:p w:rsidR="009A2288" w:rsidRDefault="00B13667">
      <w:pPr>
        <w:pStyle w:val="Default"/>
        <w:jc w:val="center"/>
        <w:rPr>
          <w:rFonts w:ascii="宋体" w:eastAsia="宋体" w:cs="宋体"/>
          <w:sz w:val="23"/>
          <w:szCs w:val="23"/>
        </w:rPr>
      </w:pPr>
      <w:r>
        <w:rPr>
          <w:rFonts w:ascii="宋体" w:eastAsia="宋体" w:cs="宋体" w:hint="eastAsia"/>
          <w:sz w:val="23"/>
          <w:szCs w:val="23"/>
        </w:rPr>
        <w:t>基金托管人：中国工商银行股份有限公司</w:t>
      </w:r>
    </w:p>
    <w:p w:rsidR="009A2288" w:rsidRDefault="00B13667">
      <w:pPr>
        <w:pStyle w:val="Default"/>
        <w:jc w:val="center"/>
        <w:rPr>
          <w:rFonts w:ascii="宋体" w:eastAsia="宋体" w:cs="宋体"/>
          <w:sz w:val="23"/>
          <w:szCs w:val="23"/>
        </w:rPr>
      </w:pPr>
      <w:r>
        <w:rPr>
          <w:rFonts w:ascii="宋体" w:eastAsia="宋体" w:cs="宋体" w:hint="eastAsia"/>
          <w:sz w:val="23"/>
          <w:szCs w:val="23"/>
        </w:rPr>
        <w:t>清算报告出具日：</w:t>
      </w:r>
      <w:r>
        <w:rPr>
          <w:rFonts w:ascii="宋体" w:eastAsia="宋体" w:cs="宋体"/>
          <w:sz w:val="23"/>
          <w:szCs w:val="23"/>
        </w:rPr>
        <w:t>201</w:t>
      </w:r>
      <w:r>
        <w:rPr>
          <w:rFonts w:ascii="宋体" w:eastAsia="宋体" w:cs="宋体" w:hint="eastAsia"/>
          <w:sz w:val="23"/>
          <w:szCs w:val="23"/>
        </w:rPr>
        <w:t>9年7月25日</w:t>
      </w:r>
    </w:p>
    <w:p w:rsidR="009A2288" w:rsidRDefault="00B13667">
      <w:pPr>
        <w:pStyle w:val="Default"/>
        <w:jc w:val="center"/>
        <w:rPr>
          <w:rFonts w:ascii="宋体" w:eastAsia="宋体" w:cs="宋体"/>
          <w:sz w:val="18"/>
          <w:szCs w:val="18"/>
        </w:rPr>
      </w:pPr>
      <w:r>
        <w:rPr>
          <w:rFonts w:ascii="宋体" w:eastAsia="宋体" w:cs="宋体" w:hint="eastAsia"/>
          <w:sz w:val="23"/>
          <w:szCs w:val="23"/>
        </w:rPr>
        <w:t>清算报告公告日：</w:t>
      </w:r>
      <w:r>
        <w:rPr>
          <w:rFonts w:ascii="宋体" w:eastAsia="宋体" w:cs="宋体"/>
          <w:sz w:val="23"/>
          <w:szCs w:val="23"/>
        </w:rPr>
        <w:t>201</w:t>
      </w:r>
      <w:r>
        <w:rPr>
          <w:rFonts w:ascii="宋体" w:eastAsia="宋体" w:cs="宋体" w:hint="eastAsia"/>
          <w:sz w:val="23"/>
          <w:szCs w:val="23"/>
        </w:rPr>
        <w:t>9年9月10</w:t>
      </w:r>
      <w:bookmarkStart w:id="0" w:name="_GoBack"/>
      <w:bookmarkEnd w:id="0"/>
      <w:r>
        <w:rPr>
          <w:rFonts w:ascii="宋体" w:eastAsia="宋体" w:cs="宋体" w:hint="eastAsia"/>
          <w:sz w:val="23"/>
          <w:szCs w:val="23"/>
        </w:rPr>
        <w:t>日</w:t>
      </w:r>
    </w:p>
    <w:p w:rsidR="009A2288" w:rsidRPr="00B13667" w:rsidRDefault="009A2288">
      <w:pPr>
        <w:pStyle w:val="Default"/>
        <w:rPr>
          <w:rFonts w:cstheme="minorBidi"/>
          <w:color w:val="auto"/>
        </w:rPr>
      </w:pPr>
    </w:p>
    <w:p w:rsidR="009A2288" w:rsidRDefault="009A2288">
      <w:pPr>
        <w:pStyle w:val="Default"/>
        <w:pageBreakBefore/>
        <w:rPr>
          <w:rFonts w:cstheme="minorBidi"/>
          <w:color w:val="auto"/>
        </w:rPr>
      </w:pPr>
    </w:p>
    <w:p w:rsidR="009A2288" w:rsidRDefault="00B13667">
      <w:pPr>
        <w:pStyle w:val="Default"/>
        <w:rPr>
          <w:rFonts w:ascii="宋体" w:eastAsia="宋体" w:cs="宋体"/>
          <w:color w:val="auto"/>
          <w:sz w:val="28"/>
          <w:szCs w:val="28"/>
        </w:rPr>
      </w:pPr>
      <w:r>
        <w:rPr>
          <w:rFonts w:ascii="宋体" w:eastAsia="宋体" w:cs="宋体" w:hint="eastAsia"/>
          <w:b/>
          <w:color w:val="auto"/>
          <w:sz w:val="28"/>
          <w:szCs w:val="28"/>
        </w:rPr>
        <w:t>一、重要提示</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金元顺安核心动力混合型证券投资基金（原名为：金元比联核心动力股票型证券投资基金，以下简称“本基金”），系经中国证券监督管理委员会（以下简称“中国证监会”）证监许可</w:t>
      </w:r>
      <w:r>
        <w:rPr>
          <w:rFonts w:ascii="宋体" w:eastAsia="宋体" w:cs="宋体"/>
          <w:color w:val="auto"/>
          <w:sz w:val="23"/>
          <w:szCs w:val="23"/>
        </w:rPr>
        <w:t>[2009]1424</w:t>
      </w:r>
      <w:r>
        <w:rPr>
          <w:rFonts w:ascii="宋体" w:eastAsia="宋体" w:cs="宋体" w:hint="eastAsia"/>
          <w:color w:val="auto"/>
          <w:sz w:val="23"/>
          <w:szCs w:val="23"/>
        </w:rPr>
        <w:t>号文《关于核准金元比联核心动力股票型证券投资基金募集的批复》的核准，由基金管理人金元顺安基金管理有限公司（以下简称</w:t>
      </w:r>
      <w:r>
        <w:rPr>
          <w:rFonts w:ascii="宋体" w:eastAsia="宋体" w:cs="宋体"/>
          <w:color w:val="auto"/>
          <w:sz w:val="23"/>
          <w:szCs w:val="23"/>
        </w:rPr>
        <w:t>“</w:t>
      </w:r>
      <w:r>
        <w:rPr>
          <w:rFonts w:ascii="宋体" w:eastAsia="宋体" w:cs="宋体" w:hint="eastAsia"/>
          <w:color w:val="auto"/>
          <w:sz w:val="23"/>
          <w:szCs w:val="23"/>
        </w:rPr>
        <w:t>基金管理人</w:t>
      </w:r>
      <w:r>
        <w:rPr>
          <w:rFonts w:ascii="宋体" w:eastAsia="宋体" w:cs="宋体"/>
          <w:color w:val="auto"/>
          <w:sz w:val="23"/>
          <w:szCs w:val="23"/>
        </w:rPr>
        <w:t>”</w:t>
      </w:r>
      <w:r>
        <w:rPr>
          <w:rFonts w:ascii="宋体" w:eastAsia="宋体" w:cs="宋体" w:hint="eastAsia"/>
          <w:color w:val="auto"/>
          <w:sz w:val="23"/>
          <w:szCs w:val="23"/>
        </w:rPr>
        <w:t>）向社会公开发行募集，基金托管人为中国工商银行股份有限公司（以下简称</w:t>
      </w:r>
      <w:r>
        <w:rPr>
          <w:rFonts w:ascii="宋体" w:eastAsia="宋体" w:cs="宋体"/>
          <w:color w:val="auto"/>
          <w:sz w:val="23"/>
          <w:szCs w:val="23"/>
        </w:rPr>
        <w:t>“</w:t>
      </w:r>
      <w:r>
        <w:rPr>
          <w:rFonts w:ascii="宋体" w:eastAsia="宋体" w:cs="宋体" w:hint="eastAsia"/>
          <w:color w:val="auto"/>
          <w:sz w:val="23"/>
          <w:szCs w:val="23"/>
        </w:rPr>
        <w:t>基金托管人</w:t>
      </w:r>
      <w:r>
        <w:rPr>
          <w:rFonts w:ascii="宋体" w:eastAsia="宋体" w:cs="宋体"/>
          <w:color w:val="auto"/>
          <w:sz w:val="23"/>
          <w:szCs w:val="23"/>
        </w:rPr>
        <w:t>”</w:t>
      </w:r>
      <w:r>
        <w:rPr>
          <w:rFonts w:ascii="宋体" w:eastAsia="宋体" w:cs="宋体" w:hint="eastAsia"/>
          <w:color w:val="auto"/>
          <w:sz w:val="23"/>
          <w:szCs w:val="23"/>
        </w:rPr>
        <w:t>）,基金合同于</w:t>
      </w:r>
      <w:r>
        <w:rPr>
          <w:rFonts w:ascii="宋体" w:eastAsia="宋体" w:cs="宋体"/>
          <w:color w:val="auto"/>
          <w:sz w:val="23"/>
          <w:szCs w:val="23"/>
        </w:rPr>
        <w:t>2010</w:t>
      </w:r>
      <w:r>
        <w:rPr>
          <w:rFonts w:ascii="宋体" w:eastAsia="宋体" w:cs="宋体" w:hint="eastAsia"/>
          <w:color w:val="auto"/>
          <w:sz w:val="23"/>
          <w:szCs w:val="23"/>
        </w:rPr>
        <w:t>年</w:t>
      </w:r>
      <w:r>
        <w:rPr>
          <w:rFonts w:ascii="宋体" w:eastAsia="宋体" w:cs="宋体"/>
          <w:color w:val="auto"/>
          <w:sz w:val="23"/>
          <w:szCs w:val="23"/>
        </w:rPr>
        <w:t>2</w:t>
      </w:r>
      <w:r>
        <w:rPr>
          <w:rFonts w:ascii="宋体" w:eastAsia="宋体" w:cs="宋体" w:hint="eastAsia"/>
          <w:color w:val="auto"/>
          <w:sz w:val="23"/>
          <w:szCs w:val="23"/>
        </w:rPr>
        <w:t>月</w:t>
      </w:r>
      <w:r>
        <w:rPr>
          <w:rFonts w:ascii="宋体" w:eastAsia="宋体" w:cs="宋体"/>
          <w:color w:val="auto"/>
          <w:sz w:val="23"/>
          <w:szCs w:val="23"/>
        </w:rPr>
        <w:t>11</w:t>
      </w:r>
      <w:r>
        <w:rPr>
          <w:rFonts w:ascii="宋体" w:eastAsia="宋体" w:cs="宋体" w:hint="eastAsia"/>
          <w:color w:val="auto"/>
          <w:sz w:val="23"/>
          <w:szCs w:val="23"/>
        </w:rPr>
        <w:t>日正式生效。</w:t>
      </w:r>
    </w:p>
    <w:p w:rsidR="009A2288" w:rsidRDefault="00B13667">
      <w:pPr>
        <w:pStyle w:val="Default"/>
        <w:spacing w:line="360" w:lineRule="auto"/>
        <w:ind w:firstLine="460"/>
        <w:rPr>
          <w:rFonts w:ascii="宋体" w:eastAsia="宋体" w:cs="宋体"/>
          <w:color w:val="auto"/>
          <w:sz w:val="23"/>
          <w:szCs w:val="23"/>
        </w:rPr>
      </w:pPr>
      <w:r>
        <w:rPr>
          <w:rFonts w:ascii="宋体" w:eastAsia="宋体" w:cs="宋体" w:hint="eastAsia"/>
          <w:color w:val="auto"/>
          <w:sz w:val="23"/>
          <w:szCs w:val="23"/>
        </w:rPr>
        <w:t>根据《中华人民共和国证券投资基金法》、《公开募集证券投资基金运作管理办法》、《金元顺安核心动力混合型证券投资基金基金合同》（以下简称</w:t>
      </w:r>
      <w:r>
        <w:rPr>
          <w:rFonts w:ascii="宋体" w:eastAsia="宋体" w:cs="宋体"/>
          <w:color w:val="auto"/>
          <w:sz w:val="23"/>
          <w:szCs w:val="23"/>
        </w:rPr>
        <w:t>“</w:t>
      </w:r>
      <w:r>
        <w:rPr>
          <w:rFonts w:ascii="宋体" w:eastAsia="宋体" w:cs="宋体" w:hint="eastAsia"/>
          <w:color w:val="auto"/>
          <w:sz w:val="23"/>
          <w:szCs w:val="23"/>
        </w:rPr>
        <w:t>《基金合同》</w:t>
      </w:r>
      <w:r>
        <w:rPr>
          <w:rFonts w:ascii="宋体" w:eastAsia="宋体" w:cs="宋体"/>
          <w:color w:val="auto"/>
          <w:sz w:val="23"/>
          <w:szCs w:val="23"/>
        </w:rPr>
        <w:t>”</w:t>
      </w:r>
      <w:r>
        <w:rPr>
          <w:rFonts w:ascii="宋体" w:eastAsia="宋体" w:cs="宋体" w:hint="eastAsia"/>
          <w:color w:val="auto"/>
          <w:sz w:val="23"/>
          <w:szCs w:val="23"/>
        </w:rPr>
        <w:t>）的有关规定，《基金合同》生效后，连续</w:t>
      </w:r>
      <w:r>
        <w:rPr>
          <w:rFonts w:ascii="宋体" w:eastAsia="宋体" w:cs="宋体"/>
          <w:color w:val="auto"/>
          <w:sz w:val="23"/>
          <w:szCs w:val="23"/>
        </w:rPr>
        <w:t>60</w:t>
      </w:r>
      <w:r>
        <w:rPr>
          <w:rFonts w:ascii="宋体" w:eastAsia="宋体" w:cs="宋体" w:hint="eastAsia"/>
          <w:color w:val="auto"/>
          <w:sz w:val="23"/>
          <w:szCs w:val="23"/>
        </w:rPr>
        <w:t>个工作日出现基金资产净值低于5,000万情形的，基金合同应当终止并按照约定进入清算程序，无需召开基金份额持有人大会进行表决。根据《关于金元顺安核心动力混合型证券投资基金基金合同终止及基金财产清算的公告》及《基金合同》，本基金最后运作日为</w:t>
      </w:r>
      <w:r>
        <w:rPr>
          <w:rFonts w:ascii="宋体" w:eastAsia="宋体" w:cs="宋体"/>
          <w:color w:val="auto"/>
          <w:sz w:val="23"/>
          <w:szCs w:val="23"/>
        </w:rPr>
        <w:t>2018</w:t>
      </w:r>
      <w:r>
        <w:rPr>
          <w:rFonts w:ascii="宋体" w:eastAsia="宋体" w:cs="宋体" w:hint="eastAsia"/>
          <w:color w:val="auto"/>
          <w:sz w:val="23"/>
          <w:szCs w:val="23"/>
        </w:rPr>
        <w:t>年8月21日，于</w:t>
      </w:r>
      <w:r>
        <w:rPr>
          <w:rFonts w:ascii="宋体" w:eastAsia="宋体" w:cs="宋体"/>
          <w:color w:val="auto"/>
          <w:sz w:val="23"/>
          <w:szCs w:val="23"/>
        </w:rPr>
        <w:t>2018</w:t>
      </w:r>
      <w:r>
        <w:rPr>
          <w:rFonts w:ascii="宋体" w:eastAsia="宋体" w:cs="宋体" w:hint="eastAsia"/>
          <w:color w:val="auto"/>
          <w:sz w:val="23"/>
          <w:szCs w:val="23"/>
        </w:rPr>
        <w:t>年8月22日起进入清算期。</w:t>
      </w:r>
    </w:p>
    <w:p w:rsidR="009A2288" w:rsidRDefault="00B13667">
      <w:pPr>
        <w:pStyle w:val="Default"/>
        <w:spacing w:line="360" w:lineRule="auto"/>
        <w:ind w:firstLine="460"/>
        <w:rPr>
          <w:rFonts w:cstheme="minorBidi"/>
          <w:color w:val="auto"/>
        </w:rPr>
      </w:pPr>
      <w:r>
        <w:rPr>
          <w:rFonts w:ascii="宋体" w:eastAsia="宋体" w:cs="宋体" w:hint="eastAsia"/>
          <w:color w:val="auto"/>
          <w:sz w:val="23"/>
          <w:szCs w:val="23"/>
        </w:rPr>
        <w:t>基金管理人、基金托管人、安永华明会计师事务所（特殊普通合伙）和通力律师事务所于</w:t>
      </w:r>
      <w:r>
        <w:rPr>
          <w:rFonts w:ascii="宋体" w:eastAsia="宋体" w:cs="宋体"/>
          <w:color w:val="auto"/>
          <w:sz w:val="23"/>
          <w:szCs w:val="23"/>
        </w:rPr>
        <w:t>2018</w:t>
      </w:r>
      <w:r>
        <w:rPr>
          <w:rFonts w:ascii="宋体" w:eastAsia="宋体" w:cs="宋体" w:hint="eastAsia"/>
          <w:color w:val="auto"/>
          <w:sz w:val="23"/>
          <w:szCs w:val="23"/>
        </w:rPr>
        <w:t>年8月22日组成基金财产清算小组履行基金财产清算程序，并由安永华明会计师事务所（特殊普通合伙）对本基金进行清算审计，通力律师事务所对清算报告出具法律意见。</w:t>
      </w:r>
    </w:p>
    <w:p w:rsidR="009A2288" w:rsidRDefault="00B13667">
      <w:pPr>
        <w:pStyle w:val="Default"/>
        <w:rPr>
          <w:rFonts w:ascii="宋体" w:eastAsia="宋体" w:cs="宋体"/>
          <w:color w:val="auto"/>
          <w:sz w:val="28"/>
          <w:szCs w:val="28"/>
        </w:rPr>
      </w:pPr>
      <w:r>
        <w:rPr>
          <w:rFonts w:ascii="宋体" w:eastAsia="宋体" w:cs="宋体" w:hint="eastAsia"/>
          <w:b/>
          <w:color w:val="auto"/>
          <w:sz w:val="28"/>
          <w:szCs w:val="28"/>
        </w:rPr>
        <w:t>二、基金概况</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1</w:t>
      </w:r>
      <w:r>
        <w:rPr>
          <w:rFonts w:ascii="宋体" w:eastAsia="宋体" w:cs="宋体" w:hint="eastAsia"/>
          <w:color w:val="auto"/>
          <w:sz w:val="23"/>
          <w:szCs w:val="23"/>
        </w:rPr>
        <w:t>、基金名称：金元顺安核心动力混合型证券投资基金</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2</w:t>
      </w:r>
      <w:r>
        <w:rPr>
          <w:rFonts w:ascii="宋体" w:eastAsia="宋体" w:cs="宋体" w:hint="eastAsia"/>
          <w:color w:val="auto"/>
          <w:sz w:val="23"/>
          <w:szCs w:val="23"/>
        </w:rPr>
        <w:t>、基金简称：金元顺安核心动力混合</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3</w:t>
      </w:r>
      <w:r>
        <w:rPr>
          <w:rFonts w:ascii="宋体" w:eastAsia="宋体" w:cs="宋体" w:hint="eastAsia"/>
          <w:color w:val="auto"/>
          <w:sz w:val="23"/>
          <w:szCs w:val="23"/>
        </w:rPr>
        <w:t>、基金代码：620005</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4</w:t>
      </w:r>
      <w:r>
        <w:rPr>
          <w:rFonts w:ascii="宋体" w:eastAsia="宋体" w:cs="宋体" w:hint="eastAsia"/>
          <w:color w:val="auto"/>
          <w:sz w:val="23"/>
          <w:szCs w:val="23"/>
        </w:rPr>
        <w:t>、基金运作方式：契约型开放式</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5</w:t>
      </w:r>
      <w:r>
        <w:rPr>
          <w:rFonts w:ascii="宋体" w:eastAsia="宋体" w:cs="宋体" w:hint="eastAsia"/>
          <w:color w:val="auto"/>
          <w:sz w:val="23"/>
          <w:szCs w:val="23"/>
        </w:rPr>
        <w:t>、基金合同生效日：</w:t>
      </w:r>
      <w:r>
        <w:rPr>
          <w:rFonts w:ascii="宋体" w:eastAsia="宋体" w:cs="宋体"/>
          <w:color w:val="auto"/>
          <w:sz w:val="23"/>
          <w:szCs w:val="23"/>
        </w:rPr>
        <w:t>201</w:t>
      </w:r>
      <w:r>
        <w:rPr>
          <w:rFonts w:ascii="宋体" w:eastAsia="宋体" w:cs="宋体" w:hint="eastAsia"/>
          <w:color w:val="auto"/>
          <w:sz w:val="23"/>
          <w:szCs w:val="23"/>
        </w:rPr>
        <w:t>0年2月11日</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6</w:t>
      </w:r>
      <w:r>
        <w:rPr>
          <w:rFonts w:ascii="宋体" w:eastAsia="宋体" w:cs="宋体" w:hint="eastAsia"/>
          <w:color w:val="auto"/>
          <w:sz w:val="23"/>
          <w:szCs w:val="23"/>
        </w:rPr>
        <w:t>、最后运作日（</w:t>
      </w:r>
      <w:r>
        <w:rPr>
          <w:rFonts w:ascii="宋体" w:eastAsia="宋体" w:cs="宋体"/>
          <w:color w:val="auto"/>
          <w:sz w:val="23"/>
          <w:szCs w:val="23"/>
        </w:rPr>
        <w:t>2018</w:t>
      </w:r>
      <w:r>
        <w:rPr>
          <w:rFonts w:ascii="宋体" w:eastAsia="宋体" w:cs="宋体" w:hint="eastAsia"/>
          <w:color w:val="auto"/>
          <w:sz w:val="23"/>
          <w:szCs w:val="23"/>
        </w:rPr>
        <w:t>年8月21日）基金份额总额：</w:t>
      </w:r>
      <w:r>
        <w:rPr>
          <w:rFonts w:ascii="宋体" w:eastAsia="宋体" w:cs="宋体"/>
          <w:color w:val="auto"/>
          <w:sz w:val="23"/>
          <w:szCs w:val="23"/>
        </w:rPr>
        <w:t>36,823,746.99</w:t>
      </w:r>
      <w:r>
        <w:rPr>
          <w:rFonts w:ascii="宋体" w:eastAsia="宋体" w:cs="宋体" w:hint="eastAsia"/>
          <w:color w:val="auto"/>
          <w:sz w:val="23"/>
          <w:szCs w:val="23"/>
        </w:rPr>
        <w:t>份</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7</w:t>
      </w:r>
      <w:r>
        <w:rPr>
          <w:rFonts w:ascii="宋体" w:eastAsia="宋体" w:cs="宋体" w:hint="eastAsia"/>
          <w:color w:val="auto"/>
          <w:sz w:val="23"/>
          <w:szCs w:val="23"/>
        </w:rPr>
        <w:t>、基金管理人：金元顺安基金管理有限公司</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8</w:t>
      </w:r>
      <w:r>
        <w:rPr>
          <w:rFonts w:ascii="宋体" w:eastAsia="宋体" w:cs="宋体" w:hint="eastAsia"/>
          <w:color w:val="auto"/>
          <w:sz w:val="23"/>
          <w:szCs w:val="23"/>
        </w:rPr>
        <w:t>、基金托管人：中国工商银行股份有限公司</w:t>
      </w:r>
    </w:p>
    <w:p w:rsidR="009A2288" w:rsidRDefault="009A2288">
      <w:pPr>
        <w:pStyle w:val="Default"/>
        <w:rPr>
          <w:rFonts w:ascii="宋体" w:eastAsia="宋体" w:cs="宋体"/>
          <w:color w:val="auto"/>
          <w:sz w:val="23"/>
          <w:szCs w:val="23"/>
        </w:rPr>
      </w:pPr>
    </w:p>
    <w:p w:rsidR="009A2288" w:rsidRDefault="00B13667">
      <w:pPr>
        <w:pStyle w:val="Default"/>
        <w:rPr>
          <w:rFonts w:ascii="宋体" w:eastAsia="宋体" w:cs="宋体"/>
          <w:b/>
          <w:color w:val="auto"/>
          <w:sz w:val="28"/>
          <w:szCs w:val="28"/>
        </w:rPr>
      </w:pPr>
      <w:r>
        <w:rPr>
          <w:rFonts w:ascii="宋体" w:eastAsia="宋体" w:cs="宋体" w:hint="eastAsia"/>
          <w:b/>
          <w:color w:val="auto"/>
          <w:sz w:val="28"/>
          <w:szCs w:val="28"/>
        </w:rPr>
        <w:lastRenderedPageBreak/>
        <w:t>三、财务会计报告</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资产负债表</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会计主体：金元顺安核心动力混合型证券投资基金</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报告截止日：</w:t>
      </w:r>
      <w:r>
        <w:rPr>
          <w:rFonts w:ascii="宋体" w:eastAsia="宋体" w:cs="宋体"/>
          <w:color w:val="auto"/>
          <w:sz w:val="23"/>
          <w:szCs w:val="23"/>
        </w:rPr>
        <w:t>2018</w:t>
      </w:r>
      <w:r>
        <w:rPr>
          <w:rFonts w:ascii="宋体" w:eastAsia="宋体" w:cs="宋体" w:hint="eastAsia"/>
          <w:color w:val="auto"/>
          <w:sz w:val="23"/>
          <w:szCs w:val="23"/>
        </w:rPr>
        <w:t>年8月21日</w:t>
      </w:r>
    </w:p>
    <w:p w:rsidR="009A2288" w:rsidRDefault="00B13667">
      <w:pPr>
        <w:pStyle w:val="Default"/>
        <w:jc w:val="right"/>
        <w:rPr>
          <w:rFonts w:ascii="宋体" w:eastAsia="宋体" w:cs="宋体"/>
          <w:color w:val="2C2C2C"/>
          <w:sz w:val="21"/>
          <w:szCs w:val="21"/>
        </w:rPr>
      </w:pPr>
      <w:r>
        <w:rPr>
          <w:rFonts w:ascii="宋体" w:eastAsia="宋体" w:cs="宋体" w:hint="eastAsia"/>
          <w:color w:val="2C2C2C"/>
          <w:sz w:val="21"/>
          <w:szCs w:val="21"/>
        </w:rPr>
        <w:t>单位：人民币元</w:t>
      </w:r>
    </w:p>
    <w:tbl>
      <w:tblPr>
        <w:tblW w:w="8379" w:type="dxa"/>
        <w:tblInd w:w="93" w:type="dxa"/>
        <w:tblLayout w:type="fixed"/>
        <w:tblLook w:val="04A0"/>
      </w:tblPr>
      <w:tblGrid>
        <w:gridCol w:w="2709"/>
        <w:gridCol w:w="5670"/>
      </w:tblGrid>
      <w:tr w:rsidR="009A2288">
        <w:trPr>
          <w:trHeight w:val="364"/>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tcPr>
          <w:p w:rsidR="009A2288" w:rsidRDefault="009A2288">
            <w:pPr>
              <w:widowControl/>
              <w:jc w:val="center"/>
              <w:rPr>
                <w:rFonts w:ascii="宋体" w:eastAsia="宋体" w:hAnsi="宋体" w:cs="宋体"/>
                <w:b/>
                <w:kern w:val="0"/>
                <w:szCs w:val="21"/>
              </w:rPr>
            </w:pPr>
          </w:p>
        </w:tc>
        <w:tc>
          <w:tcPr>
            <w:tcW w:w="5670" w:type="dxa"/>
            <w:tcBorders>
              <w:top w:val="single" w:sz="4" w:space="0" w:color="auto"/>
              <w:left w:val="nil"/>
              <w:bottom w:val="single" w:sz="4" w:space="0" w:color="auto"/>
              <w:right w:val="single" w:sz="4" w:space="0" w:color="auto"/>
            </w:tcBorders>
            <w:shd w:val="clear" w:color="auto" w:fill="auto"/>
            <w:vAlign w:val="bottom"/>
          </w:tcPr>
          <w:p w:rsidR="009A2288" w:rsidRDefault="00B13667">
            <w:pPr>
              <w:widowControl/>
              <w:jc w:val="center"/>
              <w:rPr>
                <w:rFonts w:ascii="宋体" w:eastAsia="宋体" w:hAnsi="宋体" w:cs="宋体"/>
                <w:b/>
                <w:kern w:val="0"/>
                <w:szCs w:val="21"/>
              </w:rPr>
            </w:pPr>
            <w:r>
              <w:rPr>
                <w:rFonts w:ascii="宋体" w:eastAsia="宋体" w:hAnsi="宋体" w:cs="宋体" w:hint="eastAsia"/>
                <w:b/>
                <w:kern w:val="0"/>
                <w:szCs w:val="21"/>
              </w:rPr>
              <w:t>最后运作日2018年8月21日</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b/>
                <w:kern w:val="0"/>
                <w:szCs w:val="21"/>
              </w:rPr>
            </w:pPr>
            <w:r>
              <w:rPr>
                <w:rFonts w:ascii="宋体" w:eastAsia="宋体" w:hAnsi="宋体" w:cs="宋体" w:hint="eastAsia"/>
                <w:b/>
                <w:kern w:val="0"/>
                <w:szCs w:val="21"/>
              </w:rPr>
              <w:t>资产：</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b/>
                <w:kern w:val="0"/>
                <w:szCs w:val="21"/>
              </w:rPr>
            </w:pPr>
            <w:r>
              <w:rPr>
                <w:rFonts w:ascii="宋体" w:eastAsia="宋体" w:hAnsi="宋体" w:cs="宋体" w:hint="eastAsia"/>
                <w:b/>
                <w:kern w:val="0"/>
                <w:szCs w:val="21"/>
              </w:rPr>
              <w:t xml:space="preserve">　</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银行存款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6,397,868.42</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结算备付金</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存出保证金</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44,904.65</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交易性金融资产</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26,279,895.23</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其中：股票投资</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26,279,895.23</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基金投资</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债券投资</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资产支持证券投资</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衍生金融资产</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买入返售金融资产</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应收证券清算款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应收利息</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7,508.21</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应收股利</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应收申购款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3,351.55</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bottom"/>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其他资产</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资产总计</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32,733,528.06</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b/>
                <w:kern w:val="0"/>
                <w:szCs w:val="21"/>
              </w:rPr>
            </w:pPr>
            <w:r>
              <w:rPr>
                <w:rFonts w:ascii="宋体" w:eastAsia="宋体" w:hAnsi="宋体" w:cs="宋体" w:hint="eastAsia"/>
                <w:b/>
                <w:kern w:val="0"/>
                <w:szCs w:val="21"/>
              </w:rPr>
              <w:t>负债：</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b/>
                <w:kern w:val="0"/>
                <w:szCs w:val="21"/>
              </w:rPr>
            </w:pPr>
            <w:r>
              <w:rPr>
                <w:rFonts w:ascii="宋体" w:eastAsia="宋体" w:hAnsi="宋体" w:cs="宋体" w:hint="eastAsia"/>
                <w:b/>
                <w:kern w:val="0"/>
                <w:szCs w:val="21"/>
              </w:rPr>
              <w:t xml:space="preserve">　</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短期借款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交易性金融负债</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衍生金融负债</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卖出回购金融资产款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应付证券清算款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应付赎回款</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3,192.32</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应付管理人报酬</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15,735.14</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应付托管费</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4,917.21</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应付销售服务费</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应付交易费用</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1,099.07</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应交税费</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应付利息</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应付利润</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0.00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其他负债</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155,296.66</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负债合计</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180,240.40</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b/>
                <w:kern w:val="0"/>
                <w:szCs w:val="21"/>
              </w:rPr>
            </w:pPr>
            <w:r>
              <w:rPr>
                <w:rFonts w:ascii="宋体" w:eastAsia="宋体" w:hAnsi="宋体" w:cs="宋体" w:hint="eastAsia"/>
                <w:b/>
                <w:kern w:val="0"/>
                <w:szCs w:val="21"/>
              </w:rPr>
              <w:t>所有者权益：</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b/>
                <w:kern w:val="0"/>
                <w:szCs w:val="21"/>
              </w:rPr>
            </w:pPr>
            <w:r>
              <w:rPr>
                <w:rFonts w:ascii="宋体" w:eastAsia="宋体" w:hAnsi="宋体" w:cs="宋体" w:hint="eastAsia"/>
                <w:b/>
                <w:kern w:val="0"/>
                <w:szCs w:val="21"/>
              </w:rPr>
              <w:t xml:space="preserve">　</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kern w:val="0"/>
                <w:szCs w:val="21"/>
              </w:rPr>
              <w:t>实收基金</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36,823,746.99</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kern w:val="0"/>
                <w:szCs w:val="21"/>
              </w:rPr>
              <w:t>未分配利润</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-4,270,459.33</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kern w:val="0"/>
                <w:szCs w:val="21"/>
              </w:rPr>
              <w:t>所有者权益合计</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32,553,287.66</w:t>
            </w:r>
          </w:p>
        </w:tc>
      </w:tr>
      <w:tr w:rsidR="009A2288">
        <w:trPr>
          <w:trHeight w:val="364"/>
        </w:trPr>
        <w:tc>
          <w:tcPr>
            <w:tcW w:w="2709" w:type="dxa"/>
            <w:tcBorders>
              <w:top w:val="nil"/>
              <w:left w:val="single" w:sz="4" w:space="0" w:color="auto"/>
              <w:bottom w:val="single" w:sz="4" w:space="0" w:color="auto"/>
              <w:right w:val="single" w:sz="4" w:space="0" w:color="auto"/>
            </w:tcBorders>
            <w:shd w:val="clear" w:color="auto" w:fill="auto"/>
            <w:vAlign w:val="center"/>
          </w:tcPr>
          <w:p w:rsidR="009A2288" w:rsidRDefault="00B13667">
            <w:pPr>
              <w:widowControl/>
              <w:jc w:val="left"/>
              <w:rPr>
                <w:rFonts w:ascii="宋体" w:eastAsia="宋体" w:hAnsi="宋体" w:cs="宋体"/>
                <w:kern w:val="0"/>
                <w:szCs w:val="21"/>
              </w:rPr>
            </w:pPr>
            <w:r>
              <w:rPr>
                <w:rFonts w:ascii="宋体" w:eastAsia="宋体" w:hAnsi="宋体" w:cs="宋体" w:hint="eastAsia"/>
                <w:kern w:val="0"/>
                <w:szCs w:val="21"/>
              </w:rPr>
              <w:t>负债和所有者权益总计</w:t>
            </w:r>
          </w:p>
        </w:tc>
        <w:tc>
          <w:tcPr>
            <w:tcW w:w="5670" w:type="dxa"/>
            <w:tcBorders>
              <w:top w:val="nil"/>
              <w:left w:val="nil"/>
              <w:bottom w:val="single" w:sz="4" w:space="0" w:color="auto"/>
              <w:right w:val="single" w:sz="4" w:space="0" w:color="auto"/>
            </w:tcBorders>
            <w:shd w:val="clear" w:color="auto" w:fill="auto"/>
            <w:vAlign w:val="center"/>
          </w:tcPr>
          <w:p w:rsidR="009A2288" w:rsidRDefault="00B13667">
            <w:pPr>
              <w:widowControl/>
              <w:jc w:val="right"/>
              <w:rPr>
                <w:rFonts w:ascii="宋体" w:eastAsia="宋体" w:hAnsi="宋体" w:cs="宋体"/>
                <w:kern w:val="0"/>
                <w:szCs w:val="21"/>
              </w:rPr>
            </w:pPr>
            <w:r>
              <w:rPr>
                <w:rFonts w:ascii="宋体" w:eastAsia="宋体" w:hAnsi="宋体" w:cs="宋体" w:hint="eastAsia"/>
                <w:kern w:val="0"/>
                <w:szCs w:val="21"/>
              </w:rPr>
              <w:t>32,733,528.06</w:t>
            </w:r>
          </w:p>
        </w:tc>
      </w:tr>
    </w:tbl>
    <w:p w:rsidR="009A2288" w:rsidRDefault="00B13667">
      <w:pPr>
        <w:pStyle w:val="Default"/>
        <w:rPr>
          <w:rFonts w:ascii="宋体" w:eastAsia="宋体" w:cs="宋体"/>
          <w:color w:val="2C2C2C"/>
          <w:sz w:val="18"/>
          <w:szCs w:val="18"/>
        </w:rPr>
      </w:pPr>
      <w:r>
        <w:rPr>
          <w:rFonts w:ascii="宋体" w:eastAsia="宋体" w:cs="宋体" w:hint="eastAsia"/>
          <w:color w:val="2C2C2C"/>
          <w:sz w:val="18"/>
          <w:szCs w:val="18"/>
        </w:rPr>
        <w:t>注：报告截止日2018年8月21日（基金最后运作日），基金份额净值0.884元，基金份额总额</w:t>
      </w:r>
      <w:r>
        <w:rPr>
          <w:rFonts w:ascii="宋体" w:eastAsia="宋体" w:cs="宋体"/>
          <w:color w:val="2C2C2C"/>
          <w:sz w:val="18"/>
          <w:szCs w:val="18"/>
        </w:rPr>
        <w:t>36,823,746.99</w:t>
      </w:r>
      <w:r>
        <w:rPr>
          <w:rFonts w:ascii="宋体" w:eastAsia="宋体" w:cs="宋体" w:hint="eastAsia"/>
          <w:color w:val="2C2C2C"/>
          <w:sz w:val="18"/>
          <w:szCs w:val="18"/>
        </w:rPr>
        <w:t>份。</w:t>
      </w:r>
    </w:p>
    <w:p w:rsidR="009A2288" w:rsidRDefault="009A2288">
      <w:pPr>
        <w:pStyle w:val="Default"/>
        <w:rPr>
          <w:rFonts w:ascii="宋体" w:eastAsia="宋体" w:cs="宋体"/>
          <w:color w:val="2C2C2C"/>
          <w:sz w:val="18"/>
          <w:szCs w:val="18"/>
        </w:rPr>
      </w:pPr>
    </w:p>
    <w:p w:rsidR="009A2288" w:rsidRDefault="00B13667">
      <w:pPr>
        <w:pStyle w:val="Default"/>
        <w:rPr>
          <w:rFonts w:ascii="宋体" w:eastAsia="宋体" w:cs="宋体"/>
          <w:b/>
          <w:color w:val="auto"/>
          <w:sz w:val="28"/>
          <w:szCs w:val="28"/>
        </w:rPr>
      </w:pPr>
      <w:r>
        <w:rPr>
          <w:rFonts w:ascii="宋体" w:eastAsia="宋体" w:cs="宋体" w:hint="eastAsia"/>
          <w:b/>
          <w:color w:val="auto"/>
          <w:sz w:val="28"/>
          <w:szCs w:val="28"/>
        </w:rPr>
        <w:t>四、清算事项说明</w:t>
      </w:r>
    </w:p>
    <w:p w:rsidR="009A2288" w:rsidRDefault="00B1366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1、</w:t>
      </w:r>
      <w:r>
        <w:rPr>
          <w:rFonts w:asciiTheme="minorEastAsia" w:hAnsiTheme="minorEastAsia" w:cs="宋体"/>
          <w:color w:val="2C2C2C"/>
          <w:sz w:val="22"/>
          <w:szCs w:val="22"/>
        </w:rPr>
        <w:t>基金基本情况</w:t>
      </w:r>
    </w:p>
    <w:p w:rsidR="009A2288" w:rsidRDefault="00B1366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金元顺安核心动力混合型证券投资基金(原名为金元比联核心动力股票型证券投资基金，以下简称“本基金”)，系经中国证券监督管理委员会（以下简称“中国证监会”）证监许可[2009]1424号文《关于核准金元比联核心动力股票型证券投资基金募集的批复》的核准，由基金管理人金元比联基金管理有限公司(系金元顺安基金管理有限公司的前身)向社会公开发行募集，基金合同于2010年2月11日正式生效，首次设立募集规模为436,884,917.98份基金份额。本基金为契约型开放式，存续期限不定。本基金的基金管理人和注册登记机构均为金元顺安基金管理有限公司，基金托管人为中国工商银行股份有限公司。</w:t>
      </w:r>
    </w:p>
    <w:p w:rsidR="009A2288" w:rsidRDefault="00B1366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本基金的投资范围为具有良好流动性的金融工具，包括国内依法发行上市的股票、债券、同业存单、货币市场工具、权证、资产支持证券以及法律法规或中国证监会允许基金投资的其他金融工具。本基金投资组合中股票投资比例为股票资产占基金资产的60%－95%。债券资产、现金资产以及中国证监会允许基金投资的其他证券品种占基金资产的5%－40%，其中基金保留的现金或投资于到期日在一年以内的政府债券的比例不低于基金资产净值的5%，其中，现金资产不包括结算备付金、存出保证金、应收申购款等。</w:t>
      </w:r>
    </w:p>
    <w:p w:rsidR="009A2288" w:rsidRDefault="00B1366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本基金的业绩比较基准为：沪深300指数收益率×80%+中国债券总指数收益率×20%。</w:t>
      </w:r>
    </w:p>
    <w:p w:rsidR="009A2288" w:rsidRDefault="00B13667">
      <w:pPr>
        <w:pStyle w:val="Default"/>
        <w:spacing w:line="360" w:lineRule="auto"/>
        <w:ind w:firstLineChars="200" w:firstLine="440"/>
        <w:rPr>
          <w:rFonts w:asciiTheme="minorEastAsia" w:hAnsiTheme="minorEastAsia" w:cs="宋体"/>
          <w:color w:val="2C2C2C"/>
          <w:sz w:val="22"/>
          <w:szCs w:val="22"/>
        </w:rPr>
      </w:pPr>
      <w:r>
        <w:rPr>
          <w:rFonts w:asciiTheme="minorEastAsia" w:hAnsiTheme="minorEastAsia" w:cs="宋体" w:hint="eastAsia"/>
          <w:color w:val="2C2C2C"/>
          <w:sz w:val="22"/>
          <w:szCs w:val="22"/>
        </w:rPr>
        <w:t>根据《金元顺安核心动力混合型证券投资基金基金合同终止及基金财产清算的公告》，自2018年8月22日起，本基金进入清算程序。本基金进入清算程序后，不再办理申购、赎回等业务，同时不再收取基金管理费和基金托管费。</w:t>
      </w:r>
    </w:p>
    <w:p w:rsidR="009A2288" w:rsidRDefault="00B1366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2、清算原因</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根据《金元顺安核心动力混合型证券投资基金基金合同》（以下简称“《基金合同》”）“第三部分基金的历史沿革与存续”中，“《基金合同》生效后，连续20个工作日出现基金份额持有人数量不满200人或者基金资产净值低于人民币5,000万元的，基金管理人应当在定期报告中予以披露；连续60个工作日出现基金份额持有人达不到200人，基金资产净值低于人民币5,000万元情形的，基金合同应当终止并按照约定进入清算程序，无需召开基金份额持有人大会进行表决。法律法规另有规定时，从其规定。”的条款以及《基金合同》“第十七部分基金合同的变更、终止与基金财产的清算”的有关规定，截至2018年8月21日，本基金已出现连续60个工作日基金资产净值低于人民币5,000万元的情形，已触发《基金合同》中约定的本基金终止条款。根据《基金合同》有关规定，无需召开基金份额持有人大会，本基金将终止并依据基金财产清算程序进行财产清算。</w:t>
      </w:r>
    </w:p>
    <w:p w:rsidR="009A2288" w:rsidRDefault="00B13667">
      <w:pPr>
        <w:pStyle w:val="Default"/>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3、清算起始日</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根据《金元顺安核心动力混合型证券投资基金基金合同终止及基金财产清算的公告》，自2018年8月22日起，本基金进入清算程序。由于本基金持有的流通受限股票无法确定变现时间，本基金计划进行了三次清算，其中第一次清算期间为2018年8月22日至2018年9月12日，第二次清算期间为2018年9月13日至2018年11月14日，第三次清算期间为2018年11月15日至2019年7月24日。</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4、清算报表编制基础</w:t>
      </w:r>
    </w:p>
    <w:p w:rsidR="009A2288" w:rsidRDefault="00B13667">
      <w:pPr>
        <w:pStyle w:val="Default"/>
        <w:spacing w:line="360" w:lineRule="auto"/>
        <w:ind w:firstLine="460"/>
        <w:rPr>
          <w:rFonts w:ascii="宋体" w:eastAsia="宋体" w:cs="宋体"/>
          <w:color w:val="auto"/>
          <w:sz w:val="23"/>
          <w:szCs w:val="23"/>
        </w:rPr>
      </w:pPr>
      <w:r>
        <w:rPr>
          <w:rFonts w:ascii="宋体" w:eastAsia="宋体" w:cs="宋体" w:hint="eastAsia"/>
          <w:color w:val="auto"/>
          <w:sz w:val="23"/>
          <w:szCs w:val="23"/>
        </w:rPr>
        <w:t>本基金的清算报表是在非持续经营的前提下参考《企业会计准则》及《证券投资基金会计核算业务指引》的有关规定编制的。自本基金终止日起，资产负债按清算价格计价。由于报告性质所致，本清算报表为截至本基金终止日的资产负债表，并无比较期间的相关数据列示。</w:t>
      </w:r>
    </w:p>
    <w:p w:rsidR="009A2288" w:rsidRDefault="009A2288">
      <w:pPr>
        <w:pStyle w:val="Default"/>
        <w:spacing w:line="360" w:lineRule="auto"/>
        <w:ind w:firstLine="460"/>
        <w:rPr>
          <w:rFonts w:ascii="宋体" w:eastAsia="宋体" w:cs="宋体"/>
          <w:color w:val="auto"/>
          <w:sz w:val="23"/>
          <w:szCs w:val="23"/>
        </w:rPr>
      </w:pPr>
    </w:p>
    <w:p w:rsidR="009A2288" w:rsidRDefault="00B13667">
      <w:pPr>
        <w:pStyle w:val="Default"/>
        <w:rPr>
          <w:rFonts w:ascii="宋体" w:eastAsia="宋体" w:cs="宋体"/>
          <w:b/>
          <w:color w:val="auto"/>
          <w:sz w:val="28"/>
          <w:szCs w:val="28"/>
        </w:rPr>
      </w:pPr>
      <w:r>
        <w:rPr>
          <w:rFonts w:ascii="宋体" w:eastAsia="宋体" w:cs="宋体" w:hint="eastAsia"/>
          <w:b/>
          <w:color w:val="auto"/>
          <w:sz w:val="28"/>
          <w:szCs w:val="28"/>
        </w:rPr>
        <w:t>五、清算情况</w:t>
      </w:r>
    </w:p>
    <w:p w:rsidR="009A2288" w:rsidRDefault="00B13667">
      <w:pPr>
        <w:pStyle w:val="Default"/>
        <w:spacing w:line="360" w:lineRule="auto"/>
        <w:ind w:firstLineChars="200" w:firstLine="460"/>
        <w:rPr>
          <w:rFonts w:ascii="宋体" w:eastAsia="宋体" w:cs="宋体"/>
          <w:color w:val="auto"/>
          <w:sz w:val="23"/>
          <w:szCs w:val="23"/>
        </w:rPr>
      </w:pPr>
      <w:r>
        <w:rPr>
          <w:rFonts w:ascii="宋体" w:eastAsia="宋体" w:cs="宋体" w:hint="eastAsia"/>
          <w:color w:val="auto"/>
          <w:sz w:val="23"/>
          <w:szCs w:val="23"/>
        </w:rPr>
        <w:t>本基金的第三次清算期为2018年11月15日至2019年7月24日止。在此期间，基金财产清算小组对本基金的资产、负债进行第三次清算，全部清算工作按清算原则和清算手续进行。具体清算情况如下：</w:t>
      </w:r>
    </w:p>
    <w:p w:rsidR="009A2288" w:rsidRDefault="00B13667">
      <w:pPr>
        <w:pStyle w:val="Default"/>
        <w:spacing w:line="360" w:lineRule="auto"/>
        <w:ind w:firstLineChars="200" w:firstLine="460"/>
        <w:rPr>
          <w:rFonts w:ascii="宋体" w:eastAsia="宋体" w:cs="宋体"/>
          <w:color w:val="auto"/>
          <w:sz w:val="23"/>
          <w:szCs w:val="23"/>
        </w:rPr>
      </w:pPr>
      <w:r>
        <w:rPr>
          <w:rFonts w:ascii="宋体" w:eastAsia="宋体" w:cs="宋体"/>
          <w:color w:val="auto"/>
          <w:sz w:val="23"/>
          <w:szCs w:val="23"/>
        </w:rPr>
        <w:t>1、</w:t>
      </w:r>
      <w:r>
        <w:rPr>
          <w:rFonts w:ascii="宋体" w:eastAsia="宋体" w:cs="宋体"/>
          <w:color w:val="auto"/>
          <w:sz w:val="23"/>
          <w:szCs w:val="23"/>
        </w:rPr>
        <w:tab/>
        <w:t>资产处置情况</w:t>
      </w:r>
    </w:p>
    <w:p w:rsidR="009A2288" w:rsidRDefault="00B1366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截止201</w:t>
      </w:r>
      <w:r>
        <w:rPr>
          <w:rFonts w:ascii="宋体" w:eastAsia="宋体" w:cs="宋体"/>
          <w:color w:val="auto"/>
          <w:sz w:val="23"/>
          <w:szCs w:val="23"/>
        </w:rPr>
        <w:t>8</w:t>
      </w:r>
      <w:r>
        <w:rPr>
          <w:rFonts w:ascii="宋体" w:eastAsia="宋体" w:cs="宋体" w:hint="eastAsia"/>
          <w:color w:val="auto"/>
          <w:sz w:val="23"/>
          <w:szCs w:val="23"/>
        </w:rPr>
        <w:t>年11月</w:t>
      </w:r>
      <w:r>
        <w:rPr>
          <w:rFonts w:ascii="宋体" w:eastAsia="宋体" w:cs="宋体"/>
          <w:color w:val="auto"/>
          <w:sz w:val="23"/>
          <w:szCs w:val="23"/>
        </w:rPr>
        <w:t>1</w:t>
      </w:r>
      <w:r>
        <w:rPr>
          <w:rFonts w:ascii="宋体" w:eastAsia="宋体" w:cs="宋体" w:hint="eastAsia"/>
          <w:color w:val="auto"/>
          <w:sz w:val="23"/>
          <w:szCs w:val="23"/>
        </w:rPr>
        <w:t>4日</w:t>
      </w:r>
      <w:r>
        <w:rPr>
          <w:rFonts w:ascii="宋体" w:eastAsia="宋体" w:cs="宋体"/>
          <w:color w:val="auto"/>
          <w:sz w:val="23"/>
          <w:szCs w:val="23"/>
        </w:rPr>
        <w:t>，</w:t>
      </w:r>
      <w:r>
        <w:rPr>
          <w:rFonts w:ascii="宋体" w:eastAsia="宋体" w:cs="宋体" w:hint="eastAsia"/>
          <w:color w:val="auto"/>
          <w:sz w:val="23"/>
          <w:szCs w:val="23"/>
        </w:rPr>
        <w:t>本基金</w:t>
      </w:r>
      <w:r>
        <w:rPr>
          <w:rFonts w:ascii="宋体" w:eastAsia="宋体" w:cs="宋体"/>
          <w:color w:val="auto"/>
          <w:sz w:val="23"/>
          <w:szCs w:val="23"/>
        </w:rPr>
        <w:t>银行存款余额为人民币32,481,464.02</w:t>
      </w:r>
      <w:r>
        <w:rPr>
          <w:rFonts w:ascii="宋体" w:eastAsia="宋体" w:cs="宋体" w:hint="eastAsia"/>
          <w:color w:val="auto"/>
          <w:sz w:val="23"/>
          <w:szCs w:val="23"/>
        </w:rPr>
        <w:t>元，结算备付金及存出保证金均无余额，201</w:t>
      </w:r>
      <w:r>
        <w:rPr>
          <w:rFonts w:ascii="宋体" w:eastAsia="宋体" w:cs="宋体"/>
          <w:color w:val="auto"/>
          <w:sz w:val="23"/>
          <w:szCs w:val="23"/>
        </w:rPr>
        <w:t>8</w:t>
      </w:r>
      <w:r>
        <w:rPr>
          <w:rFonts w:ascii="宋体" w:eastAsia="宋体" w:cs="宋体" w:hint="eastAsia"/>
          <w:color w:val="auto"/>
          <w:sz w:val="23"/>
          <w:szCs w:val="23"/>
        </w:rPr>
        <w:t>年11月15日</w:t>
      </w:r>
      <w:r>
        <w:rPr>
          <w:rFonts w:ascii="宋体" w:eastAsia="宋体" w:cs="宋体"/>
          <w:color w:val="auto"/>
          <w:sz w:val="23"/>
          <w:szCs w:val="23"/>
        </w:rPr>
        <w:t>至</w:t>
      </w:r>
      <w:r>
        <w:rPr>
          <w:rFonts w:ascii="宋体" w:eastAsia="宋体" w:cs="宋体" w:hint="eastAsia"/>
          <w:color w:val="auto"/>
          <w:sz w:val="23"/>
          <w:szCs w:val="23"/>
        </w:rPr>
        <w:t>2019年7月24日</w:t>
      </w:r>
      <w:r>
        <w:rPr>
          <w:rFonts w:ascii="宋体" w:eastAsia="宋体" w:cs="宋体"/>
          <w:color w:val="auto"/>
          <w:sz w:val="23"/>
          <w:szCs w:val="23"/>
        </w:rPr>
        <w:t>的</w:t>
      </w:r>
      <w:r>
        <w:rPr>
          <w:rFonts w:ascii="宋体" w:eastAsia="宋体" w:cs="宋体" w:hint="eastAsia"/>
          <w:color w:val="auto"/>
          <w:sz w:val="23"/>
          <w:szCs w:val="23"/>
        </w:rPr>
        <w:t>银行</w:t>
      </w:r>
      <w:r>
        <w:rPr>
          <w:rFonts w:ascii="宋体" w:eastAsia="宋体" w:cs="宋体"/>
          <w:color w:val="auto"/>
          <w:sz w:val="23"/>
          <w:szCs w:val="23"/>
        </w:rPr>
        <w:t>存款</w:t>
      </w:r>
      <w:r>
        <w:rPr>
          <w:rFonts w:ascii="宋体" w:eastAsia="宋体" w:cs="宋体" w:hint="eastAsia"/>
          <w:color w:val="auto"/>
          <w:sz w:val="23"/>
          <w:szCs w:val="23"/>
        </w:rPr>
        <w:t>余额</w:t>
      </w:r>
      <w:r>
        <w:rPr>
          <w:rFonts w:ascii="宋体" w:eastAsia="宋体" w:cs="宋体"/>
          <w:color w:val="auto"/>
          <w:sz w:val="23"/>
          <w:szCs w:val="23"/>
        </w:rPr>
        <w:t>变动情况如下：</w:t>
      </w:r>
    </w:p>
    <w:p w:rsidR="009A2288" w:rsidRDefault="00B13667">
      <w:pPr>
        <w:pStyle w:val="Default"/>
        <w:spacing w:line="360" w:lineRule="auto"/>
        <w:ind w:left="460"/>
        <w:jc w:val="right"/>
        <w:rPr>
          <w:rFonts w:ascii="宋体" w:eastAsia="宋体" w:cs="宋体"/>
          <w:color w:val="auto"/>
          <w:sz w:val="23"/>
          <w:szCs w:val="23"/>
        </w:rPr>
      </w:pPr>
      <w:r>
        <w:rPr>
          <w:rFonts w:ascii="宋体" w:eastAsia="宋体" w:cs="宋体" w:hint="eastAsia"/>
          <w:color w:val="auto"/>
          <w:sz w:val="18"/>
          <w:szCs w:val="18"/>
        </w:rPr>
        <w:t>单位：人民币元</w:t>
      </w:r>
    </w:p>
    <w:tbl>
      <w:tblPr>
        <w:tblW w:w="7983" w:type="dxa"/>
        <w:jc w:val="center"/>
        <w:tblInd w:w="959" w:type="dxa"/>
        <w:tblLayout w:type="fixed"/>
        <w:tblLook w:val="04A0"/>
      </w:tblPr>
      <w:tblGrid>
        <w:gridCol w:w="2223"/>
        <w:gridCol w:w="3580"/>
        <w:gridCol w:w="2180"/>
      </w:tblGrid>
      <w:tr w:rsidR="009A2288">
        <w:trPr>
          <w:trHeight w:val="310"/>
          <w:jc w:val="center"/>
        </w:trPr>
        <w:tc>
          <w:tcPr>
            <w:tcW w:w="2223" w:type="dxa"/>
            <w:noWrap/>
          </w:tcPr>
          <w:p w:rsidR="009A2288" w:rsidRDefault="00B13667">
            <w:pPr>
              <w:overflowPunct w:val="0"/>
              <w:autoSpaceDE w:val="0"/>
              <w:autoSpaceDN w:val="0"/>
              <w:snapToGrid w:val="0"/>
              <w:ind w:left="34"/>
              <w:rPr>
                <w:rFonts w:asciiTheme="minorEastAsia" w:hAnsiTheme="minorEastAsia" w:cstheme="minorEastAsia"/>
                <w:sz w:val="22"/>
              </w:rPr>
            </w:pPr>
            <w:r>
              <w:rPr>
                <w:rFonts w:asciiTheme="minorEastAsia" w:hAnsiTheme="minorEastAsia" w:cstheme="minorEastAsia" w:hint="eastAsia"/>
                <w:sz w:val="22"/>
              </w:rPr>
              <w:t>日期</w:t>
            </w:r>
          </w:p>
        </w:tc>
        <w:tc>
          <w:tcPr>
            <w:tcW w:w="3580" w:type="dxa"/>
            <w:noWrap/>
          </w:tcPr>
          <w:p w:rsidR="009A2288" w:rsidRDefault="00B13667">
            <w:pPr>
              <w:overflowPunct w:val="0"/>
              <w:autoSpaceDE w:val="0"/>
              <w:autoSpaceDN w:val="0"/>
              <w:snapToGrid w:val="0"/>
              <w:rPr>
                <w:rFonts w:asciiTheme="minorEastAsia" w:hAnsiTheme="minorEastAsia" w:cstheme="minorEastAsia"/>
                <w:sz w:val="22"/>
              </w:rPr>
            </w:pPr>
            <w:r>
              <w:rPr>
                <w:rFonts w:asciiTheme="minorEastAsia" w:hAnsiTheme="minorEastAsia" w:cstheme="minorEastAsia" w:hint="eastAsia"/>
                <w:sz w:val="22"/>
              </w:rPr>
              <w:t>流水</w:t>
            </w:r>
          </w:p>
        </w:tc>
        <w:tc>
          <w:tcPr>
            <w:tcW w:w="2180" w:type="dxa"/>
            <w:noWrap/>
          </w:tcPr>
          <w:p w:rsidR="009A2288" w:rsidRDefault="00B13667">
            <w:pPr>
              <w:overflowPunct w:val="0"/>
              <w:autoSpaceDE w:val="0"/>
              <w:autoSpaceDN w:val="0"/>
              <w:snapToGrid w:val="0"/>
              <w:jc w:val="right"/>
              <w:rPr>
                <w:rFonts w:asciiTheme="minorEastAsia" w:hAnsiTheme="minorEastAsia" w:cstheme="minorEastAsia"/>
                <w:sz w:val="22"/>
              </w:rPr>
            </w:pPr>
            <w:r>
              <w:rPr>
                <w:rFonts w:asciiTheme="minorEastAsia" w:hAnsiTheme="minorEastAsia" w:cstheme="minorEastAsia" w:hint="eastAsia"/>
                <w:sz w:val="22"/>
              </w:rPr>
              <w:t>金额</w:t>
            </w:r>
          </w:p>
        </w:tc>
      </w:tr>
      <w:tr w:rsidR="009A2288">
        <w:trPr>
          <w:trHeight w:val="310"/>
          <w:jc w:val="center"/>
        </w:trPr>
        <w:tc>
          <w:tcPr>
            <w:tcW w:w="2223" w:type="dxa"/>
            <w:vAlign w:val="bottom"/>
          </w:tcPr>
          <w:p w:rsidR="009A2288" w:rsidRDefault="00B13667">
            <w:pPr>
              <w:widowControl/>
              <w:jc w:val="left"/>
              <w:rPr>
                <w:rFonts w:asciiTheme="minorEastAsia" w:hAnsiTheme="minorEastAsia" w:cstheme="minorEastAsia"/>
                <w:color w:val="000000"/>
                <w:kern w:val="0"/>
                <w:sz w:val="22"/>
              </w:rPr>
            </w:pPr>
            <w:r>
              <w:rPr>
                <w:rFonts w:asciiTheme="minorEastAsia" w:hAnsiTheme="minorEastAsia" w:cstheme="minorEastAsia" w:hint="eastAsia"/>
                <w:color w:val="000000"/>
                <w:sz w:val="22"/>
              </w:rPr>
              <w:t>2018/11/15</w:t>
            </w:r>
          </w:p>
        </w:tc>
        <w:tc>
          <w:tcPr>
            <w:tcW w:w="3580" w:type="dxa"/>
            <w:vAlign w:val="bottom"/>
          </w:tcPr>
          <w:p w:rsidR="009A2288" w:rsidRDefault="00B13667">
            <w:pPr>
              <w:widowControl/>
              <w:jc w:val="left"/>
              <w:rPr>
                <w:rFonts w:asciiTheme="minorEastAsia" w:hAnsiTheme="minorEastAsia" w:cstheme="minorEastAsia"/>
                <w:color w:val="000000"/>
                <w:kern w:val="0"/>
                <w:sz w:val="22"/>
              </w:rPr>
            </w:pPr>
            <w:r>
              <w:rPr>
                <w:rFonts w:asciiTheme="minorEastAsia" w:hAnsiTheme="minorEastAsia" w:cstheme="minorEastAsia" w:hint="eastAsia"/>
                <w:color w:val="000000"/>
                <w:sz w:val="22"/>
              </w:rPr>
              <w:t>付二次清算股息红利税</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-2,192.40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2018/11/19</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基金赎回款</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-26,586,510.18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2018/11/19</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付信息披露费</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-110,795.52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2018/11/19</w:t>
            </w:r>
          </w:p>
        </w:tc>
        <w:tc>
          <w:tcPr>
            <w:tcW w:w="3580" w:type="dxa"/>
            <w:vAlign w:val="center"/>
          </w:tcPr>
          <w:p w:rsidR="009A2288" w:rsidRDefault="00B13667">
            <w:pPr>
              <w:rPr>
                <w:rFonts w:asciiTheme="minorEastAsia" w:hAnsiTheme="minorEastAsia" w:cstheme="minorEastAsia"/>
                <w:color w:val="000000"/>
                <w:sz w:val="20"/>
                <w:szCs w:val="20"/>
              </w:rPr>
            </w:pPr>
            <w:r>
              <w:rPr>
                <w:rFonts w:asciiTheme="minorEastAsia" w:hAnsiTheme="minorEastAsia" w:cstheme="minorEastAsia" w:hint="eastAsia"/>
                <w:color w:val="000000"/>
                <w:sz w:val="22"/>
                <w:szCs w:val="20"/>
              </w:rPr>
              <w:t>汇划费扣收</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-22.00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2018/12/6</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付律师费</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-20,000.00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2018/12/6</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汇划费扣收</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-12.00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2018/12/20</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基金赎回款</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-5,737,863.27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2018/12/21</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活期存款结息</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35,746.84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2019/1/8</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付佣金</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-24,068.65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2019/1/8</w:t>
            </w:r>
          </w:p>
        </w:tc>
        <w:tc>
          <w:tcPr>
            <w:tcW w:w="3580" w:type="dxa"/>
            <w:vAlign w:val="center"/>
          </w:tcPr>
          <w:p w:rsidR="009A2288" w:rsidRDefault="00B13667">
            <w:pPr>
              <w:rPr>
                <w:rFonts w:asciiTheme="minorEastAsia" w:hAnsiTheme="minorEastAsia" w:cstheme="minorEastAsia"/>
                <w:color w:val="000000"/>
                <w:sz w:val="20"/>
                <w:szCs w:val="20"/>
              </w:rPr>
            </w:pPr>
            <w:r>
              <w:rPr>
                <w:rFonts w:asciiTheme="minorEastAsia" w:hAnsiTheme="minorEastAsia" w:cstheme="minorEastAsia" w:hint="eastAsia"/>
                <w:color w:val="000000"/>
                <w:sz w:val="20"/>
                <w:szCs w:val="20"/>
              </w:rPr>
              <w:t>汇划费扣收</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-18.00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2019/3/21</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活期存款结息</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72.98 </w:t>
            </w:r>
          </w:p>
        </w:tc>
      </w:tr>
      <w:tr w:rsidR="009A2288">
        <w:trPr>
          <w:trHeight w:val="310"/>
          <w:jc w:val="center"/>
        </w:trPr>
        <w:tc>
          <w:tcPr>
            <w:tcW w:w="2223" w:type="dxa"/>
            <w:vAlign w:val="bottom"/>
          </w:tcPr>
          <w:p w:rsidR="009A2288" w:rsidRDefault="00B13667">
            <w:pPr>
              <w:widowControl/>
              <w:jc w:val="left"/>
              <w:rPr>
                <w:rFonts w:asciiTheme="minorEastAsia" w:hAnsiTheme="minorEastAsia" w:cstheme="minorEastAsia"/>
                <w:color w:val="000000"/>
                <w:kern w:val="0"/>
                <w:sz w:val="22"/>
              </w:rPr>
            </w:pPr>
            <w:r>
              <w:rPr>
                <w:rFonts w:asciiTheme="minorEastAsia" w:hAnsiTheme="minorEastAsia" w:cstheme="minorEastAsia" w:hint="eastAsia"/>
                <w:color w:val="000000"/>
                <w:sz w:val="22"/>
              </w:rPr>
              <w:t>2019/6/21</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活期存款结息</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65.88 </w:t>
            </w:r>
          </w:p>
        </w:tc>
      </w:tr>
      <w:tr w:rsidR="009A2288">
        <w:trPr>
          <w:trHeight w:val="310"/>
          <w:jc w:val="center"/>
        </w:trPr>
        <w:tc>
          <w:tcPr>
            <w:tcW w:w="2223"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color w:val="000000"/>
                <w:sz w:val="22"/>
              </w:rPr>
              <w:t>2019/7/24</w:t>
            </w:r>
          </w:p>
        </w:tc>
        <w:tc>
          <w:tcPr>
            <w:tcW w:w="3580" w:type="dxa"/>
            <w:vAlign w:val="bottom"/>
          </w:tcPr>
          <w:p w:rsidR="009A2288" w:rsidRDefault="00B13667">
            <w:pPr>
              <w:rPr>
                <w:rFonts w:asciiTheme="minorEastAsia" w:hAnsiTheme="minorEastAsia" w:cstheme="minorEastAsia"/>
                <w:color w:val="000000"/>
                <w:sz w:val="22"/>
              </w:rPr>
            </w:pPr>
            <w:r>
              <w:rPr>
                <w:rFonts w:asciiTheme="minorEastAsia" w:hAnsiTheme="minorEastAsia" w:cstheme="minorEastAsia" w:hint="eastAsia"/>
                <w:color w:val="000000"/>
                <w:sz w:val="22"/>
              </w:rPr>
              <w:t>信威集团清算款</w:t>
            </w:r>
          </w:p>
        </w:tc>
        <w:tc>
          <w:tcPr>
            <w:tcW w:w="2180" w:type="dxa"/>
            <w:noWrap/>
          </w:tcPr>
          <w:p w:rsidR="009A2288" w:rsidRDefault="00B13667">
            <w:pPr>
              <w:jc w:val="right"/>
              <w:rPr>
                <w:rFonts w:asciiTheme="minorEastAsia" w:hAnsiTheme="minorEastAsia" w:cstheme="minorEastAsia"/>
              </w:rPr>
            </w:pPr>
            <w:r>
              <w:rPr>
                <w:rFonts w:asciiTheme="minorEastAsia" w:hAnsiTheme="minorEastAsia" w:cstheme="minorEastAsia" w:hint="eastAsia"/>
              </w:rPr>
              <w:t xml:space="preserve"> 59,525.22 </w:t>
            </w:r>
          </w:p>
        </w:tc>
      </w:tr>
      <w:tr w:rsidR="009A2288">
        <w:trPr>
          <w:trHeight w:val="310"/>
          <w:jc w:val="center"/>
        </w:trPr>
        <w:tc>
          <w:tcPr>
            <w:tcW w:w="2223" w:type="dxa"/>
            <w:vAlign w:val="bottom"/>
          </w:tcPr>
          <w:p w:rsidR="009A2288" w:rsidRDefault="009A2288">
            <w:pPr>
              <w:jc w:val="left"/>
              <w:rPr>
                <w:rFonts w:asciiTheme="minorEastAsia" w:hAnsiTheme="minorEastAsia" w:cstheme="minorEastAsia"/>
                <w:color w:val="000000"/>
                <w:sz w:val="22"/>
              </w:rPr>
            </w:pPr>
          </w:p>
        </w:tc>
        <w:tc>
          <w:tcPr>
            <w:tcW w:w="3580" w:type="dxa"/>
            <w:vAlign w:val="bottom"/>
          </w:tcPr>
          <w:p w:rsidR="009A2288" w:rsidRDefault="00B13667">
            <w:pPr>
              <w:jc w:val="left"/>
              <w:rPr>
                <w:rFonts w:asciiTheme="minorEastAsia" w:hAnsiTheme="minorEastAsia" w:cstheme="minorEastAsia"/>
                <w:color w:val="000000"/>
                <w:sz w:val="22"/>
              </w:rPr>
            </w:pPr>
            <w:r>
              <w:rPr>
                <w:rFonts w:asciiTheme="minorEastAsia" w:hAnsiTheme="minorEastAsia" w:cstheme="minorEastAsia" w:hint="eastAsia"/>
                <w:sz w:val="22"/>
              </w:rPr>
              <w:t>银行存款余额</w:t>
            </w:r>
          </w:p>
        </w:tc>
        <w:tc>
          <w:tcPr>
            <w:tcW w:w="2180" w:type="dxa"/>
            <w:noWrap/>
          </w:tcPr>
          <w:p w:rsidR="009A2288" w:rsidRDefault="00B13667">
            <w:pPr>
              <w:jc w:val="right"/>
              <w:rPr>
                <w:rFonts w:asciiTheme="minorEastAsia" w:hAnsiTheme="minorEastAsia" w:cstheme="minorEastAsia"/>
                <w:u w:val="double"/>
              </w:rPr>
            </w:pPr>
            <w:r>
              <w:rPr>
                <w:rFonts w:asciiTheme="minorEastAsia" w:hAnsiTheme="minorEastAsia" w:cstheme="minorEastAsia" w:hint="eastAsia"/>
                <w:u w:val="double"/>
              </w:rPr>
              <w:t>95,392.92</w:t>
            </w:r>
          </w:p>
        </w:tc>
      </w:tr>
    </w:tbl>
    <w:p w:rsidR="009A2288" w:rsidRDefault="009A2288">
      <w:pPr>
        <w:pStyle w:val="Default"/>
        <w:numPr>
          <w:ilvl w:val="255"/>
          <w:numId w:val="0"/>
        </w:numPr>
        <w:spacing w:line="360" w:lineRule="auto"/>
        <w:ind w:left="460"/>
        <w:rPr>
          <w:rFonts w:ascii="宋体" w:eastAsia="宋体" w:cs="宋体"/>
          <w:color w:val="auto"/>
          <w:sz w:val="23"/>
          <w:szCs w:val="23"/>
        </w:rPr>
      </w:pPr>
    </w:p>
    <w:p w:rsidR="009A2288" w:rsidRDefault="00B13667">
      <w:pPr>
        <w:pStyle w:val="Default"/>
        <w:numPr>
          <w:ilvl w:val="255"/>
          <w:numId w:val="0"/>
        </w:numPr>
        <w:spacing w:line="360" w:lineRule="auto"/>
        <w:ind w:leftChars="437" w:left="918"/>
        <w:rPr>
          <w:rFonts w:ascii="宋体" w:eastAsia="宋体" w:cs="宋体"/>
          <w:color w:val="auto"/>
          <w:sz w:val="23"/>
          <w:szCs w:val="23"/>
        </w:rPr>
      </w:pPr>
      <w:r>
        <w:rPr>
          <w:rFonts w:ascii="宋体" w:eastAsia="宋体" w:cs="宋体" w:hint="eastAsia"/>
          <w:color w:val="auto"/>
          <w:sz w:val="23"/>
          <w:szCs w:val="23"/>
        </w:rPr>
        <w:t>截止第三次清算期结束日（2019年7月24日），本基金</w:t>
      </w:r>
      <w:r>
        <w:rPr>
          <w:rFonts w:ascii="宋体" w:eastAsia="宋体" w:cs="宋体"/>
          <w:color w:val="auto"/>
          <w:sz w:val="23"/>
          <w:szCs w:val="23"/>
        </w:rPr>
        <w:t>银行存款余额为人民币95,392.92</w:t>
      </w:r>
      <w:r>
        <w:rPr>
          <w:rFonts w:ascii="宋体" w:eastAsia="宋体" w:cs="宋体" w:hint="eastAsia"/>
          <w:color w:val="auto"/>
          <w:sz w:val="23"/>
          <w:szCs w:val="23"/>
        </w:rPr>
        <w:t>元，结算备付金及存出保证金均无余额。</w:t>
      </w:r>
    </w:p>
    <w:p w:rsidR="009A2288" w:rsidRDefault="00B1366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本基金在第二次清算期结束日（2018年11月14日）持有的流通受限股票信威集团（600485）已于2019年7月23日处置变现，处置价款为人民币59,590.08元，扣除交易费用人民币64.86元，实际收到清算款为人民币</w:t>
      </w:r>
      <w:r>
        <w:rPr>
          <w:rFonts w:ascii="宋体" w:eastAsia="宋体" w:cs="宋体"/>
          <w:color w:val="auto"/>
          <w:sz w:val="23"/>
          <w:szCs w:val="23"/>
        </w:rPr>
        <w:t>59,525.22</w:t>
      </w:r>
      <w:r>
        <w:rPr>
          <w:rFonts w:ascii="宋体" w:eastAsia="宋体" w:cs="宋体" w:hint="eastAsia"/>
          <w:color w:val="auto"/>
          <w:sz w:val="23"/>
          <w:szCs w:val="23"/>
        </w:rPr>
        <w:t>元.</w:t>
      </w:r>
    </w:p>
    <w:p w:rsidR="009A2288" w:rsidRDefault="00B13667">
      <w:pPr>
        <w:pStyle w:val="Default"/>
        <w:numPr>
          <w:ilvl w:val="0"/>
          <w:numId w:val="1"/>
        </w:numPr>
        <w:spacing w:line="360" w:lineRule="auto"/>
        <w:rPr>
          <w:rFonts w:ascii="宋体" w:eastAsia="宋体" w:cs="宋体"/>
          <w:color w:val="auto"/>
          <w:sz w:val="23"/>
          <w:szCs w:val="23"/>
        </w:rPr>
      </w:pPr>
      <w:r>
        <w:rPr>
          <w:rFonts w:ascii="宋体" w:eastAsia="宋体" w:cs="宋体" w:hint="eastAsia"/>
          <w:color w:val="auto"/>
          <w:sz w:val="23"/>
          <w:szCs w:val="23"/>
        </w:rPr>
        <w:t>本基金在第二次清算期结束日（2018年11月14日）应收活期存款利息为人民币28,919.05元，2018年11月15日至2019年7月24日产生的活期存款利息收入为人民币6,990.41元。其中，本基金于2018年12月21日、2019年3月21日和2019年6月21日结息，共收到的活期存款利息合计人民币35,885.70元，剩余应收利息为人民币23.76元。</w:t>
      </w:r>
    </w:p>
    <w:p w:rsidR="009A2288" w:rsidRDefault="009A2288">
      <w:pPr>
        <w:pStyle w:val="Default"/>
        <w:numPr>
          <w:ilvl w:val="255"/>
          <w:numId w:val="0"/>
        </w:numPr>
        <w:spacing w:line="360" w:lineRule="auto"/>
        <w:ind w:leftChars="437" w:left="918"/>
        <w:rPr>
          <w:rFonts w:ascii="宋体" w:eastAsia="宋体" w:cs="宋体"/>
          <w:color w:val="auto"/>
          <w:sz w:val="23"/>
          <w:szCs w:val="23"/>
        </w:rPr>
      </w:pPr>
    </w:p>
    <w:p w:rsidR="009A2288" w:rsidRDefault="00B13667">
      <w:pPr>
        <w:pStyle w:val="Default"/>
        <w:spacing w:line="360" w:lineRule="auto"/>
        <w:ind w:firstLineChars="200" w:firstLine="460"/>
        <w:rPr>
          <w:rFonts w:ascii="宋体" w:eastAsia="宋体" w:cs="宋体"/>
          <w:color w:val="auto"/>
          <w:sz w:val="23"/>
          <w:szCs w:val="23"/>
        </w:rPr>
      </w:pPr>
      <w:r>
        <w:rPr>
          <w:rFonts w:ascii="宋体" w:eastAsia="宋体" w:cs="宋体" w:hint="eastAsia"/>
          <w:color w:val="auto"/>
          <w:sz w:val="23"/>
          <w:szCs w:val="23"/>
        </w:rPr>
        <w:t>2</w:t>
      </w:r>
      <w:r>
        <w:rPr>
          <w:rFonts w:ascii="宋体" w:eastAsia="宋体" w:cs="宋体"/>
          <w:color w:val="auto"/>
          <w:sz w:val="23"/>
          <w:szCs w:val="23"/>
        </w:rPr>
        <w:t>、</w:t>
      </w:r>
      <w:r>
        <w:rPr>
          <w:rFonts w:ascii="宋体" w:eastAsia="宋体" w:cs="宋体"/>
          <w:color w:val="auto"/>
          <w:sz w:val="23"/>
          <w:szCs w:val="23"/>
        </w:rPr>
        <w:tab/>
      </w:r>
      <w:r>
        <w:rPr>
          <w:rFonts w:ascii="宋体" w:eastAsia="宋体" w:cs="宋体" w:hint="eastAsia"/>
          <w:color w:val="auto"/>
          <w:sz w:val="23"/>
          <w:szCs w:val="23"/>
        </w:rPr>
        <w:t>负债清偿</w:t>
      </w:r>
      <w:r>
        <w:rPr>
          <w:rFonts w:ascii="宋体" w:eastAsia="宋体" w:cs="宋体"/>
          <w:color w:val="auto"/>
          <w:sz w:val="23"/>
          <w:szCs w:val="23"/>
        </w:rPr>
        <w:t>情况</w:t>
      </w:r>
    </w:p>
    <w:p w:rsidR="009A2288" w:rsidRDefault="00B13667">
      <w:pPr>
        <w:pStyle w:val="Default"/>
        <w:numPr>
          <w:ilvl w:val="0"/>
          <w:numId w:val="2"/>
        </w:numPr>
        <w:spacing w:line="360" w:lineRule="auto"/>
        <w:rPr>
          <w:rFonts w:ascii="宋体" w:eastAsia="宋体" w:cs="宋体"/>
          <w:color w:val="auto"/>
          <w:sz w:val="23"/>
          <w:szCs w:val="23"/>
        </w:rPr>
      </w:pPr>
      <w:r>
        <w:rPr>
          <w:rFonts w:ascii="宋体" w:eastAsia="宋体" w:cs="宋体" w:hint="eastAsia"/>
          <w:color w:val="auto"/>
          <w:sz w:val="23"/>
          <w:szCs w:val="23"/>
        </w:rPr>
        <w:t>本基金</w:t>
      </w:r>
      <w:bookmarkStart w:id="1" w:name="_Hlk15856511"/>
      <w:r>
        <w:rPr>
          <w:rFonts w:ascii="宋体" w:eastAsia="宋体" w:cs="宋体" w:hint="eastAsia"/>
          <w:color w:val="auto"/>
          <w:sz w:val="23"/>
          <w:szCs w:val="23"/>
        </w:rPr>
        <w:t>第二次清算期间结束日（2018年11月14日）</w:t>
      </w:r>
      <w:bookmarkEnd w:id="1"/>
      <w:r>
        <w:rPr>
          <w:rFonts w:ascii="宋体" w:eastAsia="宋体" w:cs="宋体" w:hint="eastAsia"/>
          <w:color w:val="auto"/>
          <w:sz w:val="23"/>
          <w:szCs w:val="23"/>
        </w:rPr>
        <w:t>应付交易费用为人民币24,068.65元，已于2019年1月8日支付；在二次清算期间发生的股息红利税2</w:t>
      </w:r>
      <w:r>
        <w:rPr>
          <w:rFonts w:ascii="宋体" w:eastAsia="宋体" w:cs="宋体"/>
          <w:color w:val="auto"/>
          <w:sz w:val="23"/>
          <w:szCs w:val="23"/>
        </w:rPr>
        <w:t>,</w:t>
      </w:r>
      <w:r>
        <w:rPr>
          <w:rFonts w:ascii="宋体" w:eastAsia="宋体" w:cs="宋体" w:hint="eastAsia"/>
          <w:color w:val="auto"/>
          <w:sz w:val="23"/>
          <w:szCs w:val="23"/>
        </w:rPr>
        <w:t>192.4</w:t>
      </w:r>
      <w:r>
        <w:rPr>
          <w:rFonts w:ascii="宋体" w:eastAsia="宋体" w:cs="宋体"/>
          <w:color w:val="auto"/>
          <w:sz w:val="23"/>
          <w:szCs w:val="23"/>
        </w:rPr>
        <w:t>0</w:t>
      </w:r>
      <w:r>
        <w:rPr>
          <w:rFonts w:ascii="宋体" w:eastAsia="宋体" w:cs="宋体" w:hint="eastAsia"/>
          <w:color w:val="auto"/>
          <w:sz w:val="23"/>
          <w:szCs w:val="23"/>
        </w:rPr>
        <w:t>元，已于2018年11月15日支付。在第三次清算期间发生应付佣金55.51元，将于第三次清算结束后支付。</w:t>
      </w:r>
    </w:p>
    <w:p w:rsidR="009A2288" w:rsidRDefault="00B13667">
      <w:pPr>
        <w:pStyle w:val="Default"/>
        <w:numPr>
          <w:ilvl w:val="0"/>
          <w:numId w:val="2"/>
        </w:numPr>
        <w:spacing w:line="360" w:lineRule="auto"/>
        <w:rPr>
          <w:rFonts w:ascii="宋体" w:eastAsia="宋体" w:cs="宋体"/>
          <w:color w:val="auto"/>
          <w:sz w:val="23"/>
          <w:szCs w:val="23"/>
        </w:rPr>
      </w:pPr>
      <w:r>
        <w:rPr>
          <w:rFonts w:ascii="宋体" w:eastAsia="宋体" w:cs="宋体" w:hint="eastAsia"/>
          <w:color w:val="auto"/>
          <w:sz w:val="23"/>
          <w:szCs w:val="23"/>
        </w:rPr>
        <w:t>本基金第二次清算期间结束日（2018年11月14日）应付信息披露费人民币110,795.52元，已于2018年11月19日支付；应付律师费用人民币20,000.00元，已于2018年12月6日支付。</w:t>
      </w:r>
    </w:p>
    <w:p w:rsidR="009A2288" w:rsidRDefault="009A2288">
      <w:pPr>
        <w:pStyle w:val="Default"/>
        <w:spacing w:line="360" w:lineRule="auto"/>
        <w:ind w:left="460"/>
        <w:rPr>
          <w:rFonts w:ascii="宋体" w:eastAsia="宋体" w:cs="宋体"/>
          <w:color w:val="auto"/>
          <w:sz w:val="23"/>
          <w:szCs w:val="23"/>
        </w:rPr>
      </w:pPr>
    </w:p>
    <w:p w:rsidR="009A2288" w:rsidRDefault="00B13667">
      <w:pPr>
        <w:pStyle w:val="Default"/>
        <w:numPr>
          <w:ilvl w:val="0"/>
          <w:numId w:val="3"/>
        </w:numPr>
        <w:spacing w:line="360" w:lineRule="auto"/>
        <w:rPr>
          <w:rFonts w:asciiTheme="minorEastAsia" w:hAnsiTheme="minorEastAsia" w:cs="宋体"/>
          <w:color w:val="2C2C2C"/>
          <w:sz w:val="22"/>
          <w:szCs w:val="22"/>
        </w:rPr>
      </w:pPr>
      <w:r>
        <w:rPr>
          <w:rFonts w:asciiTheme="minorEastAsia" w:hAnsiTheme="minorEastAsia" w:cs="宋体" w:hint="eastAsia"/>
          <w:color w:val="2C2C2C"/>
          <w:sz w:val="22"/>
          <w:szCs w:val="22"/>
        </w:rPr>
        <w:t>清算期间的清算损益情况</w:t>
      </w:r>
    </w:p>
    <w:p w:rsidR="009A2288" w:rsidRDefault="00B13667">
      <w:pPr>
        <w:pStyle w:val="Default"/>
        <w:spacing w:line="360" w:lineRule="auto"/>
        <w:jc w:val="right"/>
        <w:rPr>
          <w:rFonts w:asciiTheme="minorEastAsia" w:hAnsiTheme="minorEastAsia" w:cstheme="minorEastAsia"/>
          <w:color w:val="2C2C2C"/>
          <w:sz w:val="18"/>
          <w:szCs w:val="18"/>
        </w:rPr>
      </w:pPr>
      <w:r>
        <w:rPr>
          <w:rFonts w:asciiTheme="minorEastAsia" w:hAnsiTheme="minorEastAsia" w:cstheme="minorEastAsia" w:hint="eastAsia"/>
          <w:color w:val="2C2C2C"/>
          <w:sz w:val="18"/>
          <w:szCs w:val="18"/>
        </w:rPr>
        <w:t>单位：人民币元</w:t>
      </w:r>
    </w:p>
    <w:tbl>
      <w:tblPr>
        <w:tblW w:w="9073" w:type="dxa"/>
        <w:tblInd w:w="-34" w:type="dxa"/>
        <w:tblLayout w:type="fixed"/>
        <w:tblLook w:val="04A0"/>
      </w:tblPr>
      <w:tblGrid>
        <w:gridCol w:w="278"/>
        <w:gridCol w:w="1660"/>
        <w:gridCol w:w="614"/>
        <w:gridCol w:w="1843"/>
        <w:gridCol w:w="1701"/>
        <w:gridCol w:w="1701"/>
        <w:gridCol w:w="1276"/>
      </w:tblGrid>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highlight w:val="yellow"/>
              </w:rPr>
            </w:pPr>
            <w:r>
              <w:rPr>
                <w:rFonts w:asciiTheme="minorEastAsia" w:hAnsiTheme="minorEastAsia" w:cstheme="minorEastAsia" w:hint="eastAsia"/>
                <w:sz w:val="19"/>
                <w:szCs w:val="19"/>
              </w:rPr>
              <w:t>项目</w:t>
            </w:r>
          </w:p>
        </w:tc>
        <w:tc>
          <w:tcPr>
            <w:tcW w:w="1843" w:type="dxa"/>
            <w:noWrap/>
            <w:vAlign w:val="bottom"/>
          </w:tcPr>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自2018年8月22日</w:t>
            </w:r>
          </w:p>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至2018年9月12日</w:t>
            </w:r>
          </w:p>
          <w:p w:rsidR="009A2288" w:rsidRDefault="00B13667">
            <w:pPr>
              <w:overflowPunct w:val="0"/>
              <w:autoSpaceDE w:val="0"/>
              <w:autoSpaceDN w:val="0"/>
              <w:snapToGrid w:val="0"/>
              <w:ind w:left="30" w:right="-42"/>
              <w:jc w:val="right"/>
              <w:rPr>
                <w:rFonts w:asciiTheme="minorEastAsia" w:hAnsiTheme="minorEastAsia" w:cstheme="minorEastAsia"/>
                <w:sz w:val="19"/>
                <w:szCs w:val="19"/>
                <w:highlight w:val="yellow"/>
              </w:rPr>
            </w:pPr>
            <w:r>
              <w:rPr>
                <w:rFonts w:asciiTheme="minorEastAsia" w:hAnsiTheme="minorEastAsia" w:cstheme="minorEastAsia" w:hint="eastAsia"/>
                <w:sz w:val="19"/>
                <w:szCs w:val="19"/>
              </w:rPr>
              <w:t>止清算期间</w:t>
            </w:r>
          </w:p>
        </w:tc>
        <w:tc>
          <w:tcPr>
            <w:tcW w:w="1701" w:type="dxa"/>
          </w:tcPr>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自2018年9月13日</w:t>
            </w:r>
          </w:p>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至2018年11月14日</w:t>
            </w:r>
          </w:p>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止清算期间</w:t>
            </w:r>
          </w:p>
        </w:tc>
        <w:tc>
          <w:tcPr>
            <w:tcW w:w="1701" w:type="dxa"/>
          </w:tcPr>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自2018年11月15日</w:t>
            </w:r>
          </w:p>
          <w:p w:rsidR="009A2288" w:rsidRDefault="00B13667">
            <w:pPr>
              <w:overflowPunct w:val="0"/>
              <w:autoSpaceDE w:val="0"/>
              <w:autoSpaceDN w:val="0"/>
              <w:snapToGrid w:val="0"/>
              <w:ind w:right="-42"/>
              <w:jc w:val="right"/>
              <w:rPr>
                <w:rFonts w:asciiTheme="minorEastAsia" w:hAnsiTheme="minorEastAsia" w:cstheme="minorEastAsia"/>
                <w:sz w:val="19"/>
                <w:szCs w:val="19"/>
              </w:rPr>
            </w:pPr>
            <w:r>
              <w:rPr>
                <w:rFonts w:asciiTheme="minorEastAsia" w:hAnsiTheme="minorEastAsia" w:cstheme="minorEastAsia" w:hint="eastAsia"/>
                <w:sz w:val="19"/>
                <w:szCs w:val="19"/>
              </w:rPr>
              <w:t>至2019年7月24日</w:t>
            </w:r>
          </w:p>
          <w:p w:rsidR="009A2288" w:rsidRDefault="00B13667">
            <w:pPr>
              <w:overflowPunct w:val="0"/>
              <w:autoSpaceDE w:val="0"/>
              <w:autoSpaceDN w:val="0"/>
              <w:snapToGrid w:val="0"/>
              <w:jc w:val="right"/>
              <w:rPr>
                <w:rFonts w:asciiTheme="minorEastAsia" w:hAnsiTheme="minorEastAsia" w:cstheme="minorEastAsia"/>
                <w:sz w:val="19"/>
                <w:szCs w:val="19"/>
              </w:rPr>
            </w:pPr>
            <w:r>
              <w:rPr>
                <w:rFonts w:asciiTheme="minorEastAsia" w:hAnsiTheme="minorEastAsia" w:cstheme="minorEastAsia" w:hint="eastAsia"/>
                <w:sz w:val="19"/>
                <w:szCs w:val="19"/>
              </w:rPr>
              <w:t>止清算期间</w:t>
            </w:r>
          </w:p>
        </w:tc>
        <w:tc>
          <w:tcPr>
            <w:tcW w:w="1276" w:type="dxa"/>
          </w:tcPr>
          <w:p w:rsidR="009A2288" w:rsidRDefault="009A2288">
            <w:pPr>
              <w:tabs>
                <w:tab w:val="left" w:pos="125"/>
              </w:tabs>
              <w:overflowPunct w:val="0"/>
              <w:autoSpaceDE w:val="0"/>
              <w:autoSpaceDN w:val="0"/>
              <w:snapToGrid w:val="0"/>
              <w:ind w:left="-193" w:right="65"/>
              <w:jc w:val="right"/>
              <w:rPr>
                <w:rFonts w:asciiTheme="minorEastAsia" w:hAnsiTheme="minorEastAsia" w:cstheme="minorEastAsia"/>
                <w:sz w:val="19"/>
                <w:szCs w:val="19"/>
              </w:rPr>
            </w:pPr>
          </w:p>
          <w:p w:rsidR="009A2288" w:rsidRDefault="009A2288">
            <w:pPr>
              <w:tabs>
                <w:tab w:val="left" w:pos="125"/>
              </w:tabs>
              <w:overflowPunct w:val="0"/>
              <w:autoSpaceDE w:val="0"/>
              <w:autoSpaceDN w:val="0"/>
              <w:snapToGrid w:val="0"/>
              <w:ind w:left="-193" w:right="65"/>
              <w:jc w:val="right"/>
              <w:rPr>
                <w:rFonts w:asciiTheme="minorEastAsia" w:hAnsiTheme="minorEastAsia" w:cstheme="minorEastAsia"/>
                <w:sz w:val="19"/>
                <w:szCs w:val="19"/>
              </w:rPr>
            </w:pPr>
          </w:p>
          <w:p w:rsidR="009A2288" w:rsidRDefault="00B13667">
            <w:pPr>
              <w:tabs>
                <w:tab w:val="left" w:pos="125"/>
              </w:tabs>
              <w:overflowPunct w:val="0"/>
              <w:autoSpaceDE w:val="0"/>
              <w:autoSpaceDN w:val="0"/>
              <w:snapToGrid w:val="0"/>
              <w:ind w:left="-193" w:right="65"/>
              <w:jc w:val="right"/>
              <w:rPr>
                <w:rFonts w:asciiTheme="minorEastAsia" w:hAnsiTheme="minorEastAsia" w:cstheme="minorEastAsia"/>
                <w:sz w:val="19"/>
                <w:szCs w:val="19"/>
              </w:rPr>
            </w:pPr>
            <w:r>
              <w:rPr>
                <w:rFonts w:asciiTheme="minorEastAsia" w:hAnsiTheme="minorEastAsia" w:cstheme="minorEastAsia" w:hint="eastAsia"/>
                <w:sz w:val="19"/>
                <w:szCs w:val="19"/>
              </w:rPr>
              <w:t>合计</w:t>
            </w:r>
          </w:p>
        </w:tc>
      </w:tr>
      <w:tr w:rsidR="009A2288">
        <w:trPr>
          <w:trHeight w:val="271"/>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一、收益</w:t>
            </w:r>
          </w:p>
        </w:tc>
        <w:tc>
          <w:tcPr>
            <w:tcW w:w="1843" w:type="dxa"/>
            <w:noWrap/>
            <w:vAlign w:val="bottom"/>
          </w:tcPr>
          <w:p w:rsidR="009A2288" w:rsidRDefault="009A2288">
            <w:pPr>
              <w:overflowPunct w:val="0"/>
              <w:autoSpaceDE w:val="0"/>
              <w:autoSpaceDN w:val="0"/>
              <w:snapToGrid w:val="0"/>
              <w:ind w:right="-42"/>
              <w:jc w:val="right"/>
              <w:rPr>
                <w:rFonts w:asciiTheme="minorEastAsia" w:hAnsiTheme="minorEastAsia" w:cstheme="minorEastAsia"/>
                <w:sz w:val="19"/>
                <w:szCs w:val="19"/>
              </w:rPr>
            </w:pPr>
          </w:p>
        </w:tc>
        <w:tc>
          <w:tcPr>
            <w:tcW w:w="1701" w:type="dxa"/>
          </w:tcPr>
          <w:p w:rsidR="009A2288" w:rsidRDefault="009A2288">
            <w:pPr>
              <w:overflowPunct w:val="0"/>
              <w:autoSpaceDE w:val="0"/>
              <w:autoSpaceDN w:val="0"/>
              <w:snapToGrid w:val="0"/>
              <w:ind w:left="34" w:right="34"/>
              <w:jc w:val="right"/>
              <w:rPr>
                <w:rFonts w:asciiTheme="minorEastAsia" w:hAnsiTheme="minorEastAsia" w:cstheme="minorEastAsia"/>
                <w:sz w:val="19"/>
                <w:szCs w:val="19"/>
              </w:rPr>
            </w:pPr>
          </w:p>
        </w:tc>
        <w:tc>
          <w:tcPr>
            <w:tcW w:w="1701" w:type="dxa"/>
          </w:tcPr>
          <w:p w:rsidR="009A2288" w:rsidRDefault="009A2288">
            <w:pPr>
              <w:overflowPunct w:val="0"/>
              <w:autoSpaceDE w:val="0"/>
              <w:autoSpaceDN w:val="0"/>
              <w:snapToGrid w:val="0"/>
              <w:jc w:val="right"/>
              <w:rPr>
                <w:rFonts w:asciiTheme="minorEastAsia" w:hAnsiTheme="minorEastAsia" w:cstheme="minorEastAsia"/>
                <w:sz w:val="19"/>
                <w:szCs w:val="19"/>
              </w:rPr>
            </w:pPr>
          </w:p>
        </w:tc>
        <w:tc>
          <w:tcPr>
            <w:tcW w:w="1276" w:type="dxa"/>
          </w:tcPr>
          <w:p w:rsidR="009A2288" w:rsidRDefault="009A2288">
            <w:pPr>
              <w:tabs>
                <w:tab w:val="left" w:pos="125"/>
              </w:tabs>
              <w:overflowPunct w:val="0"/>
              <w:autoSpaceDE w:val="0"/>
              <w:autoSpaceDN w:val="0"/>
              <w:snapToGrid w:val="0"/>
              <w:ind w:left="-193" w:right="65"/>
              <w:jc w:val="right"/>
              <w:rPr>
                <w:rFonts w:asciiTheme="minorEastAsia" w:hAnsiTheme="minorEastAsia" w:cstheme="minorEastAsia"/>
                <w:sz w:val="19"/>
                <w:szCs w:val="19"/>
              </w:rPr>
            </w:pPr>
          </w:p>
        </w:tc>
      </w:tr>
      <w:tr w:rsidR="009A2288">
        <w:trPr>
          <w:trHeight w:val="80"/>
        </w:trPr>
        <w:tc>
          <w:tcPr>
            <w:tcW w:w="2552" w:type="dxa"/>
            <w:gridSpan w:val="3"/>
            <w:noWrap/>
            <w:vAlign w:val="bottom"/>
          </w:tcPr>
          <w:p w:rsidR="009A2288" w:rsidRDefault="00B13667">
            <w:pPr>
              <w:numPr>
                <w:ilvl w:val="0"/>
                <w:numId w:val="4"/>
              </w:num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利息收入(注1)</w:t>
            </w:r>
          </w:p>
        </w:tc>
        <w:tc>
          <w:tcPr>
            <w:tcW w:w="1843" w:type="dxa"/>
            <w:noWrap/>
            <w:vAlign w:val="bottom"/>
          </w:tcPr>
          <w:p w:rsidR="009A2288" w:rsidRDefault="00B13667">
            <w:pPr>
              <w:overflowPunct w:val="0"/>
              <w:autoSpaceDE w:val="0"/>
              <w:autoSpaceDN w:val="0"/>
              <w:snapToGrid w:val="0"/>
              <w:ind w:left="459" w:right="-42"/>
              <w:jc w:val="right"/>
              <w:rPr>
                <w:rFonts w:asciiTheme="minorEastAsia" w:hAnsiTheme="minorEastAsia" w:cstheme="minorEastAsia"/>
                <w:sz w:val="19"/>
                <w:szCs w:val="19"/>
              </w:rPr>
            </w:pPr>
            <w:r>
              <w:rPr>
                <w:rFonts w:asciiTheme="minorEastAsia" w:hAnsiTheme="minorEastAsia" w:cstheme="minorEastAsia" w:hint="eastAsia"/>
                <w:sz w:val="19"/>
                <w:szCs w:val="19"/>
              </w:rPr>
              <w:t>70,745.47</w:t>
            </w:r>
          </w:p>
        </w:tc>
        <w:tc>
          <w:tcPr>
            <w:tcW w:w="1701" w:type="dxa"/>
          </w:tcPr>
          <w:p w:rsidR="009A2288" w:rsidRDefault="00B13667">
            <w:pPr>
              <w:overflowPunct w:val="0"/>
              <w:autoSpaceDE w:val="0"/>
              <w:autoSpaceDN w:val="0"/>
              <w:snapToGrid w:val="0"/>
              <w:ind w:left="34" w:right="34"/>
              <w:jc w:val="right"/>
              <w:rPr>
                <w:rFonts w:asciiTheme="minorEastAsia" w:hAnsiTheme="minorEastAsia" w:cstheme="minorEastAsia"/>
                <w:sz w:val="19"/>
                <w:szCs w:val="19"/>
              </w:rPr>
            </w:pPr>
            <w:r>
              <w:rPr>
                <w:rFonts w:asciiTheme="minorEastAsia" w:hAnsiTheme="minorEastAsia" w:cstheme="minorEastAsia" w:hint="eastAsia"/>
                <w:sz w:val="19"/>
                <w:szCs w:val="19"/>
              </w:rPr>
              <w:t>33,732.20</w:t>
            </w:r>
          </w:p>
        </w:tc>
        <w:tc>
          <w:tcPr>
            <w:tcW w:w="1701" w:type="dxa"/>
            <w:vAlign w:val="center"/>
          </w:tcPr>
          <w:p w:rsidR="009A2288" w:rsidRDefault="00B13667">
            <w:pPr>
              <w:widowControl/>
              <w:jc w:val="right"/>
              <w:rPr>
                <w:rFonts w:asciiTheme="minorEastAsia" w:hAnsiTheme="minorEastAsia" w:cstheme="minorEastAsia"/>
                <w:color w:val="000000"/>
                <w:kern w:val="0"/>
                <w:sz w:val="19"/>
                <w:szCs w:val="19"/>
              </w:rPr>
            </w:pPr>
            <w:r>
              <w:rPr>
                <w:rFonts w:asciiTheme="minorEastAsia" w:hAnsiTheme="minorEastAsia" w:cstheme="minorEastAsia" w:hint="eastAsia"/>
                <w:color w:val="000000"/>
                <w:sz w:val="19"/>
                <w:szCs w:val="19"/>
              </w:rPr>
              <w:t>6,990.41</w:t>
            </w:r>
          </w:p>
        </w:tc>
        <w:tc>
          <w:tcPr>
            <w:tcW w:w="1276" w:type="dxa"/>
            <w:vAlign w:val="bottom"/>
          </w:tcPr>
          <w:p w:rsidR="009A2288" w:rsidRDefault="00B13667">
            <w:pPr>
              <w:widowControl/>
              <w:tabs>
                <w:tab w:val="left" w:pos="125"/>
              </w:tabs>
              <w:ind w:left="-193" w:right="65"/>
              <w:jc w:val="right"/>
              <w:rPr>
                <w:rFonts w:asciiTheme="minorEastAsia" w:hAnsiTheme="minorEastAsia" w:cstheme="minorEastAsia"/>
                <w:color w:val="000000"/>
                <w:kern w:val="0"/>
                <w:sz w:val="19"/>
                <w:szCs w:val="19"/>
              </w:rPr>
            </w:pPr>
            <w:r>
              <w:rPr>
                <w:rFonts w:asciiTheme="minorEastAsia" w:hAnsiTheme="minorEastAsia" w:cstheme="minorEastAsia" w:hint="eastAsia"/>
                <w:color w:val="000000"/>
                <w:sz w:val="19"/>
                <w:szCs w:val="19"/>
              </w:rPr>
              <w:t>111,468.08</w:t>
            </w:r>
          </w:p>
        </w:tc>
      </w:tr>
      <w:tr w:rsidR="009A2288">
        <w:trPr>
          <w:trHeight w:val="80"/>
        </w:trPr>
        <w:tc>
          <w:tcPr>
            <w:tcW w:w="2552" w:type="dxa"/>
            <w:gridSpan w:val="3"/>
            <w:noWrap/>
            <w:vAlign w:val="bottom"/>
          </w:tcPr>
          <w:p w:rsidR="009A2288" w:rsidRDefault="00B13667">
            <w:pPr>
              <w:numPr>
                <w:ilvl w:val="0"/>
                <w:numId w:val="4"/>
              </w:num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股票变现损益(注2)</w:t>
            </w:r>
          </w:p>
        </w:tc>
        <w:tc>
          <w:tcPr>
            <w:tcW w:w="1843" w:type="dxa"/>
            <w:noWrap/>
            <w:vAlign w:val="bottom"/>
          </w:tcPr>
          <w:p w:rsidR="009A2288" w:rsidRDefault="00B13667">
            <w:pPr>
              <w:overflowPunct w:val="0"/>
              <w:autoSpaceDE w:val="0"/>
              <w:autoSpaceDN w:val="0"/>
              <w:snapToGrid w:val="0"/>
              <w:ind w:left="459" w:right="-42"/>
              <w:jc w:val="right"/>
              <w:rPr>
                <w:rFonts w:asciiTheme="minorEastAsia" w:hAnsiTheme="minorEastAsia" w:cstheme="minorEastAsia"/>
                <w:sz w:val="19"/>
                <w:szCs w:val="19"/>
              </w:rPr>
            </w:pPr>
            <w:r>
              <w:rPr>
                <w:rFonts w:asciiTheme="minorEastAsia" w:hAnsiTheme="minorEastAsia" w:cstheme="minorEastAsia" w:hint="eastAsia"/>
                <w:sz w:val="19"/>
                <w:szCs w:val="19"/>
              </w:rPr>
              <w:t>73,636.53</w:t>
            </w:r>
          </w:p>
        </w:tc>
        <w:tc>
          <w:tcPr>
            <w:tcW w:w="1701" w:type="dxa"/>
          </w:tcPr>
          <w:p w:rsidR="009A2288" w:rsidRDefault="00B13667">
            <w:pPr>
              <w:overflowPunct w:val="0"/>
              <w:autoSpaceDE w:val="0"/>
              <w:autoSpaceDN w:val="0"/>
              <w:snapToGrid w:val="0"/>
              <w:ind w:left="34" w:right="34"/>
              <w:jc w:val="right"/>
              <w:rPr>
                <w:rFonts w:asciiTheme="minorEastAsia" w:hAnsiTheme="minorEastAsia" w:cstheme="minorEastAsia"/>
                <w:sz w:val="19"/>
                <w:szCs w:val="19"/>
              </w:rPr>
            </w:pPr>
            <w:r>
              <w:rPr>
                <w:rFonts w:asciiTheme="minorEastAsia" w:hAnsiTheme="minorEastAsia" w:cstheme="minorEastAsia" w:hint="eastAsia"/>
                <w:sz w:val="19"/>
                <w:szCs w:val="19"/>
              </w:rPr>
              <w:t>69,083.50</w:t>
            </w:r>
          </w:p>
        </w:tc>
        <w:tc>
          <w:tcPr>
            <w:tcW w:w="1701" w:type="dxa"/>
            <w:vAlign w:val="center"/>
          </w:tcPr>
          <w:p w:rsidR="009A2288" w:rsidRDefault="00B13667">
            <w:pPr>
              <w:jc w:val="right"/>
              <w:rPr>
                <w:rFonts w:asciiTheme="minorEastAsia" w:hAnsiTheme="minorEastAsia" w:cstheme="minorEastAsia"/>
                <w:sz w:val="19"/>
                <w:szCs w:val="19"/>
              </w:rPr>
            </w:pPr>
            <w:r>
              <w:rPr>
                <w:rFonts w:asciiTheme="minorEastAsia" w:hAnsiTheme="minorEastAsia" w:cstheme="minorEastAsia" w:hint="eastAsia"/>
                <w:sz w:val="19"/>
                <w:szCs w:val="19"/>
              </w:rPr>
              <w:t>-30,225.96</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rPr>
            </w:pPr>
            <w:r>
              <w:rPr>
                <w:rFonts w:asciiTheme="minorEastAsia" w:hAnsiTheme="minorEastAsia" w:cstheme="minorEastAsia" w:hint="eastAsia"/>
                <w:color w:val="000000"/>
                <w:sz w:val="19"/>
                <w:szCs w:val="19"/>
              </w:rPr>
              <w:t>112,494.07</w:t>
            </w:r>
          </w:p>
        </w:tc>
      </w:tr>
      <w:tr w:rsidR="009A2288">
        <w:trPr>
          <w:trHeight w:val="80"/>
        </w:trPr>
        <w:tc>
          <w:tcPr>
            <w:tcW w:w="2552" w:type="dxa"/>
            <w:gridSpan w:val="3"/>
            <w:noWrap/>
            <w:vAlign w:val="bottom"/>
          </w:tcPr>
          <w:p w:rsidR="009A2288" w:rsidRDefault="00B13667">
            <w:pPr>
              <w:numPr>
                <w:ilvl w:val="0"/>
                <w:numId w:val="4"/>
              </w:num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停牌股票公允价值</w:t>
            </w:r>
          </w:p>
          <w:p w:rsidR="009A2288" w:rsidRDefault="00B13667">
            <w:pPr>
              <w:overflowPunct w:val="0"/>
              <w:autoSpaceDE w:val="0"/>
              <w:autoSpaceDN w:val="0"/>
              <w:snapToGrid w:val="0"/>
              <w:ind w:left="601"/>
              <w:jc w:val="left"/>
              <w:rPr>
                <w:rFonts w:asciiTheme="minorEastAsia" w:hAnsiTheme="minorEastAsia" w:cstheme="minorEastAsia"/>
                <w:sz w:val="19"/>
                <w:szCs w:val="19"/>
              </w:rPr>
            </w:pPr>
            <w:r>
              <w:rPr>
                <w:rFonts w:asciiTheme="minorEastAsia" w:hAnsiTheme="minorEastAsia" w:cstheme="minorEastAsia" w:hint="eastAsia"/>
                <w:sz w:val="19"/>
                <w:szCs w:val="19"/>
              </w:rPr>
              <w:t>变动损益(注3)</w:t>
            </w:r>
          </w:p>
        </w:tc>
        <w:tc>
          <w:tcPr>
            <w:tcW w:w="1843" w:type="dxa"/>
            <w:noWrap/>
            <w:vAlign w:val="bottom"/>
          </w:tcPr>
          <w:p w:rsidR="009A2288" w:rsidRDefault="00B13667">
            <w:pPr>
              <w:overflowPunct w:val="0"/>
              <w:autoSpaceDE w:val="0"/>
              <w:autoSpaceDN w:val="0"/>
              <w:snapToGrid w:val="0"/>
              <w:ind w:left="459" w:right="-42"/>
              <w:jc w:val="right"/>
              <w:rPr>
                <w:rFonts w:asciiTheme="minorEastAsia" w:hAnsiTheme="minorEastAsia" w:cstheme="minorEastAsia"/>
                <w:sz w:val="19"/>
                <w:szCs w:val="19"/>
              </w:rPr>
            </w:pPr>
            <w:r>
              <w:rPr>
                <w:rFonts w:asciiTheme="minorEastAsia" w:hAnsiTheme="minorEastAsia" w:cstheme="minorEastAsia" w:hint="eastAsia"/>
                <w:sz w:val="19"/>
                <w:szCs w:val="19"/>
              </w:rPr>
              <w:t>-252,496.50</w:t>
            </w:r>
          </w:p>
        </w:tc>
        <w:tc>
          <w:tcPr>
            <w:tcW w:w="1701" w:type="dxa"/>
          </w:tcPr>
          <w:p w:rsidR="009A2288" w:rsidRDefault="009A2288">
            <w:pPr>
              <w:overflowPunct w:val="0"/>
              <w:autoSpaceDE w:val="0"/>
              <w:autoSpaceDN w:val="0"/>
              <w:snapToGrid w:val="0"/>
              <w:ind w:left="34" w:right="34"/>
              <w:jc w:val="right"/>
              <w:rPr>
                <w:rFonts w:asciiTheme="minorEastAsia" w:hAnsiTheme="minorEastAsia" w:cstheme="minorEastAsia"/>
                <w:sz w:val="19"/>
                <w:szCs w:val="19"/>
              </w:rPr>
            </w:pPr>
          </w:p>
          <w:p w:rsidR="009A2288" w:rsidRDefault="00B13667">
            <w:pPr>
              <w:overflowPunct w:val="0"/>
              <w:autoSpaceDE w:val="0"/>
              <w:autoSpaceDN w:val="0"/>
              <w:snapToGrid w:val="0"/>
              <w:ind w:left="34" w:right="34"/>
              <w:jc w:val="right"/>
              <w:rPr>
                <w:rFonts w:asciiTheme="minorEastAsia" w:hAnsiTheme="minorEastAsia" w:cstheme="minorEastAsia"/>
                <w:sz w:val="19"/>
                <w:szCs w:val="19"/>
              </w:rPr>
            </w:pPr>
            <w:r>
              <w:rPr>
                <w:rFonts w:asciiTheme="minorEastAsia" w:hAnsiTheme="minorEastAsia" w:cstheme="minorEastAsia" w:hint="eastAsia"/>
                <w:sz w:val="19"/>
                <w:szCs w:val="19"/>
              </w:rPr>
              <w:t>-</w:t>
            </w:r>
          </w:p>
        </w:tc>
        <w:tc>
          <w:tcPr>
            <w:tcW w:w="1701" w:type="dxa"/>
            <w:vAlign w:val="center"/>
          </w:tcPr>
          <w:p w:rsidR="009A2288" w:rsidRDefault="009A2288">
            <w:pPr>
              <w:jc w:val="right"/>
              <w:rPr>
                <w:rFonts w:asciiTheme="minorEastAsia" w:hAnsiTheme="minorEastAsia" w:cstheme="minorEastAsia"/>
                <w:sz w:val="19"/>
                <w:szCs w:val="19"/>
              </w:rPr>
            </w:pPr>
          </w:p>
          <w:p w:rsidR="009A2288" w:rsidRDefault="00B13667">
            <w:pPr>
              <w:jc w:val="right"/>
              <w:rPr>
                <w:rFonts w:asciiTheme="minorEastAsia" w:hAnsiTheme="minorEastAsia" w:cstheme="minorEastAsia"/>
                <w:sz w:val="19"/>
                <w:szCs w:val="19"/>
              </w:rPr>
            </w:pPr>
            <w:r>
              <w:rPr>
                <w:rFonts w:asciiTheme="minorEastAsia" w:hAnsiTheme="minorEastAsia" w:cstheme="minorEastAsia" w:hint="eastAsia"/>
                <w:sz w:val="19"/>
                <w:szCs w:val="19"/>
              </w:rPr>
              <w:t>-</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rPr>
            </w:pPr>
            <w:r>
              <w:rPr>
                <w:rFonts w:asciiTheme="minorEastAsia" w:hAnsiTheme="minorEastAsia" w:cstheme="minorEastAsia" w:hint="eastAsia"/>
                <w:color w:val="000000"/>
                <w:sz w:val="19"/>
                <w:szCs w:val="19"/>
              </w:rPr>
              <w:t>-252,496.50</w:t>
            </w:r>
          </w:p>
        </w:tc>
      </w:tr>
      <w:tr w:rsidR="009A2288">
        <w:trPr>
          <w:trHeight w:val="80"/>
        </w:trPr>
        <w:tc>
          <w:tcPr>
            <w:tcW w:w="2552" w:type="dxa"/>
            <w:gridSpan w:val="3"/>
            <w:noWrap/>
            <w:vAlign w:val="bottom"/>
          </w:tcPr>
          <w:p w:rsidR="009A2288" w:rsidRDefault="00B13667">
            <w:pPr>
              <w:numPr>
                <w:ilvl w:val="0"/>
                <w:numId w:val="4"/>
              </w:num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赎回费收入</w:t>
            </w:r>
          </w:p>
        </w:tc>
        <w:tc>
          <w:tcPr>
            <w:tcW w:w="1843" w:type="dxa"/>
            <w:noWrap/>
            <w:vAlign w:val="bottom"/>
          </w:tcPr>
          <w:p w:rsidR="009A2288" w:rsidRDefault="00B13667">
            <w:pPr>
              <w:overflowPunct w:val="0"/>
              <w:autoSpaceDE w:val="0"/>
              <w:autoSpaceDN w:val="0"/>
              <w:snapToGrid w:val="0"/>
              <w:ind w:left="459" w:right="-42"/>
              <w:jc w:val="right"/>
              <w:rPr>
                <w:rFonts w:asciiTheme="minorEastAsia" w:hAnsiTheme="minorEastAsia" w:cstheme="minorEastAsia"/>
                <w:sz w:val="19"/>
                <w:szCs w:val="19"/>
              </w:rPr>
            </w:pPr>
            <w:r>
              <w:rPr>
                <w:rFonts w:asciiTheme="minorEastAsia" w:hAnsiTheme="minorEastAsia" w:cstheme="minorEastAsia" w:hint="eastAsia"/>
                <w:sz w:val="19"/>
                <w:szCs w:val="19"/>
              </w:rPr>
              <w:t>3.31</w:t>
            </w:r>
          </w:p>
        </w:tc>
        <w:tc>
          <w:tcPr>
            <w:tcW w:w="1701" w:type="dxa"/>
          </w:tcPr>
          <w:p w:rsidR="009A2288" w:rsidRDefault="00B13667">
            <w:pPr>
              <w:overflowPunct w:val="0"/>
              <w:autoSpaceDE w:val="0"/>
              <w:autoSpaceDN w:val="0"/>
              <w:snapToGrid w:val="0"/>
              <w:ind w:left="34" w:right="34"/>
              <w:jc w:val="right"/>
              <w:rPr>
                <w:rFonts w:asciiTheme="minorEastAsia" w:hAnsiTheme="minorEastAsia" w:cstheme="minorEastAsia"/>
                <w:sz w:val="19"/>
                <w:szCs w:val="19"/>
              </w:rPr>
            </w:pPr>
            <w:r>
              <w:rPr>
                <w:rFonts w:asciiTheme="minorEastAsia" w:hAnsiTheme="minorEastAsia" w:cstheme="minorEastAsia" w:hint="eastAsia"/>
                <w:sz w:val="19"/>
                <w:szCs w:val="19"/>
              </w:rPr>
              <w:t>-</w:t>
            </w:r>
          </w:p>
        </w:tc>
        <w:tc>
          <w:tcPr>
            <w:tcW w:w="1701" w:type="dxa"/>
            <w:vAlign w:val="center"/>
          </w:tcPr>
          <w:p w:rsidR="009A2288" w:rsidRDefault="00B13667">
            <w:pPr>
              <w:jc w:val="right"/>
              <w:rPr>
                <w:rFonts w:asciiTheme="minorEastAsia" w:hAnsiTheme="minorEastAsia" w:cstheme="minorEastAsia"/>
                <w:sz w:val="19"/>
                <w:szCs w:val="19"/>
              </w:rPr>
            </w:pPr>
            <w:r>
              <w:rPr>
                <w:rFonts w:asciiTheme="minorEastAsia" w:hAnsiTheme="minorEastAsia" w:cstheme="minorEastAsia" w:hint="eastAsia"/>
                <w:sz w:val="19"/>
                <w:szCs w:val="19"/>
              </w:rPr>
              <w:t>-</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rPr>
            </w:pPr>
            <w:r>
              <w:rPr>
                <w:rFonts w:asciiTheme="minorEastAsia" w:hAnsiTheme="minorEastAsia" w:cstheme="minorEastAsia" w:hint="eastAsia"/>
                <w:color w:val="000000"/>
                <w:sz w:val="19"/>
                <w:szCs w:val="19"/>
              </w:rPr>
              <w:t>3.31</w:t>
            </w: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收益小计</w:t>
            </w:r>
          </w:p>
        </w:tc>
        <w:tc>
          <w:tcPr>
            <w:tcW w:w="1843" w:type="dxa"/>
            <w:noWrap/>
            <w:vAlign w:val="bottom"/>
          </w:tcPr>
          <w:p w:rsidR="009A2288" w:rsidRDefault="00B13667">
            <w:pPr>
              <w:overflowPunct w:val="0"/>
              <w:autoSpaceDE w:val="0"/>
              <w:autoSpaceDN w:val="0"/>
              <w:snapToGrid w:val="0"/>
              <w:ind w:left="175" w:right="-42"/>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-108,111.19</w:t>
            </w:r>
          </w:p>
        </w:tc>
        <w:tc>
          <w:tcPr>
            <w:tcW w:w="1701" w:type="dxa"/>
          </w:tcPr>
          <w:p w:rsidR="009A2288" w:rsidRDefault="00B13667">
            <w:pPr>
              <w:overflowPunct w:val="0"/>
              <w:autoSpaceDE w:val="0"/>
              <w:autoSpaceDN w:val="0"/>
              <w:snapToGrid w:val="0"/>
              <w:ind w:left="34" w:right="34"/>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102,815.70</w:t>
            </w:r>
          </w:p>
        </w:tc>
        <w:tc>
          <w:tcPr>
            <w:tcW w:w="1701" w:type="dxa"/>
            <w:vAlign w:val="center"/>
          </w:tcPr>
          <w:p w:rsidR="009A2288" w:rsidRDefault="00B13667">
            <w:pPr>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-23,235.55</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u w:val="single"/>
              </w:rPr>
            </w:pPr>
            <w:r>
              <w:rPr>
                <w:rFonts w:asciiTheme="minorEastAsia" w:hAnsiTheme="minorEastAsia" w:cstheme="minorEastAsia" w:hint="eastAsia"/>
                <w:color w:val="000000"/>
                <w:sz w:val="19"/>
                <w:szCs w:val="19"/>
                <w:u w:val="single"/>
              </w:rPr>
              <w:t xml:space="preserve"> -28,531.04</w:t>
            </w:r>
          </w:p>
        </w:tc>
      </w:tr>
      <w:tr w:rsidR="009A2288">
        <w:trPr>
          <w:gridAfter w:val="5"/>
          <w:wAfter w:w="7135" w:type="dxa"/>
          <w:trHeight w:val="80"/>
        </w:trPr>
        <w:tc>
          <w:tcPr>
            <w:tcW w:w="278" w:type="dxa"/>
          </w:tcPr>
          <w:p w:rsidR="009A2288" w:rsidRDefault="009A2288">
            <w:pPr>
              <w:pBdr>
                <w:bottom w:val="single" w:sz="4" w:space="1" w:color="auto"/>
              </w:pBdr>
              <w:overflowPunct w:val="0"/>
              <w:autoSpaceDE w:val="0"/>
              <w:autoSpaceDN w:val="0"/>
              <w:snapToGrid w:val="0"/>
              <w:ind w:left="601" w:right="705" w:hanging="426"/>
              <w:jc w:val="right"/>
              <w:rPr>
                <w:rFonts w:asciiTheme="minorEastAsia" w:hAnsiTheme="minorEastAsia" w:cstheme="minorEastAsia"/>
                <w:sz w:val="19"/>
                <w:szCs w:val="19"/>
              </w:rPr>
            </w:pPr>
          </w:p>
        </w:tc>
        <w:tc>
          <w:tcPr>
            <w:tcW w:w="1660" w:type="dxa"/>
          </w:tcPr>
          <w:p w:rsidR="009A2288" w:rsidRDefault="009A2288">
            <w:pPr>
              <w:pBdr>
                <w:bottom w:val="single" w:sz="4" w:space="1" w:color="auto"/>
              </w:pBdr>
              <w:overflowPunct w:val="0"/>
              <w:autoSpaceDE w:val="0"/>
              <w:autoSpaceDN w:val="0"/>
              <w:snapToGrid w:val="0"/>
              <w:ind w:left="601" w:right="1905" w:hanging="426"/>
              <w:jc w:val="right"/>
              <w:rPr>
                <w:rFonts w:asciiTheme="minorEastAsia" w:hAnsiTheme="minorEastAsia" w:cstheme="minorEastAsia"/>
                <w:sz w:val="19"/>
                <w:szCs w:val="19"/>
              </w:rPr>
            </w:pP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二、费用</w:t>
            </w:r>
          </w:p>
        </w:tc>
        <w:tc>
          <w:tcPr>
            <w:tcW w:w="1843" w:type="dxa"/>
            <w:noWrap/>
            <w:vAlign w:val="bottom"/>
          </w:tcPr>
          <w:p w:rsidR="009A2288" w:rsidRDefault="009A2288">
            <w:pPr>
              <w:overflowPunct w:val="0"/>
              <w:autoSpaceDE w:val="0"/>
              <w:autoSpaceDN w:val="0"/>
              <w:snapToGrid w:val="0"/>
              <w:ind w:left="1026" w:right="-42"/>
              <w:jc w:val="right"/>
              <w:rPr>
                <w:rFonts w:asciiTheme="minorEastAsia" w:hAnsiTheme="minorEastAsia" w:cstheme="minorEastAsia"/>
                <w:sz w:val="19"/>
                <w:szCs w:val="19"/>
              </w:rPr>
            </w:pPr>
          </w:p>
        </w:tc>
        <w:tc>
          <w:tcPr>
            <w:tcW w:w="1701" w:type="dxa"/>
          </w:tcPr>
          <w:p w:rsidR="009A2288" w:rsidRDefault="009A2288">
            <w:pPr>
              <w:overflowPunct w:val="0"/>
              <w:autoSpaceDE w:val="0"/>
              <w:autoSpaceDN w:val="0"/>
              <w:snapToGrid w:val="0"/>
              <w:ind w:left="-110" w:right="34"/>
              <w:jc w:val="right"/>
              <w:rPr>
                <w:rFonts w:asciiTheme="minorEastAsia" w:hAnsiTheme="minorEastAsia" w:cstheme="minorEastAsia"/>
                <w:sz w:val="19"/>
                <w:szCs w:val="19"/>
              </w:rPr>
            </w:pPr>
          </w:p>
        </w:tc>
        <w:tc>
          <w:tcPr>
            <w:tcW w:w="1701" w:type="dxa"/>
          </w:tcPr>
          <w:p w:rsidR="009A2288" w:rsidRDefault="009A2288">
            <w:pPr>
              <w:overflowPunct w:val="0"/>
              <w:autoSpaceDE w:val="0"/>
              <w:autoSpaceDN w:val="0"/>
              <w:snapToGrid w:val="0"/>
              <w:ind w:left="-110" w:right="34"/>
              <w:jc w:val="right"/>
              <w:rPr>
                <w:rFonts w:asciiTheme="minorEastAsia" w:hAnsiTheme="minorEastAsia" w:cstheme="minorEastAsia"/>
                <w:sz w:val="19"/>
                <w:szCs w:val="19"/>
              </w:rPr>
            </w:pPr>
          </w:p>
        </w:tc>
        <w:tc>
          <w:tcPr>
            <w:tcW w:w="1276" w:type="dxa"/>
          </w:tcPr>
          <w:p w:rsidR="009A2288" w:rsidRDefault="009A2288">
            <w:pPr>
              <w:tabs>
                <w:tab w:val="left" w:pos="125"/>
              </w:tabs>
              <w:overflowPunct w:val="0"/>
              <w:autoSpaceDE w:val="0"/>
              <w:autoSpaceDN w:val="0"/>
              <w:snapToGrid w:val="0"/>
              <w:ind w:left="-193" w:right="65"/>
              <w:jc w:val="right"/>
              <w:rPr>
                <w:rFonts w:asciiTheme="minorEastAsia" w:hAnsiTheme="minorEastAsia" w:cstheme="minorEastAsia"/>
                <w:sz w:val="19"/>
                <w:szCs w:val="19"/>
              </w:rPr>
            </w:pP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1、交易费用</w:t>
            </w:r>
          </w:p>
        </w:tc>
        <w:tc>
          <w:tcPr>
            <w:tcW w:w="1843" w:type="dxa"/>
            <w:noWrap/>
            <w:vAlign w:val="bottom"/>
          </w:tcPr>
          <w:p w:rsidR="009A2288" w:rsidRDefault="00B13667">
            <w:pPr>
              <w:overflowPunct w:val="0"/>
              <w:autoSpaceDE w:val="0"/>
              <w:autoSpaceDN w:val="0"/>
              <w:snapToGrid w:val="0"/>
              <w:ind w:left="464" w:right="-42"/>
              <w:jc w:val="right"/>
              <w:rPr>
                <w:rFonts w:asciiTheme="minorEastAsia" w:hAnsiTheme="minorEastAsia" w:cstheme="minorEastAsia"/>
                <w:sz w:val="19"/>
                <w:szCs w:val="19"/>
              </w:rPr>
            </w:pPr>
            <w:r>
              <w:rPr>
                <w:rFonts w:asciiTheme="minorEastAsia" w:hAnsiTheme="minorEastAsia" w:cstheme="minorEastAsia" w:hint="eastAsia"/>
                <w:sz w:val="19"/>
                <w:szCs w:val="19"/>
              </w:rPr>
              <w:t>41,003.61</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11,459.66</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120.37</w:t>
            </w:r>
          </w:p>
        </w:tc>
        <w:tc>
          <w:tcPr>
            <w:tcW w:w="1276" w:type="dxa"/>
            <w:vAlign w:val="bottom"/>
          </w:tcPr>
          <w:p w:rsidR="009A2288" w:rsidRDefault="00B13667">
            <w:pPr>
              <w:widowControl/>
              <w:tabs>
                <w:tab w:val="left" w:pos="125"/>
              </w:tabs>
              <w:ind w:left="-193" w:right="65"/>
              <w:jc w:val="right"/>
              <w:rPr>
                <w:rFonts w:asciiTheme="minorEastAsia" w:hAnsiTheme="minorEastAsia" w:cstheme="minorEastAsia"/>
                <w:color w:val="000000"/>
                <w:kern w:val="0"/>
                <w:sz w:val="19"/>
                <w:szCs w:val="19"/>
              </w:rPr>
            </w:pPr>
            <w:r>
              <w:rPr>
                <w:rFonts w:asciiTheme="minorEastAsia" w:hAnsiTheme="minorEastAsia" w:cstheme="minorEastAsia" w:hint="eastAsia"/>
                <w:color w:val="000000"/>
                <w:sz w:val="19"/>
                <w:szCs w:val="19"/>
              </w:rPr>
              <w:t>52,583.64</w:t>
            </w: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2、股息红利税</w:t>
            </w:r>
          </w:p>
        </w:tc>
        <w:tc>
          <w:tcPr>
            <w:tcW w:w="1843" w:type="dxa"/>
            <w:noWrap/>
            <w:vAlign w:val="bottom"/>
          </w:tcPr>
          <w:p w:rsidR="009A2288" w:rsidRDefault="00B13667">
            <w:pPr>
              <w:overflowPunct w:val="0"/>
              <w:autoSpaceDE w:val="0"/>
              <w:autoSpaceDN w:val="0"/>
              <w:snapToGrid w:val="0"/>
              <w:ind w:left="464" w:right="-42"/>
              <w:jc w:val="right"/>
              <w:rPr>
                <w:rFonts w:asciiTheme="minorEastAsia" w:hAnsiTheme="minorEastAsia" w:cstheme="minorEastAsia"/>
                <w:sz w:val="19"/>
                <w:szCs w:val="19"/>
              </w:rPr>
            </w:pPr>
            <w:r>
              <w:rPr>
                <w:rFonts w:asciiTheme="minorEastAsia" w:hAnsiTheme="minorEastAsia" w:cstheme="minorEastAsia" w:hint="eastAsia"/>
                <w:sz w:val="19"/>
                <w:szCs w:val="19"/>
              </w:rPr>
              <w:t>55,566.02</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2,192.40</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rPr>
            </w:pPr>
            <w:r>
              <w:rPr>
                <w:rFonts w:asciiTheme="minorEastAsia" w:hAnsiTheme="minorEastAsia" w:cstheme="minorEastAsia" w:hint="eastAsia"/>
                <w:color w:val="000000"/>
                <w:sz w:val="19"/>
                <w:szCs w:val="19"/>
              </w:rPr>
              <w:t>57,758.42</w:t>
            </w: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3、银行汇划费</w:t>
            </w:r>
          </w:p>
        </w:tc>
        <w:tc>
          <w:tcPr>
            <w:tcW w:w="1843" w:type="dxa"/>
            <w:noWrap/>
            <w:vAlign w:val="bottom"/>
          </w:tcPr>
          <w:p w:rsidR="009A2288" w:rsidRDefault="00B13667">
            <w:pPr>
              <w:overflowPunct w:val="0"/>
              <w:autoSpaceDE w:val="0"/>
              <w:autoSpaceDN w:val="0"/>
              <w:snapToGrid w:val="0"/>
              <w:ind w:left="464" w:right="-42"/>
              <w:jc w:val="right"/>
              <w:rPr>
                <w:rFonts w:asciiTheme="minorEastAsia" w:hAnsiTheme="minorEastAsia" w:cstheme="minorEastAsia"/>
                <w:sz w:val="19"/>
                <w:szCs w:val="19"/>
              </w:rPr>
            </w:pPr>
            <w:r>
              <w:rPr>
                <w:rFonts w:asciiTheme="minorEastAsia" w:hAnsiTheme="minorEastAsia" w:cstheme="minorEastAsia" w:hint="eastAsia"/>
                <w:sz w:val="19"/>
                <w:szCs w:val="19"/>
              </w:rPr>
              <w:t>29.00</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18.00</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rPr>
            </w:pPr>
            <w:r>
              <w:rPr>
                <w:rFonts w:asciiTheme="minorEastAsia" w:hAnsiTheme="minorEastAsia" w:cstheme="minorEastAsia" w:hint="eastAsia"/>
                <w:sz w:val="19"/>
                <w:szCs w:val="19"/>
              </w:rPr>
              <w:t>52.00</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rPr>
            </w:pPr>
            <w:r>
              <w:rPr>
                <w:rFonts w:asciiTheme="minorEastAsia" w:hAnsiTheme="minorEastAsia" w:cstheme="minorEastAsia" w:hint="eastAsia"/>
                <w:color w:val="000000"/>
                <w:sz w:val="19"/>
                <w:szCs w:val="19"/>
              </w:rPr>
              <w:t>99.00</w:t>
            </w:r>
          </w:p>
        </w:tc>
      </w:tr>
      <w:tr w:rsidR="009A2288">
        <w:trPr>
          <w:trHeight w:val="80"/>
        </w:trPr>
        <w:tc>
          <w:tcPr>
            <w:tcW w:w="2552" w:type="dxa"/>
            <w:gridSpan w:val="3"/>
            <w:noWrap/>
            <w:vAlign w:val="bottom"/>
          </w:tcPr>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费用小计</w:t>
            </w:r>
          </w:p>
        </w:tc>
        <w:tc>
          <w:tcPr>
            <w:tcW w:w="1843" w:type="dxa"/>
            <w:noWrap/>
            <w:vAlign w:val="bottom"/>
          </w:tcPr>
          <w:p w:rsidR="009A2288" w:rsidRDefault="00B13667">
            <w:pPr>
              <w:overflowPunct w:val="0"/>
              <w:autoSpaceDE w:val="0"/>
              <w:autoSpaceDN w:val="0"/>
              <w:snapToGrid w:val="0"/>
              <w:ind w:left="464" w:right="-42"/>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96,598.63</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13,670.06</w:t>
            </w:r>
          </w:p>
        </w:tc>
        <w:tc>
          <w:tcPr>
            <w:tcW w:w="1701" w:type="dxa"/>
          </w:tcPr>
          <w:p w:rsidR="009A2288" w:rsidRDefault="00B13667">
            <w:pPr>
              <w:overflowPunct w:val="0"/>
              <w:autoSpaceDE w:val="0"/>
              <w:autoSpaceDN w:val="0"/>
              <w:snapToGrid w:val="0"/>
              <w:ind w:left="-110" w:right="34"/>
              <w:jc w:val="right"/>
              <w:rPr>
                <w:rFonts w:asciiTheme="minorEastAsia" w:hAnsiTheme="minorEastAsia" w:cstheme="minorEastAsia"/>
                <w:sz w:val="19"/>
                <w:szCs w:val="19"/>
                <w:u w:val="single"/>
              </w:rPr>
            </w:pPr>
            <w:r>
              <w:rPr>
                <w:rFonts w:asciiTheme="minorEastAsia" w:hAnsiTheme="minorEastAsia" w:cstheme="minorEastAsia" w:hint="eastAsia"/>
                <w:sz w:val="19"/>
                <w:szCs w:val="19"/>
                <w:u w:val="single"/>
              </w:rPr>
              <w:t xml:space="preserve">  172.37</w:t>
            </w:r>
          </w:p>
        </w:tc>
        <w:tc>
          <w:tcPr>
            <w:tcW w:w="1276" w:type="dxa"/>
            <w:vAlign w:val="bottom"/>
          </w:tcPr>
          <w:p w:rsidR="009A2288" w:rsidRDefault="00B13667">
            <w:pPr>
              <w:tabs>
                <w:tab w:val="left" w:pos="125"/>
              </w:tabs>
              <w:ind w:left="-193" w:right="65"/>
              <w:jc w:val="right"/>
              <w:rPr>
                <w:rFonts w:asciiTheme="minorEastAsia" w:hAnsiTheme="minorEastAsia" w:cstheme="minorEastAsia"/>
                <w:color w:val="000000"/>
                <w:sz w:val="19"/>
                <w:szCs w:val="19"/>
                <w:u w:val="single"/>
              </w:rPr>
            </w:pPr>
            <w:r>
              <w:rPr>
                <w:rFonts w:asciiTheme="minorEastAsia" w:hAnsiTheme="minorEastAsia" w:cstheme="minorEastAsia" w:hint="eastAsia"/>
                <w:color w:val="000000"/>
                <w:sz w:val="19"/>
                <w:szCs w:val="19"/>
                <w:u w:val="single"/>
              </w:rPr>
              <w:t xml:space="preserve"> 110,441.06</w:t>
            </w:r>
          </w:p>
        </w:tc>
      </w:tr>
      <w:tr w:rsidR="009A2288">
        <w:trPr>
          <w:trHeight w:val="80"/>
        </w:trPr>
        <w:tc>
          <w:tcPr>
            <w:tcW w:w="2552" w:type="dxa"/>
            <w:gridSpan w:val="3"/>
            <w:noWrap/>
            <w:vAlign w:val="bottom"/>
          </w:tcPr>
          <w:p w:rsidR="009A2288" w:rsidRDefault="009A2288">
            <w:pPr>
              <w:overflowPunct w:val="0"/>
              <w:autoSpaceDE w:val="0"/>
              <w:autoSpaceDN w:val="0"/>
              <w:snapToGrid w:val="0"/>
              <w:ind w:left="601" w:hanging="426"/>
              <w:jc w:val="left"/>
              <w:rPr>
                <w:rFonts w:asciiTheme="minorEastAsia" w:hAnsiTheme="minorEastAsia" w:cstheme="minorEastAsia"/>
                <w:sz w:val="19"/>
                <w:szCs w:val="19"/>
              </w:rPr>
            </w:pPr>
          </w:p>
          <w:p w:rsidR="009A2288" w:rsidRDefault="00B13667">
            <w:pPr>
              <w:overflowPunct w:val="0"/>
              <w:autoSpaceDE w:val="0"/>
              <w:autoSpaceDN w:val="0"/>
              <w:snapToGrid w:val="0"/>
              <w:ind w:left="601" w:hanging="426"/>
              <w:jc w:val="left"/>
              <w:rPr>
                <w:rFonts w:asciiTheme="minorEastAsia" w:hAnsiTheme="minorEastAsia" w:cstheme="minorEastAsia"/>
                <w:sz w:val="19"/>
                <w:szCs w:val="19"/>
              </w:rPr>
            </w:pPr>
            <w:r>
              <w:rPr>
                <w:rFonts w:asciiTheme="minorEastAsia" w:hAnsiTheme="minorEastAsia" w:cstheme="minorEastAsia" w:hint="eastAsia"/>
                <w:sz w:val="19"/>
                <w:szCs w:val="19"/>
              </w:rPr>
              <w:t>三、清算期间净损益</w:t>
            </w:r>
          </w:p>
        </w:tc>
        <w:tc>
          <w:tcPr>
            <w:tcW w:w="1843" w:type="dxa"/>
            <w:noWrap/>
            <w:vAlign w:val="bottom"/>
          </w:tcPr>
          <w:p w:rsidR="009A2288" w:rsidRDefault="00B13667">
            <w:pPr>
              <w:overflowPunct w:val="0"/>
              <w:autoSpaceDE w:val="0"/>
              <w:autoSpaceDN w:val="0"/>
              <w:snapToGrid w:val="0"/>
              <w:ind w:left="464"/>
              <w:jc w:val="right"/>
              <w:rPr>
                <w:rFonts w:asciiTheme="minorEastAsia" w:hAnsiTheme="minorEastAsia" w:cstheme="minorEastAsia"/>
                <w:sz w:val="19"/>
                <w:szCs w:val="19"/>
              </w:rPr>
            </w:pPr>
            <w:r>
              <w:rPr>
                <w:rFonts w:asciiTheme="minorEastAsia" w:hAnsiTheme="minorEastAsia" w:cstheme="minorEastAsia" w:hint="eastAsia"/>
                <w:sz w:val="19"/>
                <w:szCs w:val="19"/>
                <w:u w:val="double"/>
              </w:rPr>
              <w:t xml:space="preserve"> -204,709.82</w:t>
            </w:r>
          </w:p>
        </w:tc>
        <w:tc>
          <w:tcPr>
            <w:tcW w:w="1701" w:type="dxa"/>
          </w:tcPr>
          <w:p w:rsidR="009A2288" w:rsidRDefault="009A2288">
            <w:pPr>
              <w:overflowPunct w:val="0"/>
              <w:autoSpaceDE w:val="0"/>
              <w:autoSpaceDN w:val="0"/>
              <w:snapToGrid w:val="0"/>
              <w:ind w:left="-110"/>
              <w:jc w:val="right"/>
              <w:rPr>
                <w:rFonts w:asciiTheme="minorEastAsia" w:hAnsiTheme="minorEastAsia" w:cstheme="minorEastAsia"/>
                <w:sz w:val="19"/>
                <w:szCs w:val="19"/>
              </w:rPr>
            </w:pPr>
          </w:p>
          <w:p w:rsidR="009A2288" w:rsidRDefault="00B13667">
            <w:pPr>
              <w:overflowPunct w:val="0"/>
              <w:autoSpaceDE w:val="0"/>
              <w:autoSpaceDN w:val="0"/>
              <w:snapToGrid w:val="0"/>
              <w:ind w:left="-110"/>
              <w:jc w:val="right"/>
              <w:rPr>
                <w:rFonts w:asciiTheme="minorEastAsia" w:hAnsiTheme="minorEastAsia" w:cstheme="minorEastAsia"/>
                <w:sz w:val="19"/>
                <w:szCs w:val="19"/>
                <w:u w:val="double"/>
              </w:rPr>
            </w:pPr>
            <w:r>
              <w:rPr>
                <w:rFonts w:asciiTheme="minorEastAsia" w:hAnsiTheme="minorEastAsia" w:cstheme="minorEastAsia" w:hint="eastAsia"/>
                <w:sz w:val="19"/>
                <w:szCs w:val="19"/>
                <w:u w:val="double"/>
              </w:rPr>
              <w:t xml:space="preserve">  89,145.64  </w:t>
            </w:r>
          </w:p>
        </w:tc>
        <w:tc>
          <w:tcPr>
            <w:tcW w:w="1701" w:type="dxa"/>
          </w:tcPr>
          <w:p w:rsidR="009A2288" w:rsidRDefault="009A2288">
            <w:pPr>
              <w:overflowPunct w:val="0"/>
              <w:autoSpaceDE w:val="0"/>
              <w:autoSpaceDN w:val="0"/>
              <w:snapToGrid w:val="0"/>
              <w:ind w:left="-110"/>
              <w:jc w:val="right"/>
              <w:rPr>
                <w:rFonts w:asciiTheme="minorEastAsia" w:hAnsiTheme="minorEastAsia" w:cstheme="minorEastAsia"/>
                <w:sz w:val="19"/>
                <w:szCs w:val="19"/>
              </w:rPr>
            </w:pPr>
          </w:p>
          <w:p w:rsidR="009A2288" w:rsidRDefault="00B13667">
            <w:pPr>
              <w:overflowPunct w:val="0"/>
              <w:autoSpaceDE w:val="0"/>
              <w:autoSpaceDN w:val="0"/>
              <w:snapToGrid w:val="0"/>
              <w:ind w:left="-110"/>
              <w:jc w:val="right"/>
              <w:rPr>
                <w:rFonts w:asciiTheme="minorEastAsia" w:hAnsiTheme="minorEastAsia" w:cstheme="minorEastAsia"/>
                <w:sz w:val="19"/>
                <w:szCs w:val="19"/>
                <w:u w:val="double"/>
              </w:rPr>
            </w:pPr>
            <w:r>
              <w:rPr>
                <w:rFonts w:asciiTheme="minorEastAsia" w:hAnsiTheme="minorEastAsia" w:cstheme="minorEastAsia" w:hint="eastAsia"/>
                <w:sz w:val="19"/>
                <w:szCs w:val="19"/>
                <w:u w:val="double"/>
              </w:rPr>
              <w:t xml:space="preserve">  -23,407.92  </w:t>
            </w:r>
          </w:p>
        </w:tc>
        <w:tc>
          <w:tcPr>
            <w:tcW w:w="1276" w:type="dxa"/>
          </w:tcPr>
          <w:p w:rsidR="009A2288" w:rsidRDefault="009A2288">
            <w:pPr>
              <w:tabs>
                <w:tab w:val="left" w:pos="125"/>
              </w:tabs>
              <w:overflowPunct w:val="0"/>
              <w:autoSpaceDE w:val="0"/>
              <w:autoSpaceDN w:val="0"/>
              <w:snapToGrid w:val="0"/>
              <w:ind w:left="-193" w:right="65"/>
              <w:jc w:val="right"/>
              <w:rPr>
                <w:rFonts w:asciiTheme="minorEastAsia" w:hAnsiTheme="minorEastAsia" w:cstheme="minorEastAsia"/>
                <w:sz w:val="19"/>
                <w:szCs w:val="19"/>
              </w:rPr>
            </w:pPr>
          </w:p>
          <w:p w:rsidR="009A2288" w:rsidRDefault="00B13667">
            <w:pPr>
              <w:tabs>
                <w:tab w:val="left" w:pos="125"/>
              </w:tabs>
              <w:overflowPunct w:val="0"/>
              <w:autoSpaceDE w:val="0"/>
              <w:autoSpaceDN w:val="0"/>
              <w:snapToGrid w:val="0"/>
              <w:ind w:left="-193" w:right="65"/>
              <w:jc w:val="right"/>
              <w:rPr>
                <w:rFonts w:asciiTheme="minorEastAsia" w:hAnsiTheme="minorEastAsia" w:cstheme="minorEastAsia"/>
                <w:sz w:val="19"/>
                <w:szCs w:val="19"/>
                <w:u w:val="double"/>
              </w:rPr>
            </w:pPr>
            <w:r>
              <w:rPr>
                <w:rFonts w:asciiTheme="minorEastAsia" w:hAnsiTheme="minorEastAsia" w:cstheme="minorEastAsia" w:hint="eastAsia"/>
                <w:sz w:val="19"/>
                <w:szCs w:val="19"/>
                <w:u w:val="double"/>
              </w:rPr>
              <w:t xml:space="preserve"> -138,972.10</w:t>
            </w:r>
          </w:p>
        </w:tc>
      </w:tr>
    </w:tbl>
    <w:p w:rsidR="009A2288" w:rsidRDefault="00B13667">
      <w:pPr>
        <w:pStyle w:val="Default"/>
        <w:spacing w:line="360" w:lineRule="auto"/>
        <w:rPr>
          <w:rFonts w:ascii="宋体" w:eastAsia="宋体" w:cs="宋体"/>
          <w:color w:val="auto"/>
          <w:sz w:val="18"/>
          <w:szCs w:val="18"/>
        </w:rPr>
      </w:pPr>
      <w:r>
        <w:rPr>
          <w:rFonts w:ascii="宋体" w:eastAsia="宋体" w:cs="宋体" w:hint="eastAsia"/>
          <w:color w:val="auto"/>
          <w:sz w:val="18"/>
          <w:szCs w:val="18"/>
        </w:rPr>
        <w:t>注1：利息收入系计提的自201</w:t>
      </w:r>
      <w:r>
        <w:rPr>
          <w:rFonts w:ascii="宋体" w:eastAsia="宋体" w:cs="宋体"/>
          <w:color w:val="auto"/>
          <w:sz w:val="18"/>
          <w:szCs w:val="18"/>
        </w:rPr>
        <w:t>8</w:t>
      </w:r>
      <w:r>
        <w:rPr>
          <w:rFonts w:ascii="宋体" w:eastAsia="宋体" w:cs="宋体" w:hint="eastAsia"/>
          <w:color w:val="auto"/>
          <w:sz w:val="18"/>
          <w:szCs w:val="18"/>
        </w:rPr>
        <w:t>年</w:t>
      </w:r>
      <w:r>
        <w:rPr>
          <w:rFonts w:ascii="宋体" w:eastAsia="宋体" w:cs="宋体"/>
          <w:color w:val="auto"/>
          <w:sz w:val="18"/>
          <w:szCs w:val="18"/>
        </w:rPr>
        <w:t>8</w:t>
      </w:r>
      <w:r>
        <w:rPr>
          <w:rFonts w:ascii="宋体" w:eastAsia="宋体" w:cs="宋体" w:hint="eastAsia"/>
          <w:color w:val="auto"/>
          <w:sz w:val="18"/>
          <w:szCs w:val="18"/>
        </w:rPr>
        <w:t>月</w:t>
      </w:r>
      <w:r>
        <w:rPr>
          <w:rFonts w:ascii="宋体" w:eastAsia="宋体" w:cs="宋体"/>
          <w:color w:val="auto"/>
          <w:sz w:val="18"/>
          <w:szCs w:val="18"/>
        </w:rPr>
        <w:t>22</w:t>
      </w:r>
      <w:r>
        <w:rPr>
          <w:rFonts w:ascii="宋体" w:eastAsia="宋体" w:cs="宋体" w:hint="eastAsia"/>
          <w:color w:val="auto"/>
          <w:sz w:val="18"/>
          <w:szCs w:val="18"/>
        </w:rPr>
        <w:t>日至201</w:t>
      </w:r>
      <w:r>
        <w:rPr>
          <w:rFonts w:ascii="宋体" w:eastAsia="宋体" w:cs="宋体"/>
          <w:color w:val="auto"/>
          <w:sz w:val="18"/>
          <w:szCs w:val="18"/>
        </w:rPr>
        <w:t>9</w:t>
      </w:r>
      <w:r>
        <w:rPr>
          <w:rFonts w:ascii="宋体" w:eastAsia="宋体" w:cs="宋体" w:hint="eastAsia"/>
          <w:color w:val="auto"/>
          <w:sz w:val="18"/>
          <w:szCs w:val="18"/>
        </w:rPr>
        <w:t>年</w:t>
      </w:r>
      <w:r>
        <w:rPr>
          <w:rFonts w:ascii="宋体" w:eastAsia="宋体" w:cs="宋体"/>
          <w:color w:val="auto"/>
          <w:sz w:val="18"/>
          <w:szCs w:val="18"/>
        </w:rPr>
        <w:t>7</w:t>
      </w:r>
      <w:r>
        <w:rPr>
          <w:rFonts w:ascii="宋体" w:eastAsia="宋体" w:cs="宋体" w:hint="eastAsia"/>
          <w:color w:val="auto"/>
          <w:sz w:val="18"/>
          <w:szCs w:val="18"/>
        </w:rPr>
        <w:t>月</w:t>
      </w:r>
      <w:r>
        <w:rPr>
          <w:rFonts w:ascii="宋体" w:eastAsia="宋体" w:cs="宋体"/>
          <w:color w:val="auto"/>
          <w:sz w:val="18"/>
          <w:szCs w:val="18"/>
        </w:rPr>
        <w:t>24</w:t>
      </w:r>
      <w:r>
        <w:rPr>
          <w:rFonts w:ascii="宋体" w:eastAsia="宋体" w:cs="宋体" w:hint="eastAsia"/>
          <w:color w:val="auto"/>
          <w:sz w:val="18"/>
          <w:szCs w:val="18"/>
        </w:rPr>
        <w:t>日止清算期间的银行存款利息、结算备付金利息、存出保证金利息及实际收到的直销申购款利息。</w:t>
      </w:r>
    </w:p>
    <w:p w:rsidR="009A2288" w:rsidRDefault="00B13667">
      <w:pPr>
        <w:pStyle w:val="Default"/>
        <w:spacing w:line="360" w:lineRule="auto"/>
        <w:rPr>
          <w:rFonts w:ascii="宋体" w:eastAsia="宋体" w:cs="宋体"/>
          <w:color w:val="auto"/>
          <w:sz w:val="18"/>
          <w:szCs w:val="18"/>
        </w:rPr>
      </w:pPr>
      <w:r>
        <w:rPr>
          <w:rFonts w:ascii="宋体" w:eastAsia="宋体" w:cs="宋体"/>
          <w:color w:val="auto"/>
          <w:sz w:val="18"/>
          <w:szCs w:val="18"/>
        </w:rPr>
        <w:t>注</w:t>
      </w:r>
      <w:r>
        <w:rPr>
          <w:rFonts w:ascii="宋体" w:eastAsia="宋体" w:cs="宋体" w:hint="eastAsia"/>
          <w:color w:val="auto"/>
          <w:sz w:val="18"/>
          <w:szCs w:val="18"/>
        </w:rPr>
        <w:t>2：股票变现损益为一次清算期间与其最后运作日（2018年8月21日）估值金额的差额，二次清算期间卖出的万达电影和经纬纺机的成交金额与其在一次清算期末（2018年9月12日）的估值金额的差额，以及和三次清算期间卖出的信威集团股票成交金额与其停牌价格的差额。</w:t>
      </w:r>
    </w:p>
    <w:p w:rsidR="009A2288" w:rsidRDefault="00B13667">
      <w:pPr>
        <w:pStyle w:val="Default"/>
        <w:spacing w:line="360" w:lineRule="auto"/>
        <w:rPr>
          <w:rFonts w:ascii="宋体" w:eastAsia="宋体" w:cs="宋体"/>
          <w:color w:val="auto"/>
          <w:sz w:val="18"/>
          <w:szCs w:val="18"/>
        </w:rPr>
      </w:pPr>
      <w:r>
        <w:rPr>
          <w:rFonts w:ascii="宋体" w:eastAsia="宋体" w:cs="宋体"/>
          <w:color w:val="auto"/>
          <w:sz w:val="18"/>
          <w:szCs w:val="18"/>
        </w:rPr>
        <w:t>注3</w:t>
      </w:r>
      <w:r>
        <w:rPr>
          <w:rFonts w:ascii="宋体" w:eastAsia="宋体" w:cs="宋体" w:hint="eastAsia"/>
          <w:color w:val="auto"/>
          <w:sz w:val="18"/>
          <w:szCs w:val="18"/>
        </w:rPr>
        <w:t>：停牌股票公允价值变动损益为流通受限证券万达电影及经纬纺机按照指数估值法在一次清算期末与其最后运作日估值金额的差额。</w:t>
      </w:r>
    </w:p>
    <w:p w:rsidR="009A2288" w:rsidRDefault="009A2288">
      <w:pPr>
        <w:pStyle w:val="Default"/>
        <w:spacing w:line="360" w:lineRule="auto"/>
        <w:rPr>
          <w:rFonts w:ascii="宋体" w:eastAsia="宋体" w:cs="宋体"/>
          <w:color w:val="auto"/>
          <w:sz w:val="22"/>
          <w:szCs w:val="22"/>
        </w:rPr>
      </w:pPr>
    </w:p>
    <w:p w:rsidR="009A2288" w:rsidRDefault="009A2288">
      <w:pPr>
        <w:autoSpaceDE w:val="0"/>
        <w:autoSpaceDN w:val="0"/>
        <w:adjustRightInd w:val="0"/>
        <w:jc w:val="left"/>
        <w:rPr>
          <w:rFonts w:ascii="宋体" w:eastAsia="宋体" w:cs="宋体"/>
          <w:color w:val="000000"/>
          <w:kern w:val="0"/>
          <w:sz w:val="24"/>
          <w:szCs w:val="24"/>
        </w:rPr>
      </w:pPr>
    </w:p>
    <w:p w:rsidR="009A2288" w:rsidRDefault="00B13667">
      <w:pPr>
        <w:pStyle w:val="Default"/>
        <w:rPr>
          <w:rFonts w:ascii="宋体" w:eastAsia="宋体" w:cs="宋体"/>
          <w:b/>
          <w:color w:val="auto"/>
          <w:sz w:val="28"/>
          <w:szCs w:val="28"/>
        </w:rPr>
      </w:pPr>
      <w:r>
        <w:rPr>
          <w:rFonts w:ascii="宋体" w:eastAsia="宋体" w:cs="宋体" w:hint="eastAsia"/>
          <w:b/>
          <w:color w:val="auto"/>
          <w:sz w:val="28"/>
          <w:szCs w:val="28"/>
        </w:rPr>
        <w:t>六、资产处置及负债清偿后的剩余资产分配情况</w:t>
      </w:r>
    </w:p>
    <w:p w:rsidR="009A2288" w:rsidRDefault="00B13667">
      <w:pPr>
        <w:pStyle w:val="Default"/>
        <w:jc w:val="right"/>
        <w:rPr>
          <w:rFonts w:asciiTheme="majorEastAsia" w:eastAsiaTheme="majorEastAsia" w:hAnsiTheme="majorEastAsia" w:cstheme="majorEastAsia"/>
          <w:b/>
          <w:color w:val="auto"/>
          <w:sz w:val="21"/>
          <w:szCs w:val="21"/>
        </w:rPr>
      </w:pPr>
      <w:r>
        <w:rPr>
          <w:rFonts w:asciiTheme="majorEastAsia" w:eastAsiaTheme="majorEastAsia" w:hAnsiTheme="majorEastAsia" w:cstheme="majorEastAsia" w:hint="eastAsia"/>
          <w:color w:val="2C2C2C"/>
          <w:sz w:val="21"/>
          <w:szCs w:val="21"/>
        </w:rPr>
        <w:t>单位：人民币元</w:t>
      </w:r>
    </w:p>
    <w:tbl>
      <w:tblPr>
        <w:tblStyle w:val="a7"/>
        <w:tblW w:w="8522" w:type="dxa"/>
        <w:tblLayout w:type="fixed"/>
        <w:tblLook w:val="04A0"/>
      </w:tblPr>
      <w:tblGrid>
        <w:gridCol w:w="4928"/>
        <w:gridCol w:w="3594"/>
      </w:tblGrid>
      <w:tr w:rsidR="009A2288">
        <w:tc>
          <w:tcPr>
            <w:tcW w:w="4928" w:type="dxa"/>
          </w:tcPr>
          <w:p w:rsidR="009A2288" w:rsidRDefault="00B13667">
            <w:pPr>
              <w:overflowPunct w:val="0"/>
              <w:autoSpaceDE w:val="0"/>
              <w:autoSpaceDN w:val="0"/>
              <w:snapToGrid w:val="0"/>
              <w:jc w:val="left"/>
              <w:rPr>
                <w:rFonts w:asciiTheme="minorEastAsia" w:hAnsiTheme="minorEastAsia" w:cstheme="minorEastAsia"/>
                <w:szCs w:val="21"/>
              </w:rPr>
            </w:pPr>
            <w:r>
              <w:rPr>
                <w:rFonts w:ascii="黑体" w:eastAsia="黑体" w:hAnsi="黑体" w:cs="Arial" w:hint="eastAsia"/>
                <w:sz w:val="22"/>
              </w:rPr>
              <w:t>项目</w:t>
            </w:r>
          </w:p>
        </w:tc>
        <w:tc>
          <w:tcPr>
            <w:tcW w:w="3594" w:type="dxa"/>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cs="Arial" w:hint="eastAsia"/>
                <w:sz w:val="22"/>
              </w:rPr>
              <w:t>金额</w:t>
            </w:r>
          </w:p>
        </w:tc>
      </w:tr>
      <w:tr w:rsidR="009A2288">
        <w:tc>
          <w:tcPr>
            <w:tcW w:w="4928" w:type="dxa"/>
          </w:tcPr>
          <w:p w:rsidR="009A2288" w:rsidRDefault="00B13667">
            <w:pPr>
              <w:overflowPunct w:val="0"/>
              <w:autoSpaceDE w:val="0"/>
              <w:autoSpaceDN w:val="0"/>
              <w:snapToGrid w:val="0"/>
              <w:rPr>
                <w:rFonts w:asciiTheme="minorEastAsia" w:hAnsiTheme="minorEastAsia" w:cstheme="minorEastAsia"/>
                <w:szCs w:val="21"/>
              </w:rPr>
            </w:pPr>
            <w:r>
              <w:rPr>
                <w:rFonts w:ascii="黑体" w:eastAsia="黑体" w:hAnsi="黑体" w:cs="Arial" w:hint="eastAsia"/>
                <w:sz w:val="22"/>
              </w:rPr>
              <w:t>一、最后运作日2018年</w:t>
            </w:r>
            <w:r>
              <w:rPr>
                <w:rFonts w:ascii="黑体" w:eastAsia="黑体" w:hAnsi="黑体" w:cs="Arial"/>
                <w:sz w:val="22"/>
              </w:rPr>
              <w:t>8</w:t>
            </w:r>
            <w:r>
              <w:rPr>
                <w:rFonts w:ascii="黑体" w:eastAsia="黑体" w:hAnsi="黑体" w:cs="Arial" w:hint="eastAsia"/>
                <w:sz w:val="22"/>
              </w:rPr>
              <w:t>月</w:t>
            </w:r>
            <w:r>
              <w:rPr>
                <w:rFonts w:ascii="黑体" w:eastAsia="黑体" w:hAnsi="黑体" w:cs="Arial"/>
                <w:sz w:val="22"/>
              </w:rPr>
              <w:t>21</w:t>
            </w:r>
            <w:r>
              <w:rPr>
                <w:rFonts w:ascii="黑体" w:eastAsia="黑体" w:hAnsi="黑体" w:cs="Arial" w:hint="eastAsia"/>
                <w:sz w:val="22"/>
              </w:rPr>
              <w:t>日基金净资产</w:t>
            </w:r>
          </w:p>
        </w:tc>
        <w:tc>
          <w:tcPr>
            <w:tcW w:w="3594" w:type="dxa"/>
            <w:vAlign w:val="center"/>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sz w:val="22"/>
              </w:rPr>
              <w:t>32,553,287.66</w:t>
            </w:r>
          </w:p>
        </w:tc>
      </w:tr>
      <w:tr w:rsidR="009A2288">
        <w:tc>
          <w:tcPr>
            <w:tcW w:w="4928" w:type="dxa"/>
          </w:tcPr>
          <w:p w:rsidR="009A2288" w:rsidRDefault="00B13667">
            <w:pPr>
              <w:overflowPunct w:val="0"/>
              <w:autoSpaceDE w:val="0"/>
              <w:autoSpaceDN w:val="0"/>
              <w:snapToGrid w:val="0"/>
              <w:rPr>
                <w:rFonts w:ascii="黑体" w:eastAsia="黑体" w:hAnsi="黑体" w:cs="Arial"/>
                <w:sz w:val="22"/>
              </w:rPr>
            </w:pPr>
            <w:r>
              <w:rPr>
                <w:rFonts w:ascii="黑体" w:eastAsia="黑体" w:hAnsi="黑体" w:cs="Arial" w:hint="eastAsia"/>
                <w:sz w:val="22"/>
              </w:rPr>
              <w:t>加：自201</w:t>
            </w:r>
            <w:r>
              <w:rPr>
                <w:rFonts w:ascii="黑体" w:eastAsia="黑体" w:hAnsi="黑体" w:cs="Arial"/>
                <w:sz w:val="22"/>
              </w:rPr>
              <w:t>8</w:t>
            </w:r>
            <w:r>
              <w:rPr>
                <w:rFonts w:ascii="黑体" w:eastAsia="黑体" w:hAnsi="黑体" w:cs="Arial" w:hint="eastAsia"/>
                <w:sz w:val="22"/>
              </w:rPr>
              <w:t>年</w:t>
            </w:r>
            <w:r>
              <w:rPr>
                <w:rFonts w:ascii="黑体" w:eastAsia="黑体" w:hAnsi="黑体" w:cs="Arial"/>
                <w:sz w:val="22"/>
              </w:rPr>
              <w:t>8</w:t>
            </w:r>
            <w:r>
              <w:rPr>
                <w:rFonts w:ascii="黑体" w:eastAsia="黑体" w:hAnsi="黑体" w:cs="Arial" w:hint="eastAsia"/>
                <w:sz w:val="22"/>
              </w:rPr>
              <w:t>月</w:t>
            </w:r>
            <w:r>
              <w:rPr>
                <w:rFonts w:ascii="黑体" w:eastAsia="黑体" w:hAnsi="黑体" w:cs="Arial"/>
                <w:sz w:val="22"/>
              </w:rPr>
              <w:t>22</w:t>
            </w:r>
            <w:r>
              <w:rPr>
                <w:rFonts w:ascii="黑体" w:eastAsia="黑体" w:hAnsi="黑体" w:cs="Arial" w:hint="eastAsia"/>
                <w:sz w:val="22"/>
              </w:rPr>
              <w:t>日至2019年7月2</w:t>
            </w:r>
            <w:r>
              <w:rPr>
                <w:rFonts w:ascii="黑体" w:eastAsia="黑体" w:hAnsi="黑体" w:cs="Arial"/>
                <w:sz w:val="22"/>
              </w:rPr>
              <w:t>4</w:t>
            </w:r>
            <w:r>
              <w:rPr>
                <w:rFonts w:ascii="黑体" w:eastAsia="黑体" w:hAnsi="黑体" w:cs="Arial" w:hint="eastAsia"/>
                <w:sz w:val="22"/>
              </w:rPr>
              <w:t>日止</w:t>
            </w:r>
          </w:p>
          <w:p w:rsidR="009A2288" w:rsidRDefault="00B13667">
            <w:pPr>
              <w:overflowPunct w:val="0"/>
              <w:autoSpaceDE w:val="0"/>
              <w:autoSpaceDN w:val="0"/>
              <w:snapToGrid w:val="0"/>
              <w:ind w:left="459"/>
              <w:rPr>
                <w:rFonts w:asciiTheme="minorEastAsia" w:hAnsiTheme="minorEastAsia" w:cstheme="minorEastAsia"/>
                <w:szCs w:val="21"/>
              </w:rPr>
            </w:pPr>
            <w:r>
              <w:rPr>
                <w:rFonts w:ascii="黑体" w:eastAsia="黑体" w:hAnsi="黑体" w:cs="Arial" w:hint="eastAsia"/>
                <w:sz w:val="22"/>
              </w:rPr>
              <w:t>清算期间净损益</w:t>
            </w:r>
          </w:p>
        </w:tc>
        <w:tc>
          <w:tcPr>
            <w:tcW w:w="3594" w:type="dxa"/>
            <w:vAlign w:val="center"/>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cs="Arial"/>
                <w:sz w:val="22"/>
                <w:szCs w:val="20"/>
              </w:rPr>
              <w:t>-138,972.10</w:t>
            </w:r>
          </w:p>
        </w:tc>
      </w:tr>
      <w:tr w:rsidR="009A2288">
        <w:tc>
          <w:tcPr>
            <w:tcW w:w="4928" w:type="dxa"/>
          </w:tcPr>
          <w:p w:rsidR="009A2288" w:rsidRDefault="00B13667">
            <w:pPr>
              <w:overflowPunct w:val="0"/>
              <w:autoSpaceDE w:val="0"/>
              <w:autoSpaceDN w:val="0"/>
              <w:snapToGrid w:val="0"/>
              <w:rPr>
                <w:rFonts w:asciiTheme="minorEastAsia" w:hAnsiTheme="minorEastAsia" w:cstheme="minorEastAsia"/>
                <w:szCs w:val="21"/>
              </w:rPr>
            </w:pPr>
            <w:r>
              <w:rPr>
                <w:rFonts w:ascii="黑体" w:eastAsia="黑体" w:hAnsi="黑体" w:cs="Arial" w:hint="eastAsia"/>
                <w:sz w:val="22"/>
              </w:rPr>
              <w:t>加：清算期间收到申购款</w:t>
            </w:r>
          </w:p>
        </w:tc>
        <w:tc>
          <w:tcPr>
            <w:tcW w:w="3594" w:type="dxa"/>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cs="Arial"/>
                <w:sz w:val="22"/>
              </w:rPr>
              <w:t>6,300.06</w:t>
            </w:r>
          </w:p>
        </w:tc>
      </w:tr>
      <w:tr w:rsidR="009A2288">
        <w:tc>
          <w:tcPr>
            <w:tcW w:w="4928" w:type="dxa"/>
          </w:tcPr>
          <w:p w:rsidR="009A2288" w:rsidRDefault="00B13667">
            <w:pPr>
              <w:overflowPunct w:val="0"/>
              <w:autoSpaceDE w:val="0"/>
              <w:autoSpaceDN w:val="0"/>
              <w:snapToGrid w:val="0"/>
              <w:rPr>
                <w:rFonts w:asciiTheme="minorEastAsia" w:hAnsiTheme="minorEastAsia" w:cstheme="minorEastAsia"/>
                <w:szCs w:val="21"/>
              </w:rPr>
            </w:pPr>
            <w:r>
              <w:rPr>
                <w:rFonts w:ascii="黑体" w:eastAsia="黑体" w:hAnsi="黑体" w:cs="Arial" w:hint="eastAsia"/>
                <w:sz w:val="22"/>
              </w:rPr>
              <w:t>减：清算期间支付赎回、转出款</w:t>
            </w:r>
          </w:p>
        </w:tc>
        <w:tc>
          <w:tcPr>
            <w:tcW w:w="3594" w:type="dxa"/>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cs="Arial"/>
                <w:sz w:val="22"/>
              </w:rPr>
              <w:t>32,325,254.45</w:t>
            </w:r>
          </w:p>
        </w:tc>
      </w:tr>
      <w:tr w:rsidR="009A2288">
        <w:tc>
          <w:tcPr>
            <w:tcW w:w="4928" w:type="dxa"/>
          </w:tcPr>
          <w:p w:rsidR="009A2288" w:rsidRDefault="00B13667">
            <w:pPr>
              <w:overflowPunct w:val="0"/>
              <w:autoSpaceDE w:val="0"/>
              <w:autoSpaceDN w:val="0"/>
              <w:snapToGrid w:val="0"/>
              <w:rPr>
                <w:rFonts w:asciiTheme="minorEastAsia" w:hAnsiTheme="minorEastAsia" w:cstheme="minorEastAsia"/>
                <w:szCs w:val="21"/>
              </w:rPr>
            </w:pPr>
            <w:r>
              <w:rPr>
                <w:rFonts w:ascii="黑体" w:eastAsia="黑体" w:hAnsi="黑体" w:cs="Arial" w:hint="eastAsia"/>
                <w:sz w:val="22"/>
              </w:rPr>
              <w:t>二、2019年7月2</w:t>
            </w:r>
            <w:r>
              <w:rPr>
                <w:rFonts w:ascii="黑体" w:eastAsia="黑体" w:hAnsi="黑体" w:cs="Arial"/>
                <w:sz w:val="22"/>
              </w:rPr>
              <w:t>4</w:t>
            </w:r>
            <w:r>
              <w:rPr>
                <w:rFonts w:ascii="黑体" w:eastAsia="黑体" w:hAnsi="黑体" w:cs="Arial" w:hint="eastAsia"/>
                <w:sz w:val="22"/>
              </w:rPr>
              <w:t>日基金净资产</w:t>
            </w:r>
          </w:p>
        </w:tc>
        <w:tc>
          <w:tcPr>
            <w:tcW w:w="3594" w:type="dxa"/>
          </w:tcPr>
          <w:p w:rsidR="009A2288" w:rsidRDefault="00B13667">
            <w:pPr>
              <w:overflowPunct w:val="0"/>
              <w:autoSpaceDE w:val="0"/>
              <w:autoSpaceDN w:val="0"/>
              <w:snapToGrid w:val="0"/>
              <w:jc w:val="right"/>
              <w:rPr>
                <w:rFonts w:asciiTheme="minorEastAsia" w:hAnsiTheme="minorEastAsia" w:cstheme="minorEastAsia"/>
                <w:szCs w:val="21"/>
              </w:rPr>
            </w:pPr>
            <w:r>
              <w:rPr>
                <w:rFonts w:ascii="黑体" w:eastAsia="黑体" w:hAnsi="黑体" w:cs="Arial"/>
                <w:sz w:val="22"/>
              </w:rPr>
              <w:t>95,361.17</w:t>
            </w:r>
          </w:p>
        </w:tc>
      </w:tr>
    </w:tbl>
    <w:p w:rsidR="009A2288" w:rsidRDefault="009A2288">
      <w:pPr>
        <w:pStyle w:val="Default"/>
        <w:spacing w:line="360" w:lineRule="auto"/>
        <w:rPr>
          <w:rFonts w:ascii="宋体" w:eastAsia="宋体" w:cs="宋体"/>
          <w:color w:val="auto"/>
          <w:sz w:val="22"/>
          <w:szCs w:val="22"/>
        </w:rPr>
      </w:pPr>
    </w:p>
    <w:p w:rsidR="009A2288" w:rsidRDefault="00B13667">
      <w:pPr>
        <w:pStyle w:val="Default"/>
        <w:ind w:firstLineChars="200" w:firstLine="460"/>
        <w:rPr>
          <w:rFonts w:ascii="宋体" w:eastAsia="宋体" w:cs="宋体"/>
          <w:color w:val="auto"/>
          <w:sz w:val="23"/>
          <w:szCs w:val="23"/>
        </w:rPr>
      </w:pPr>
      <w:r>
        <w:rPr>
          <w:rFonts w:ascii="宋体" w:eastAsia="宋体" w:cs="宋体" w:hint="eastAsia"/>
          <w:color w:val="auto"/>
          <w:sz w:val="23"/>
          <w:szCs w:val="23"/>
        </w:rPr>
        <w:t>2019年7月24日本基金剩余财产为人民币</w:t>
      </w:r>
      <w:r>
        <w:rPr>
          <w:rFonts w:ascii="宋体" w:eastAsia="宋体" w:cs="宋体"/>
          <w:color w:val="auto"/>
          <w:sz w:val="23"/>
          <w:szCs w:val="23"/>
        </w:rPr>
        <w:t>95,361.17</w:t>
      </w:r>
      <w:r>
        <w:rPr>
          <w:rFonts w:ascii="宋体" w:eastAsia="宋体" w:cs="宋体" w:hint="eastAsia"/>
          <w:color w:val="auto"/>
          <w:sz w:val="23"/>
          <w:szCs w:val="23"/>
        </w:rPr>
        <w:t>元。根据本基金的基金合同及《关于金元顺安核心动力混合型证券投资基金发生基金合同终止事由并进入基金财产清算程序的公告》的约定，依据基金财产清算的分配方案，将基金财产清算后的全部剩余资产扣除基金财产清算费用、交纳所欠税款并清偿基金债务后，按基金份额持有人持有的基金份额比例进行分配。</w:t>
      </w:r>
    </w:p>
    <w:p w:rsidR="009A2288" w:rsidRDefault="009A2288">
      <w:pPr>
        <w:pStyle w:val="Default"/>
        <w:ind w:firstLineChars="200" w:firstLine="460"/>
        <w:rPr>
          <w:rFonts w:ascii="宋体" w:eastAsia="宋体" w:cs="宋体"/>
          <w:color w:val="auto"/>
          <w:sz w:val="23"/>
          <w:szCs w:val="23"/>
        </w:rPr>
      </w:pPr>
    </w:p>
    <w:p w:rsidR="009A2288" w:rsidRDefault="00B13667">
      <w:pPr>
        <w:pStyle w:val="Default"/>
        <w:ind w:firstLineChars="200" w:firstLine="460"/>
        <w:rPr>
          <w:rFonts w:ascii="宋体" w:eastAsia="宋体" w:cs="宋体"/>
          <w:color w:val="auto"/>
          <w:sz w:val="23"/>
          <w:szCs w:val="23"/>
        </w:rPr>
      </w:pPr>
      <w:r>
        <w:rPr>
          <w:rFonts w:ascii="宋体" w:eastAsia="宋体" w:cs="宋体" w:hint="eastAsia"/>
          <w:color w:val="auto"/>
          <w:sz w:val="23"/>
          <w:szCs w:val="23"/>
        </w:rPr>
        <w:t>因清算款划出日不能确定，暂不能准确预估清算结束日至清算款划出日前一日银行存款产生的利息，该期间利息亦属全体份额持有人所有，将与清算结束日净资产合计按基金份额持有人持有的基金份额比例进行分配。</w:t>
      </w:r>
    </w:p>
    <w:p w:rsidR="009A2288" w:rsidRDefault="009A2288">
      <w:pPr>
        <w:pStyle w:val="Default"/>
        <w:ind w:firstLineChars="200" w:firstLine="460"/>
        <w:rPr>
          <w:rFonts w:ascii="宋体" w:eastAsia="宋体" w:cs="宋体"/>
          <w:color w:val="auto"/>
          <w:sz w:val="23"/>
          <w:szCs w:val="23"/>
        </w:rPr>
      </w:pPr>
    </w:p>
    <w:p w:rsidR="009A2288" w:rsidRDefault="00B13667">
      <w:pPr>
        <w:pStyle w:val="Default"/>
        <w:rPr>
          <w:rFonts w:ascii="宋体" w:eastAsia="宋体" w:cs="宋体"/>
          <w:b/>
          <w:color w:val="auto"/>
          <w:sz w:val="28"/>
          <w:szCs w:val="28"/>
        </w:rPr>
      </w:pPr>
      <w:r>
        <w:rPr>
          <w:rFonts w:ascii="宋体" w:eastAsia="宋体" w:cs="宋体" w:hint="eastAsia"/>
          <w:b/>
          <w:color w:val="auto"/>
          <w:sz w:val="28"/>
          <w:szCs w:val="28"/>
        </w:rPr>
        <w:t>七、基金财产清算报告的告知安排</w:t>
      </w:r>
    </w:p>
    <w:p w:rsidR="009A2288" w:rsidRDefault="00B13667">
      <w:pPr>
        <w:pStyle w:val="Default"/>
        <w:spacing w:line="360" w:lineRule="auto"/>
        <w:rPr>
          <w:rFonts w:ascii="宋体" w:eastAsia="宋体" w:cs="宋体"/>
          <w:color w:val="auto"/>
          <w:sz w:val="23"/>
          <w:szCs w:val="23"/>
        </w:rPr>
      </w:pPr>
      <w:r>
        <w:rPr>
          <w:rFonts w:ascii="宋体" w:eastAsia="宋体" w:cs="宋体" w:hint="eastAsia"/>
          <w:color w:val="auto"/>
          <w:sz w:val="23"/>
          <w:szCs w:val="23"/>
        </w:rPr>
        <w:t>本清算报告已经基金托管人复核，在经会计师事务所审计、律师事务所出具法律意见书</w:t>
      </w:r>
      <w:r>
        <w:rPr>
          <w:rFonts w:ascii="宋体" w:eastAsia="宋体" w:cs="宋体"/>
          <w:color w:val="auto"/>
          <w:sz w:val="23"/>
          <w:szCs w:val="23"/>
        </w:rPr>
        <w:t>后，报中国证券监督管理委员会备案并向基金份额持有人公告。</w:t>
      </w:r>
    </w:p>
    <w:p w:rsidR="009A2288" w:rsidRDefault="009A2288">
      <w:pPr>
        <w:pStyle w:val="Default"/>
        <w:spacing w:line="360" w:lineRule="auto"/>
        <w:rPr>
          <w:rFonts w:ascii="宋体" w:eastAsia="宋体"/>
          <w:sz w:val="23"/>
          <w:szCs w:val="23"/>
        </w:rPr>
      </w:pPr>
    </w:p>
    <w:p w:rsidR="009A2288" w:rsidRDefault="00B13667">
      <w:pPr>
        <w:pStyle w:val="Default"/>
        <w:rPr>
          <w:rFonts w:ascii="宋体" w:eastAsia="宋体" w:cs="宋体"/>
          <w:b/>
          <w:color w:val="auto"/>
          <w:sz w:val="28"/>
          <w:szCs w:val="28"/>
        </w:rPr>
      </w:pPr>
      <w:r>
        <w:rPr>
          <w:rFonts w:ascii="宋体" w:eastAsia="宋体" w:cs="宋体"/>
          <w:b/>
          <w:color w:val="auto"/>
          <w:sz w:val="28"/>
          <w:szCs w:val="28"/>
        </w:rPr>
        <w:t>八、备查文件</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1、备查文件目录</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（1）《</w:t>
      </w:r>
      <w:r>
        <w:rPr>
          <w:rFonts w:ascii="宋体" w:eastAsia="宋体" w:cs="宋体" w:hint="eastAsia"/>
          <w:color w:val="auto"/>
          <w:sz w:val="23"/>
          <w:szCs w:val="23"/>
        </w:rPr>
        <w:t>金元顺安核心动力</w:t>
      </w:r>
      <w:r>
        <w:rPr>
          <w:rFonts w:ascii="宋体" w:eastAsia="宋体" w:cs="宋体"/>
          <w:color w:val="auto"/>
          <w:sz w:val="23"/>
          <w:szCs w:val="23"/>
        </w:rPr>
        <w:t>混合型证券投资基金清算审计报告》</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（2）《</w:t>
      </w:r>
      <w:r>
        <w:rPr>
          <w:rFonts w:ascii="宋体" w:eastAsia="宋体" w:cs="宋体" w:hint="eastAsia"/>
          <w:color w:val="auto"/>
          <w:sz w:val="23"/>
          <w:szCs w:val="23"/>
        </w:rPr>
        <w:t>金元顺安核心动力</w:t>
      </w:r>
      <w:r>
        <w:rPr>
          <w:rFonts w:ascii="宋体" w:eastAsia="宋体" w:cs="宋体"/>
          <w:color w:val="auto"/>
          <w:sz w:val="23"/>
          <w:szCs w:val="23"/>
        </w:rPr>
        <w:t>混合型证券投资基金清算事宜之法律意见》</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2、存放地点基金管理人的办公场所：</w:t>
      </w:r>
      <w:r>
        <w:rPr>
          <w:rFonts w:ascii="Times New Roman" w:hAnsi="Times New Roman" w:cs="Times New Roman" w:hint="eastAsia"/>
        </w:rPr>
        <w:t>中国（上海）自由贸易试验区花园石桥路</w:t>
      </w:r>
      <w:r>
        <w:rPr>
          <w:rFonts w:ascii="Times New Roman" w:hAnsi="Times New Roman" w:cs="Times New Roman" w:hint="eastAsia"/>
        </w:rPr>
        <w:t>33</w:t>
      </w:r>
      <w:r>
        <w:rPr>
          <w:rFonts w:ascii="Times New Roman" w:hAnsi="Times New Roman" w:cs="Times New Roman" w:hint="eastAsia"/>
        </w:rPr>
        <w:t>号花旗集团大厦</w:t>
      </w:r>
      <w:r>
        <w:rPr>
          <w:rFonts w:ascii="Times New Roman" w:hAnsi="Times New Roman" w:cs="Times New Roman" w:hint="eastAsia"/>
        </w:rPr>
        <w:t>3608</w:t>
      </w:r>
      <w:r>
        <w:rPr>
          <w:rFonts w:ascii="Times New Roman" w:hAnsi="Times New Roman" w:cs="Times New Roman" w:hint="eastAsia"/>
        </w:rPr>
        <w:t>室</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存放网址：http://</w:t>
      </w:r>
      <w:r>
        <w:rPr>
          <w:rFonts w:ascii="Times New Roman" w:hAnsi="Times New Roman" w:cs="Times New Roman" w:hint="eastAsia"/>
        </w:rPr>
        <w:t xml:space="preserve"> www.jysa99.com</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3、查阅方式投资者可在营业时间内至基金管理人的办公场所免费查阅。</w:t>
      </w:r>
    </w:p>
    <w:p w:rsidR="009A2288" w:rsidRDefault="00B13667">
      <w:pPr>
        <w:pStyle w:val="Default"/>
        <w:spacing w:line="360" w:lineRule="auto"/>
        <w:rPr>
          <w:rFonts w:ascii="宋体" w:eastAsia="宋体" w:cs="宋体"/>
          <w:color w:val="auto"/>
          <w:sz w:val="23"/>
          <w:szCs w:val="23"/>
        </w:rPr>
      </w:pPr>
      <w:r>
        <w:rPr>
          <w:rFonts w:ascii="宋体" w:eastAsia="宋体" w:cs="宋体"/>
          <w:color w:val="auto"/>
          <w:sz w:val="23"/>
          <w:szCs w:val="23"/>
        </w:rPr>
        <w:t>咨询电话：</w:t>
      </w:r>
      <w:r>
        <w:rPr>
          <w:rFonts w:ascii="Times New Roman" w:hAnsi="Times New Roman" w:cs="Times New Roman" w:hint="eastAsia"/>
        </w:rPr>
        <w:t>400-666-0666</w:t>
      </w:r>
      <w:r>
        <w:rPr>
          <w:rFonts w:ascii="Times New Roman" w:hAnsi="Times New Roman" w:cs="Times New Roman" w:hint="eastAsia"/>
        </w:rPr>
        <w:t>、</w:t>
      </w:r>
      <w:r>
        <w:rPr>
          <w:rFonts w:ascii="Times New Roman" w:hAnsi="Times New Roman" w:cs="Times New Roman" w:hint="eastAsia"/>
        </w:rPr>
        <w:t>021-68881898</w:t>
      </w:r>
    </w:p>
    <w:p w:rsidR="009A2288" w:rsidRDefault="009A2288">
      <w:pPr>
        <w:pStyle w:val="Default"/>
        <w:spacing w:line="360" w:lineRule="auto"/>
        <w:jc w:val="right"/>
        <w:rPr>
          <w:rFonts w:ascii="宋体" w:eastAsia="宋体" w:cs="宋体"/>
          <w:color w:val="auto"/>
          <w:sz w:val="23"/>
          <w:szCs w:val="23"/>
        </w:rPr>
      </w:pPr>
    </w:p>
    <w:p w:rsidR="009A2288" w:rsidRDefault="009A2288">
      <w:pPr>
        <w:pStyle w:val="Default"/>
        <w:spacing w:line="360" w:lineRule="auto"/>
        <w:jc w:val="right"/>
        <w:rPr>
          <w:rFonts w:ascii="宋体" w:eastAsia="宋体" w:cs="宋体"/>
          <w:color w:val="auto"/>
          <w:sz w:val="23"/>
          <w:szCs w:val="23"/>
        </w:rPr>
      </w:pPr>
    </w:p>
    <w:p w:rsidR="009A2288" w:rsidRDefault="00B13667">
      <w:pPr>
        <w:pStyle w:val="Default"/>
        <w:spacing w:line="360" w:lineRule="auto"/>
        <w:jc w:val="right"/>
        <w:rPr>
          <w:rFonts w:ascii="宋体" w:eastAsia="宋体" w:cs="宋体"/>
          <w:color w:val="auto"/>
          <w:sz w:val="23"/>
          <w:szCs w:val="23"/>
        </w:rPr>
      </w:pPr>
      <w:r>
        <w:rPr>
          <w:rFonts w:ascii="宋体" w:eastAsia="宋体" w:cs="宋体" w:hint="eastAsia"/>
          <w:color w:val="auto"/>
          <w:sz w:val="23"/>
          <w:szCs w:val="23"/>
        </w:rPr>
        <w:t>金元顺安核心动力</w:t>
      </w:r>
      <w:r>
        <w:rPr>
          <w:rFonts w:ascii="宋体" w:eastAsia="宋体" w:cs="宋体"/>
          <w:color w:val="auto"/>
          <w:sz w:val="23"/>
          <w:szCs w:val="23"/>
        </w:rPr>
        <w:t>混合型证券投资基金基金财产清算小组</w:t>
      </w:r>
    </w:p>
    <w:p w:rsidR="009A2288" w:rsidRDefault="00B13667">
      <w:pPr>
        <w:pStyle w:val="Default"/>
        <w:spacing w:line="360" w:lineRule="auto"/>
        <w:jc w:val="center"/>
      </w:pPr>
      <w:r>
        <w:rPr>
          <w:rFonts w:ascii="宋体" w:eastAsia="宋体" w:cs="宋体"/>
          <w:color w:val="auto"/>
          <w:sz w:val="23"/>
          <w:szCs w:val="23"/>
        </w:rPr>
        <w:t>201</w:t>
      </w:r>
      <w:r>
        <w:rPr>
          <w:rFonts w:ascii="宋体" w:eastAsia="宋体" w:cs="宋体" w:hint="eastAsia"/>
          <w:color w:val="auto"/>
          <w:sz w:val="23"/>
          <w:szCs w:val="23"/>
        </w:rPr>
        <w:t>9</w:t>
      </w:r>
      <w:r>
        <w:rPr>
          <w:rFonts w:ascii="宋体" w:eastAsia="宋体" w:cs="宋体"/>
          <w:color w:val="auto"/>
          <w:sz w:val="23"/>
          <w:szCs w:val="23"/>
        </w:rPr>
        <w:t>年</w:t>
      </w:r>
      <w:r>
        <w:rPr>
          <w:rFonts w:ascii="宋体" w:eastAsia="宋体" w:cs="宋体" w:hint="eastAsia"/>
          <w:color w:val="auto"/>
          <w:sz w:val="23"/>
          <w:szCs w:val="23"/>
        </w:rPr>
        <w:t>7</w:t>
      </w:r>
      <w:r>
        <w:rPr>
          <w:rFonts w:ascii="宋体" w:eastAsia="宋体" w:cs="宋体"/>
          <w:color w:val="auto"/>
          <w:sz w:val="23"/>
          <w:szCs w:val="23"/>
        </w:rPr>
        <w:t>月</w:t>
      </w:r>
      <w:r>
        <w:rPr>
          <w:rFonts w:ascii="宋体" w:eastAsia="宋体" w:cs="宋体" w:hint="eastAsia"/>
          <w:color w:val="auto"/>
          <w:sz w:val="23"/>
          <w:szCs w:val="23"/>
        </w:rPr>
        <w:t>25</w:t>
      </w:r>
      <w:r>
        <w:rPr>
          <w:rFonts w:ascii="宋体" w:eastAsia="宋体" w:cs="宋体"/>
          <w:color w:val="auto"/>
          <w:sz w:val="23"/>
          <w:szCs w:val="23"/>
        </w:rPr>
        <w:t>日</w:t>
      </w:r>
    </w:p>
    <w:sectPr w:rsidR="009A2288" w:rsidSect="00E501D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1DE" w:rsidRDefault="00B13667">
      <w:r>
        <w:separator/>
      </w:r>
    </w:p>
  </w:endnote>
  <w:endnote w:type="continuationSeparator" w:id="1">
    <w:p w:rsidR="00E501DE" w:rsidRDefault="00B1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1DE" w:rsidRDefault="00B13667">
      <w:r>
        <w:separator/>
      </w:r>
    </w:p>
  </w:footnote>
  <w:footnote w:type="continuationSeparator" w:id="1">
    <w:p w:rsidR="00E501DE" w:rsidRDefault="00B13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88" w:rsidRDefault="009A2288">
    <w:pPr>
      <w:pStyle w:val="a6"/>
      <w:tabs>
        <w:tab w:val="clear" w:pos="4153"/>
        <w:tab w:val="clear" w:pos="8306"/>
        <w:tab w:val="center" w:pos="4320"/>
        <w:tab w:val="right" w:pos="8640"/>
      </w:tabs>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1AF6"/>
    <w:multiLevelType w:val="multilevel"/>
    <w:tmpl w:val="0B5F1AF6"/>
    <w:lvl w:ilvl="0">
      <w:start w:val="1"/>
      <w:numFmt w:val="decimal"/>
      <w:lvlText w:val="(%1)"/>
      <w:lvlJc w:val="left"/>
      <w:pPr>
        <w:ind w:left="880" w:hanging="420"/>
      </w:pPr>
      <w:rPr>
        <w:rFonts w:hint="eastAsia"/>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
    <w:nsid w:val="0E673ED1"/>
    <w:multiLevelType w:val="multilevel"/>
    <w:tmpl w:val="0E673ED1"/>
    <w:lvl w:ilvl="0">
      <w:start w:val="1"/>
      <w:numFmt w:val="decimal"/>
      <w:lvlText w:val="(%1)"/>
      <w:lvlJc w:val="left"/>
      <w:pPr>
        <w:ind w:left="880" w:hanging="420"/>
      </w:pPr>
      <w:rPr>
        <w:rFonts w:hint="eastAsia"/>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2">
    <w:nsid w:val="2BBF26AB"/>
    <w:multiLevelType w:val="singleLevel"/>
    <w:tmpl w:val="2BBF26AB"/>
    <w:lvl w:ilvl="0">
      <w:start w:val="3"/>
      <w:numFmt w:val="decimal"/>
      <w:suff w:val="nothing"/>
      <w:lvlText w:val="%1、"/>
      <w:lvlJc w:val="left"/>
    </w:lvl>
  </w:abstractNum>
  <w:abstractNum w:abstractNumId="3">
    <w:nsid w:val="4FA81C55"/>
    <w:multiLevelType w:val="multilevel"/>
    <w:tmpl w:val="4FA81C55"/>
    <w:lvl w:ilvl="0">
      <w:start w:val="1"/>
      <w:numFmt w:val="decimal"/>
      <w:lvlText w:val="%1、"/>
      <w:lvlJc w:val="left"/>
      <w:pPr>
        <w:ind w:left="819" w:hanging="360"/>
      </w:pPr>
      <w:rPr>
        <w:rFonts w:hint="default"/>
      </w:rPr>
    </w:lvl>
    <w:lvl w:ilvl="1">
      <w:start w:val="1"/>
      <w:numFmt w:val="lowerLetter"/>
      <w:lvlText w:val="%2)"/>
      <w:lvlJc w:val="left"/>
      <w:pPr>
        <w:ind w:left="1299" w:hanging="420"/>
      </w:pPr>
    </w:lvl>
    <w:lvl w:ilvl="2">
      <w:start w:val="1"/>
      <w:numFmt w:val="lowerRoman"/>
      <w:lvlText w:val="%3."/>
      <w:lvlJc w:val="right"/>
      <w:pPr>
        <w:ind w:left="1719" w:hanging="420"/>
      </w:pPr>
    </w:lvl>
    <w:lvl w:ilvl="3">
      <w:start w:val="1"/>
      <w:numFmt w:val="decimal"/>
      <w:lvlText w:val="%4."/>
      <w:lvlJc w:val="left"/>
      <w:pPr>
        <w:ind w:left="2139" w:hanging="420"/>
      </w:pPr>
    </w:lvl>
    <w:lvl w:ilvl="4">
      <w:start w:val="1"/>
      <w:numFmt w:val="lowerLetter"/>
      <w:lvlText w:val="%5)"/>
      <w:lvlJc w:val="left"/>
      <w:pPr>
        <w:ind w:left="2559" w:hanging="420"/>
      </w:pPr>
    </w:lvl>
    <w:lvl w:ilvl="5">
      <w:start w:val="1"/>
      <w:numFmt w:val="lowerRoman"/>
      <w:lvlText w:val="%6."/>
      <w:lvlJc w:val="right"/>
      <w:pPr>
        <w:ind w:left="2979" w:hanging="420"/>
      </w:pPr>
    </w:lvl>
    <w:lvl w:ilvl="6">
      <w:start w:val="1"/>
      <w:numFmt w:val="decimal"/>
      <w:lvlText w:val="%7."/>
      <w:lvlJc w:val="left"/>
      <w:pPr>
        <w:ind w:left="3399" w:hanging="420"/>
      </w:pPr>
    </w:lvl>
    <w:lvl w:ilvl="7">
      <w:start w:val="1"/>
      <w:numFmt w:val="lowerLetter"/>
      <w:lvlText w:val="%8)"/>
      <w:lvlJc w:val="left"/>
      <w:pPr>
        <w:ind w:left="3819" w:hanging="420"/>
      </w:pPr>
    </w:lvl>
    <w:lvl w:ilvl="8">
      <w:start w:val="1"/>
      <w:numFmt w:val="lowerRoman"/>
      <w:lvlText w:val="%9."/>
      <w:lvlJc w:val="right"/>
      <w:pPr>
        <w:ind w:left="4239"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37B"/>
    <w:rsid w:val="000408A0"/>
    <w:rsid w:val="00084611"/>
    <w:rsid w:val="000C5CAD"/>
    <w:rsid w:val="000E01C8"/>
    <w:rsid w:val="00157363"/>
    <w:rsid w:val="00172BB8"/>
    <w:rsid w:val="001742E2"/>
    <w:rsid w:val="00180076"/>
    <w:rsid w:val="001920C8"/>
    <w:rsid w:val="00197E63"/>
    <w:rsid w:val="001C3209"/>
    <w:rsid w:val="001E1087"/>
    <w:rsid w:val="001F057D"/>
    <w:rsid w:val="0021726C"/>
    <w:rsid w:val="00226F3A"/>
    <w:rsid w:val="00234797"/>
    <w:rsid w:val="002354B1"/>
    <w:rsid w:val="00274CAE"/>
    <w:rsid w:val="00281F46"/>
    <w:rsid w:val="002846AE"/>
    <w:rsid w:val="002969A9"/>
    <w:rsid w:val="002C3688"/>
    <w:rsid w:val="002D10B6"/>
    <w:rsid w:val="002E50F9"/>
    <w:rsid w:val="002E7904"/>
    <w:rsid w:val="00332B03"/>
    <w:rsid w:val="00334CC7"/>
    <w:rsid w:val="0035357A"/>
    <w:rsid w:val="003A5BC8"/>
    <w:rsid w:val="003C205B"/>
    <w:rsid w:val="003D5F42"/>
    <w:rsid w:val="003F3893"/>
    <w:rsid w:val="003F4253"/>
    <w:rsid w:val="0042101C"/>
    <w:rsid w:val="004359DB"/>
    <w:rsid w:val="0044078F"/>
    <w:rsid w:val="004A499F"/>
    <w:rsid w:val="004F4785"/>
    <w:rsid w:val="00591D8D"/>
    <w:rsid w:val="005A7B78"/>
    <w:rsid w:val="005B7A7F"/>
    <w:rsid w:val="00640935"/>
    <w:rsid w:val="00652764"/>
    <w:rsid w:val="00670162"/>
    <w:rsid w:val="00687F40"/>
    <w:rsid w:val="00694D25"/>
    <w:rsid w:val="00696CED"/>
    <w:rsid w:val="006B5EAF"/>
    <w:rsid w:val="006D6AD1"/>
    <w:rsid w:val="006D7BA9"/>
    <w:rsid w:val="006E33A6"/>
    <w:rsid w:val="006E4F31"/>
    <w:rsid w:val="0073330E"/>
    <w:rsid w:val="00752D80"/>
    <w:rsid w:val="00755BF1"/>
    <w:rsid w:val="007614EB"/>
    <w:rsid w:val="007860BF"/>
    <w:rsid w:val="007E106E"/>
    <w:rsid w:val="007E5809"/>
    <w:rsid w:val="008424A6"/>
    <w:rsid w:val="008D1FB1"/>
    <w:rsid w:val="008D4CF0"/>
    <w:rsid w:val="008F24E8"/>
    <w:rsid w:val="008F71C4"/>
    <w:rsid w:val="0097339B"/>
    <w:rsid w:val="009752DF"/>
    <w:rsid w:val="009A17AA"/>
    <w:rsid w:val="009A2288"/>
    <w:rsid w:val="009C2893"/>
    <w:rsid w:val="00A327F5"/>
    <w:rsid w:val="00A93450"/>
    <w:rsid w:val="00A95822"/>
    <w:rsid w:val="00AB4475"/>
    <w:rsid w:val="00AF27F9"/>
    <w:rsid w:val="00B13667"/>
    <w:rsid w:val="00B47B92"/>
    <w:rsid w:val="00B537E5"/>
    <w:rsid w:val="00B61DCA"/>
    <w:rsid w:val="00B641E2"/>
    <w:rsid w:val="00B950B9"/>
    <w:rsid w:val="00BB0DF9"/>
    <w:rsid w:val="00C040A4"/>
    <w:rsid w:val="00C22710"/>
    <w:rsid w:val="00C76BDC"/>
    <w:rsid w:val="00C850C8"/>
    <w:rsid w:val="00CE693F"/>
    <w:rsid w:val="00CF359C"/>
    <w:rsid w:val="00D200D1"/>
    <w:rsid w:val="00D74EF4"/>
    <w:rsid w:val="00DA3941"/>
    <w:rsid w:val="00DA3EC1"/>
    <w:rsid w:val="00DB2022"/>
    <w:rsid w:val="00E25278"/>
    <w:rsid w:val="00E43340"/>
    <w:rsid w:val="00E501DE"/>
    <w:rsid w:val="00E5037B"/>
    <w:rsid w:val="00EB02E6"/>
    <w:rsid w:val="00F06609"/>
    <w:rsid w:val="00F14E91"/>
    <w:rsid w:val="00F24B72"/>
    <w:rsid w:val="00F528A3"/>
    <w:rsid w:val="00F876B2"/>
    <w:rsid w:val="00F944AB"/>
    <w:rsid w:val="00FB149B"/>
    <w:rsid w:val="00FD3E46"/>
    <w:rsid w:val="00FD4F89"/>
    <w:rsid w:val="01695DDA"/>
    <w:rsid w:val="03705248"/>
    <w:rsid w:val="07706FD9"/>
    <w:rsid w:val="09545D8F"/>
    <w:rsid w:val="0984477E"/>
    <w:rsid w:val="0C07644D"/>
    <w:rsid w:val="10A87437"/>
    <w:rsid w:val="196D03D7"/>
    <w:rsid w:val="1B3C7B9F"/>
    <w:rsid w:val="1B7B66B3"/>
    <w:rsid w:val="1E2D3C24"/>
    <w:rsid w:val="2055235B"/>
    <w:rsid w:val="21536477"/>
    <w:rsid w:val="27F14F94"/>
    <w:rsid w:val="2CD154E9"/>
    <w:rsid w:val="2F3A027F"/>
    <w:rsid w:val="2FE92E40"/>
    <w:rsid w:val="330427E8"/>
    <w:rsid w:val="347876CB"/>
    <w:rsid w:val="39333295"/>
    <w:rsid w:val="3A4B2927"/>
    <w:rsid w:val="3C472013"/>
    <w:rsid w:val="422D2310"/>
    <w:rsid w:val="44B81016"/>
    <w:rsid w:val="45573A61"/>
    <w:rsid w:val="468850B4"/>
    <w:rsid w:val="47EA2D7D"/>
    <w:rsid w:val="4E333B88"/>
    <w:rsid w:val="50236CA2"/>
    <w:rsid w:val="50987F42"/>
    <w:rsid w:val="5220100C"/>
    <w:rsid w:val="55A775D9"/>
    <w:rsid w:val="569D37DF"/>
    <w:rsid w:val="56D7246C"/>
    <w:rsid w:val="5744426F"/>
    <w:rsid w:val="5B0D3C1E"/>
    <w:rsid w:val="5B12619B"/>
    <w:rsid w:val="5D3D18D9"/>
    <w:rsid w:val="5F914DE4"/>
    <w:rsid w:val="602D657D"/>
    <w:rsid w:val="616B1E7D"/>
    <w:rsid w:val="62810857"/>
    <w:rsid w:val="651A0934"/>
    <w:rsid w:val="67731EBD"/>
    <w:rsid w:val="68F922BF"/>
    <w:rsid w:val="6BF9597D"/>
    <w:rsid w:val="6C0A4009"/>
    <w:rsid w:val="6FFC7C6D"/>
    <w:rsid w:val="764C5960"/>
    <w:rsid w:val="77E806AB"/>
    <w:rsid w:val="784929D2"/>
    <w:rsid w:val="79B2093A"/>
    <w:rsid w:val="7A796304"/>
    <w:rsid w:val="7C745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501DE"/>
    <w:rPr>
      <w:rFonts w:ascii="宋体" w:eastAsia="宋体" w:hAnsi="宋体" w:cs="宋体"/>
      <w:sz w:val="24"/>
      <w:szCs w:val="24"/>
      <w:lang w:val="zh-CN" w:bidi="zh-CN"/>
    </w:rPr>
  </w:style>
  <w:style w:type="paragraph" w:styleId="a4">
    <w:name w:val="Balloon Text"/>
    <w:basedOn w:val="a"/>
    <w:link w:val="Char"/>
    <w:uiPriority w:val="99"/>
    <w:semiHidden/>
    <w:unhideWhenUsed/>
    <w:qFormat/>
    <w:rsid w:val="00E501DE"/>
    <w:rPr>
      <w:sz w:val="18"/>
      <w:szCs w:val="18"/>
    </w:rPr>
  </w:style>
  <w:style w:type="paragraph" w:styleId="a5">
    <w:name w:val="footer"/>
    <w:basedOn w:val="a"/>
    <w:link w:val="Char0"/>
    <w:uiPriority w:val="99"/>
    <w:unhideWhenUsed/>
    <w:qFormat/>
    <w:rsid w:val="00E501D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501DE"/>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E501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E501DE"/>
    <w:pPr>
      <w:widowControl w:val="0"/>
      <w:autoSpaceDE w:val="0"/>
      <w:autoSpaceDN w:val="0"/>
      <w:adjustRightInd w:val="0"/>
    </w:pPr>
    <w:rPr>
      <w:rFonts w:ascii="Calibri" w:eastAsiaTheme="minorEastAsia" w:hAnsi="Calibri" w:cs="Calibri"/>
      <w:color w:val="000000"/>
      <w:sz w:val="24"/>
      <w:szCs w:val="24"/>
    </w:rPr>
  </w:style>
  <w:style w:type="paragraph" w:styleId="a8">
    <w:name w:val="List Paragraph"/>
    <w:basedOn w:val="a"/>
    <w:uiPriority w:val="1"/>
    <w:qFormat/>
    <w:rsid w:val="00E501DE"/>
    <w:pPr>
      <w:spacing w:before="5"/>
      <w:ind w:left="1241" w:hanging="420"/>
    </w:pPr>
    <w:rPr>
      <w:rFonts w:ascii="宋体" w:eastAsia="宋体" w:hAnsi="宋体" w:cs="宋体"/>
      <w:lang w:val="zh-CN" w:bidi="zh-CN"/>
    </w:rPr>
  </w:style>
  <w:style w:type="character" w:customStyle="1" w:styleId="Char1">
    <w:name w:val="页眉 Char"/>
    <w:basedOn w:val="a0"/>
    <w:link w:val="a6"/>
    <w:uiPriority w:val="99"/>
    <w:qFormat/>
    <w:rsid w:val="00E501DE"/>
    <w:rPr>
      <w:kern w:val="2"/>
      <w:sz w:val="18"/>
      <w:szCs w:val="18"/>
    </w:rPr>
  </w:style>
  <w:style w:type="character" w:customStyle="1" w:styleId="Char0">
    <w:name w:val="页脚 Char"/>
    <w:basedOn w:val="a0"/>
    <w:link w:val="a5"/>
    <w:uiPriority w:val="99"/>
    <w:qFormat/>
    <w:rsid w:val="00E501DE"/>
    <w:rPr>
      <w:kern w:val="2"/>
      <w:sz w:val="18"/>
      <w:szCs w:val="18"/>
    </w:rPr>
  </w:style>
  <w:style w:type="character" w:customStyle="1" w:styleId="Char">
    <w:name w:val="批注框文本 Char"/>
    <w:basedOn w:val="a0"/>
    <w:link w:val="a4"/>
    <w:uiPriority w:val="99"/>
    <w:semiHidden/>
    <w:qFormat/>
    <w:rsid w:val="00E501DE"/>
    <w:rPr>
      <w:kern w:val="2"/>
      <w:sz w:val="18"/>
      <w:szCs w:val="18"/>
    </w:rPr>
  </w:style>
  <w:style w:type="character" w:customStyle="1" w:styleId="font31">
    <w:name w:val="font31"/>
    <w:basedOn w:val="a0"/>
    <w:qFormat/>
    <w:rsid w:val="00E501DE"/>
    <w:rPr>
      <w:rFonts w:ascii="黑体" w:eastAsia="黑体" w:hAnsi="宋体" w:cs="黑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4"/>
      <w:szCs w:val="24"/>
      <w:lang w:val="zh-CN" w:bidi="zh-CN"/>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rPr>
  </w:style>
  <w:style w:type="paragraph" w:styleId="a8">
    <w:name w:val="List Paragraph"/>
    <w:basedOn w:val="a"/>
    <w:uiPriority w:val="1"/>
    <w:qFormat/>
    <w:pPr>
      <w:spacing w:before="5"/>
      <w:ind w:left="1241" w:hanging="420"/>
    </w:pPr>
    <w:rPr>
      <w:rFonts w:ascii="宋体" w:eastAsia="宋体" w:hAnsi="宋体" w:cs="宋体"/>
      <w:lang w:val="zh-CN" w:bidi="zh-CN"/>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font31">
    <w:name w:val="font31"/>
    <w:basedOn w:val="a0"/>
    <w:qFormat/>
    <w:rPr>
      <w:rFonts w:ascii="黑体" w:eastAsia="黑体" w:hAnsi="宋体" w:cs="黑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92F4D15-B217-4E4B-B7A2-EFC10B94BF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5106</Characters>
  <Application>Microsoft Office Word</Application>
  <DocSecurity>4</DocSecurity>
  <Lines>42</Lines>
  <Paragraphs>11</Paragraphs>
  <ScaleCrop>false</ScaleCrop>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季泽</dc:creator>
  <cp:lastModifiedBy>JonMMx 2000</cp:lastModifiedBy>
  <cp:revision>2</cp:revision>
  <dcterms:created xsi:type="dcterms:W3CDTF">2019-09-09T16:10:00Z</dcterms:created>
  <dcterms:modified xsi:type="dcterms:W3CDTF">2019-09-09T16:10:00Z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