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Cs/>
          <w:color w:val="000000"/>
          <w:sz w:val="44"/>
          <w:szCs w:val="20"/>
          <w:lang w:eastAsia="zh-CN"/>
        </w:rPr>
      </w:pPr>
      <w:bookmarkStart w:id="28" w:name="_GoBack"/>
      <w:bookmarkEnd w:id="28"/>
    </w:p>
    <w:p>
      <w:pPr>
        <w:jc w:val="center"/>
        <w:rPr>
          <w:rFonts w:hint="eastAsia"/>
          <w:bCs/>
          <w:color w:val="000000"/>
          <w:sz w:val="44"/>
          <w:szCs w:val="20"/>
        </w:rPr>
      </w:pPr>
    </w:p>
    <w:p>
      <w:pPr>
        <w:jc w:val="center"/>
        <w:rPr>
          <w:rFonts w:hint="eastAsia"/>
          <w:bCs/>
          <w:color w:val="000000"/>
          <w:sz w:val="44"/>
          <w:szCs w:val="20"/>
        </w:rPr>
      </w:pPr>
    </w:p>
    <w:p>
      <w:pPr>
        <w:jc w:val="center"/>
        <w:rPr>
          <w:rFonts w:hint="eastAsia"/>
          <w:bCs/>
          <w:color w:val="000000"/>
          <w:sz w:val="44"/>
          <w:szCs w:val="20"/>
        </w:rPr>
      </w:pPr>
    </w:p>
    <w:p>
      <w:pPr>
        <w:jc w:val="center"/>
        <w:rPr>
          <w:rFonts w:hint="eastAsia" w:ascii="宋体" w:hAnsi="宋体" w:cs="宋体"/>
          <w:b/>
          <w:color w:val="000000"/>
          <w:sz w:val="44"/>
          <w:szCs w:val="20"/>
        </w:rPr>
      </w:pPr>
      <w:r>
        <w:rPr>
          <w:rFonts w:hint="eastAsia" w:ascii="宋体" w:hAnsi="宋体" w:cs="宋体"/>
          <w:b/>
          <w:color w:val="000000"/>
          <w:sz w:val="44"/>
          <w:szCs w:val="20"/>
        </w:rPr>
        <w:t>建信双债增强债券型证券投资基金</w:t>
      </w:r>
    </w:p>
    <w:p>
      <w:pPr>
        <w:jc w:val="center"/>
        <w:rPr>
          <w:rFonts w:hint="eastAsia" w:ascii="宋体" w:hAnsi="宋体" w:cs="宋体"/>
          <w:b/>
          <w:color w:val="000000"/>
          <w:sz w:val="44"/>
          <w:szCs w:val="20"/>
        </w:rPr>
      </w:pPr>
      <w:r>
        <w:rPr>
          <w:rFonts w:hint="eastAsia" w:ascii="宋体" w:hAnsi="宋体" w:cs="宋体"/>
          <w:b/>
          <w:color w:val="000000"/>
          <w:sz w:val="44"/>
          <w:szCs w:val="20"/>
        </w:rPr>
        <w:t>招募说明书（更新）</w:t>
      </w:r>
    </w:p>
    <w:p>
      <w:pPr>
        <w:jc w:val="center"/>
        <w:rPr>
          <w:rFonts w:hint="eastAsia" w:ascii="宋体" w:hAnsi="宋体" w:cs="宋体"/>
          <w:b/>
          <w:color w:val="000000"/>
          <w:sz w:val="44"/>
          <w:szCs w:val="20"/>
        </w:rPr>
      </w:pPr>
    </w:p>
    <w:p>
      <w:pPr>
        <w:jc w:val="center"/>
        <w:rPr>
          <w:rFonts w:hint="eastAsia"/>
          <w:b/>
          <w:color w:val="000000"/>
          <w:sz w:val="52"/>
          <w:szCs w:val="20"/>
        </w:rPr>
      </w:pPr>
      <w:r>
        <w:rPr>
          <w:rFonts w:ascii="宋体" w:hAnsi="宋体" w:cs="宋体"/>
          <w:b/>
          <w:color w:val="000000"/>
          <w:sz w:val="44"/>
          <w:szCs w:val="20"/>
        </w:rPr>
        <w:t xml:space="preserve">2019年第2号 </w:t>
      </w:r>
    </w:p>
    <w:p>
      <w:pPr>
        <w:jc w:val="center"/>
        <w:rPr>
          <w:rFonts w:hint="eastAsia"/>
          <w:b/>
          <w:color w:val="000000"/>
          <w:sz w:val="52"/>
          <w:szCs w:val="20"/>
        </w:rPr>
      </w:pPr>
    </w:p>
    <w:p>
      <w:pPr>
        <w:jc w:val="center"/>
        <w:rPr>
          <w:rFonts w:hint="eastAsia"/>
          <w:b/>
          <w:color w:val="000000"/>
          <w:sz w:val="52"/>
          <w:szCs w:val="20"/>
        </w:rPr>
      </w:pPr>
    </w:p>
    <w:p>
      <w:pPr>
        <w:jc w:val="center"/>
        <w:rPr>
          <w:rFonts w:hint="eastAsia"/>
          <w:b/>
          <w:color w:val="000000"/>
          <w:sz w:val="52"/>
          <w:szCs w:val="20"/>
        </w:rPr>
      </w:pPr>
    </w:p>
    <w:p>
      <w:pPr>
        <w:jc w:val="center"/>
        <w:rPr>
          <w:rFonts w:hint="eastAsia"/>
          <w:b/>
          <w:color w:val="000000"/>
          <w:sz w:val="52"/>
          <w:szCs w:val="20"/>
        </w:rPr>
      </w:pPr>
    </w:p>
    <w:p>
      <w:pPr>
        <w:jc w:val="center"/>
        <w:rPr>
          <w:rFonts w:hint="eastAsia"/>
          <w:b/>
          <w:color w:val="000000"/>
          <w:sz w:val="52"/>
          <w:szCs w:val="20"/>
        </w:rPr>
      </w:pPr>
    </w:p>
    <w:p>
      <w:pPr>
        <w:jc w:val="center"/>
        <w:rPr>
          <w:rFonts w:hint="eastAsia"/>
          <w:b/>
          <w:color w:val="000000"/>
          <w:sz w:val="52"/>
          <w:szCs w:val="20"/>
        </w:rPr>
      </w:pPr>
    </w:p>
    <w:p>
      <w:pPr>
        <w:ind w:firstLine="723"/>
        <w:rPr>
          <w:rFonts w:hint="eastAsia"/>
          <w:b/>
          <w:color w:val="000000"/>
          <w:sz w:val="36"/>
          <w:szCs w:val="20"/>
        </w:rPr>
      </w:pPr>
      <w:r>
        <w:rPr>
          <w:rFonts w:hint="eastAsia"/>
          <w:b/>
          <w:color w:val="000000"/>
          <w:sz w:val="36"/>
          <w:szCs w:val="20"/>
        </w:rPr>
        <w:t>基金管理人：建信基金管理有限责任公司</w:t>
      </w:r>
    </w:p>
    <w:p>
      <w:pPr>
        <w:ind w:firstLine="723"/>
        <w:rPr>
          <w:rFonts w:hint="eastAsia"/>
          <w:b/>
          <w:bCs/>
          <w:color w:val="000000"/>
          <w:sz w:val="36"/>
          <w:szCs w:val="20"/>
        </w:rPr>
      </w:pPr>
      <w:r>
        <w:rPr>
          <w:rFonts w:hint="eastAsia"/>
          <w:b/>
          <w:color w:val="000000"/>
          <w:sz w:val="36"/>
          <w:szCs w:val="20"/>
        </w:rPr>
        <w:t>基金托管人：中信银行股份有限公司</w:t>
      </w:r>
    </w:p>
    <w:p>
      <w:pPr>
        <w:jc w:val="center"/>
        <w:rPr>
          <w:rFonts w:hint="eastAsia"/>
          <w:b/>
          <w:bCs/>
          <w:color w:val="000000"/>
          <w:sz w:val="36"/>
          <w:szCs w:val="20"/>
        </w:rPr>
      </w:pPr>
    </w:p>
    <w:p>
      <w:pPr>
        <w:jc w:val="center"/>
        <w:rPr>
          <w:rFonts w:hint="eastAsia"/>
          <w:b/>
          <w:bCs/>
          <w:color w:val="000000"/>
          <w:sz w:val="36"/>
          <w:szCs w:val="20"/>
        </w:rPr>
      </w:pPr>
    </w:p>
    <w:p>
      <w:pPr>
        <w:jc w:val="center"/>
        <w:rPr>
          <w:b/>
          <w:bCs/>
          <w:color w:val="000000"/>
          <w:sz w:val="24"/>
          <w:szCs w:val="20"/>
        </w:rPr>
        <w:sectPr>
          <w:pgSz w:w="11906" w:h="16838"/>
          <w:pgMar w:top="1680" w:right="1797" w:bottom="1650" w:left="2364" w:header="1440" w:footer="1440" w:gutter="0"/>
          <w:cols w:space="720" w:num="1"/>
          <w:docGrid w:linePitch="600" w:charSpace="38911"/>
        </w:sectPr>
      </w:pPr>
      <w:r>
        <w:rPr>
          <w:rFonts w:hint="eastAsia"/>
          <w:b/>
          <w:bCs/>
          <w:color w:val="000000"/>
          <w:sz w:val="36"/>
          <w:szCs w:val="20"/>
        </w:rPr>
        <w:t>二〇一九年八月</w:t>
      </w:r>
    </w:p>
    <w:p>
      <w:pPr>
        <w:spacing w:line="360" w:lineRule="auto"/>
        <w:ind w:firstLine="482"/>
        <w:rPr>
          <w:rFonts w:hint="eastAsia"/>
          <w:bCs/>
          <w:color w:val="000000"/>
          <w:sz w:val="24"/>
          <w:szCs w:val="20"/>
        </w:rPr>
      </w:pPr>
      <w:r>
        <w:rPr>
          <w:b/>
          <w:bCs/>
          <w:color w:val="000000"/>
          <w:sz w:val="24"/>
          <w:szCs w:val="20"/>
        </w:rPr>
        <w:t>【重要提示】</w:t>
      </w:r>
    </w:p>
    <w:p>
      <w:pPr>
        <w:spacing w:line="360" w:lineRule="auto"/>
        <w:ind w:firstLine="480"/>
        <w:rPr>
          <w:rFonts w:hint="eastAsia"/>
          <w:bCs/>
          <w:color w:val="000000"/>
          <w:sz w:val="24"/>
          <w:szCs w:val="20"/>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本基金经中国证券监督管理委员会2013年5月28日证监许可[2013]698号文核准募集。</w:t>
      </w:r>
      <w:r>
        <w:rPr>
          <w:rFonts w:ascii="宋体" w:hAnsi="宋体" w:cs="宋体"/>
          <w:bCs/>
          <w:color w:val="000000"/>
          <w:sz w:val="24"/>
        </w:rPr>
        <w:t>本基金的基金合同于20</w:t>
      </w:r>
      <w:r>
        <w:rPr>
          <w:rFonts w:hint="eastAsia" w:ascii="宋体" w:hAnsi="宋体" w:cs="宋体"/>
          <w:bCs/>
          <w:color w:val="000000"/>
          <w:sz w:val="24"/>
        </w:rPr>
        <w:t>13</w:t>
      </w:r>
      <w:r>
        <w:rPr>
          <w:rFonts w:ascii="宋体" w:hAnsi="宋体" w:cs="宋体"/>
          <w:bCs/>
          <w:color w:val="000000"/>
          <w:sz w:val="24"/>
        </w:rPr>
        <w:t>年</w:t>
      </w:r>
      <w:r>
        <w:rPr>
          <w:rFonts w:hint="eastAsia" w:ascii="宋体" w:hAnsi="宋体" w:cs="宋体"/>
          <w:bCs/>
          <w:color w:val="000000"/>
          <w:sz w:val="24"/>
        </w:rPr>
        <w:t>7</w:t>
      </w:r>
      <w:r>
        <w:rPr>
          <w:rFonts w:ascii="宋体" w:hAnsi="宋体" w:cs="宋体"/>
          <w:bCs/>
          <w:color w:val="000000"/>
          <w:sz w:val="24"/>
        </w:rPr>
        <w:t>月</w:t>
      </w:r>
      <w:r>
        <w:rPr>
          <w:rFonts w:hint="eastAsia" w:ascii="宋体" w:hAnsi="宋体" w:cs="宋体"/>
          <w:bCs/>
          <w:color w:val="000000"/>
          <w:sz w:val="24"/>
        </w:rPr>
        <w:t>25</w:t>
      </w:r>
      <w:r>
        <w:rPr>
          <w:rFonts w:ascii="宋体" w:hAnsi="宋体" w:cs="宋体"/>
          <w:bCs/>
          <w:color w:val="000000"/>
          <w:sz w:val="24"/>
        </w:rPr>
        <w:t>日正式生效。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保证本招募说明书的内容真实、准确、完整。本招募说明书经中国证监会核准，但中国证监会对本基金募集的核准，并不表明其对本基金的价值和收益做出实质性判断或保证，也不表明投资于本基金没有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基金管理人依照恪尽职守、诚实信用、谨慎勤勉的原则管理和运用基金财产，但不保证基金一定盈利，也不保证最低收益。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投资于证券市场，基金净值会因为证券市场波动等因素产生波动，投资人在投资本基金前，需充分了解本基金的产品特性，并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本基金是债券型基金，风险低于股票型基金、混合型基金，高于货币市场基金，属于较低风险、较低收益的品种。投资人在进行投资决策前，请仔细阅读本基金的《招募说明书》及《基金合同》，了解基金的风险收益特征，并根据自身的投资目的、投资期限、投资经验、资产状况等判断本基金是否和自身的风险承受能力相适应。</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基金的过往业绩并不预示其未来表现。基金管理人管理的其他基金的业绩不构成对本基金业绩表现的保证。</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本招募说明书所载内容截止日为2019年7月24日，有关财务数据和净值表现截止日为2019年6月30日（财务数据未经审计）。本招募说明书已经基金托管人复核。</w:t>
      </w:r>
    </w:p>
    <w:p/>
    <w:p>
      <w:pPr>
        <w:spacing w:line="360" w:lineRule="auto"/>
        <w:ind w:firstLine="480"/>
        <w:rPr>
          <w:rFonts w:ascii="宋体" w:hAnsi="宋体" w:cs="宋体"/>
          <w:bCs/>
          <w:color w:val="000000"/>
          <w:sz w:val="24"/>
          <w:lang w:eastAsia="zh-CN"/>
        </w:rPr>
      </w:pPr>
    </w:p>
    <w:p>
      <w:pPr>
        <w:spacing w:line="360" w:lineRule="auto"/>
        <w:ind w:firstLine="480"/>
        <w:rPr>
          <w:rFonts w:ascii="宋体" w:hAnsi="宋体" w:cs="宋体"/>
          <w:bCs/>
          <w:color w:val="000000"/>
          <w:sz w:val="24"/>
        </w:rPr>
      </w:pPr>
    </w:p>
    <w:p>
      <w:pPr>
        <w:pageBreakBefore/>
        <w:jc w:val="center"/>
      </w:pPr>
      <w:r>
        <w:rPr>
          <w:rFonts w:hint="eastAsia"/>
          <w:b/>
          <w:bCs/>
          <w:color w:val="000000"/>
          <w:sz w:val="28"/>
          <w:szCs w:val="20"/>
        </w:rPr>
        <w:t>目  录</w:t>
      </w:r>
    </w:p>
    <w:p>
      <w:pPr>
        <w:pStyle w:val="16"/>
        <w:tabs>
          <w:tab w:val="right" w:leader="dot" w:pos="7735"/>
        </w:tabs>
        <w:spacing w:before="0" w:line="360" w:lineRule="auto"/>
        <w:rPr>
          <w:rFonts w:ascii="Calibri" w:hAnsi="Calibri" w:cs="Times New Roman"/>
          <w:bCs w:val="0"/>
          <w:caps w:val="0"/>
          <w:kern w:val="2"/>
          <w:sz w:val="21"/>
          <w:szCs w:val="22"/>
          <w:lang w:eastAsia="zh-CN"/>
        </w:rPr>
      </w:pPr>
      <w:r>
        <w:fldChar w:fldCharType="begin"/>
      </w:r>
      <w:r>
        <w:instrText xml:space="preserve"> TOC \o "1-1" \h \z \u </w:instrText>
      </w:r>
      <w:r>
        <w:fldChar w:fldCharType="separate"/>
      </w:r>
      <w:r>
        <w:rPr>
          <w:rStyle w:val="30"/>
          <w:lang/>
        </w:rPr>
        <w:fldChar w:fldCharType="begin"/>
      </w:r>
      <w:r>
        <w:rPr>
          <w:rStyle w:val="30"/>
          <w:lang/>
        </w:rPr>
        <w:instrText xml:space="preserve"> </w:instrText>
      </w:r>
      <w:r>
        <w:rPr>
          <w:lang/>
        </w:rPr>
        <w:instrText xml:space="preserve">HYPERLINK \l "_Toc521587213"</w:instrText>
      </w:r>
      <w:r>
        <w:rPr>
          <w:rStyle w:val="30"/>
          <w:lang/>
        </w:rPr>
        <w:instrText xml:space="preserve"> </w:instrText>
      </w:r>
      <w:r>
        <w:rPr>
          <w:rStyle w:val="30"/>
          <w:lang/>
        </w:rPr>
        <w:fldChar w:fldCharType="separate"/>
      </w:r>
      <w:r>
        <w:rPr>
          <w:rStyle w:val="30"/>
          <w:rFonts w:hint="eastAsia"/>
          <w:lang/>
        </w:rPr>
        <w:t>第一部分</w:t>
      </w:r>
      <w:r>
        <w:rPr>
          <w:rStyle w:val="30"/>
          <w:lang/>
        </w:rPr>
        <w:t xml:space="preserve"> </w:t>
      </w:r>
      <w:r>
        <w:rPr>
          <w:rStyle w:val="30"/>
          <w:rFonts w:hint="eastAsia"/>
          <w:lang/>
        </w:rPr>
        <w:t>前言</w:t>
      </w:r>
      <w:r>
        <w:rPr>
          <w:lang/>
        </w:rPr>
        <w:tab/>
      </w:r>
      <w:r>
        <w:rPr>
          <w:lang/>
        </w:rPr>
        <w:fldChar w:fldCharType="begin"/>
      </w:r>
      <w:r>
        <w:rPr>
          <w:lang/>
        </w:rPr>
        <w:instrText xml:space="preserve"> PAGEREF _Toc521587213 \h </w:instrText>
      </w:r>
      <w:r>
        <w:rPr>
          <w:lang/>
        </w:rPr>
        <w:fldChar w:fldCharType="separate"/>
      </w:r>
      <w:r>
        <w:rPr>
          <w:lang/>
        </w:rPr>
        <w:t>3</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"_Toc521587214"</w:instrText>
      </w:r>
      <w:r>
        <w:rPr>
          <w:rStyle w:val="30"/>
          <w:lang/>
        </w:rPr>
        <w:instrText xml:space="preserve"> </w:instrText>
      </w:r>
      <w:r>
        <w:rPr>
          <w:rStyle w:val="30"/>
          <w:lang/>
        </w:rPr>
        <w:fldChar w:fldCharType="separate"/>
      </w:r>
      <w:r>
        <w:rPr>
          <w:rStyle w:val="30"/>
          <w:rFonts w:hint="eastAsia"/>
          <w:lang/>
        </w:rPr>
        <w:t>第二部分</w:t>
      </w:r>
      <w:r>
        <w:rPr>
          <w:rStyle w:val="30"/>
          <w:lang/>
        </w:rPr>
        <w:t xml:space="preserve"> </w:t>
      </w:r>
      <w:r>
        <w:rPr>
          <w:rStyle w:val="30"/>
          <w:rFonts w:hint="eastAsia"/>
          <w:lang/>
        </w:rPr>
        <w:t>释义</w:t>
      </w:r>
      <w:r>
        <w:rPr>
          <w:lang/>
        </w:rPr>
        <w:tab/>
      </w:r>
      <w:r>
        <w:rPr>
          <w:lang/>
        </w:rPr>
        <w:fldChar w:fldCharType="begin"/>
      </w:r>
      <w:r>
        <w:rPr>
          <w:lang/>
        </w:rPr>
        <w:instrText xml:space="preserve"> PAGEREF _Toc521587214 \h </w:instrText>
      </w:r>
      <w:r>
        <w:rPr>
          <w:lang/>
        </w:rPr>
        <w:fldChar w:fldCharType="separate"/>
      </w:r>
      <w:r>
        <w:rPr>
          <w:lang/>
        </w:rPr>
        <w:t>4</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"_Toc521587215"</w:instrText>
      </w:r>
      <w:r>
        <w:rPr>
          <w:rStyle w:val="30"/>
          <w:lang/>
        </w:rPr>
        <w:instrText xml:space="preserve"> </w:instrText>
      </w:r>
      <w:r>
        <w:rPr>
          <w:rStyle w:val="30"/>
          <w:lang/>
        </w:rPr>
        <w:fldChar w:fldCharType="separate"/>
      </w:r>
      <w:r>
        <w:rPr>
          <w:rStyle w:val="30"/>
          <w:rFonts w:hint="eastAsia"/>
          <w:lang/>
        </w:rPr>
        <w:t>第三部分</w:t>
      </w:r>
      <w:r>
        <w:rPr>
          <w:rStyle w:val="30"/>
          <w:lang/>
        </w:rPr>
        <w:t xml:space="preserve"> </w:t>
      </w:r>
      <w:r>
        <w:rPr>
          <w:rStyle w:val="30"/>
          <w:rFonts w:hint="eastAsia"/>
          <w:lang/>
        </w:rPr>
        <w:t>基金管理人</w:t>
      </w:r>
      <w:r>
        <w:rPr>
          <w:lang/>
        </w:rPr>
        <w:tab/>
      </w:r>
      <w:r>
        <w:rPr>
          <w:lang/>
        </w:rPr>
        <w:fldChar w:fldCharType="begin"/>
      </w:r>
      <w:r>
        <w:rPr>
          <w:lang/>
        </w:rPr>
        <w:instrText xml:space="preserve"> PAGEREF _Toc521587215 \h </w:instrText>
      </w:r>
      <w:r>
        <w:rPr>
          <w:lang/>
        </w:rPr>
        <w:fldChar w:fldCharType="separate"/>
      </w:r>
      <w:r>
        <w:rPr>
          <w:lang/>
        </w:rPr>
        <w:t>9</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"_Toc521587216"</w:instrText>
      </w:r>
      <w:r>
        <w:rPr>
          <w:rStyle w:val="30"/>
          <w:lang/>
        </w:rPr>
        <w:instrText xml:space="preserve"> </w:instrText>
      </w:r>
      <w:r>
        <w:rPr>
          <w:rStyle w:val="30"/>
          <w:lang/>
        </w:rPr>
        <w:fldChar w:fldCharType="separate"/>
      </w:r>
      <w:r>
        <w:rPr>
          <w:rStyle w:val="30"/>
          <w:rFonts w:hint="eastAsia"/>
          <w:lang/>
        </w:rPr>
        <w:t>第四部分</w:t>
      </w:r>
      <w:r>
        <w:rPr>
          <w:rStyle w:val="30"/>
          <w:lang/>
        </w:rPr>
        <w:t xml:space="preserve"> </w:t>
      </w:r>
      <w:r>
        <w:rPr>
          <w:rStyle w:val="30"/>
          <w:rFonts w:hint="eastAsia"/>
          <w:lang/>
        </w:rPr>
        <w:t>基金托管人</w:t>
      </w:r>
      <w:r>
        <w:rPr>
          <w:lang/>
        </w:rPr>
        <w:tab/>
      </w:r>
      <w:r>
        <w:rPr>
          <w:lang/>
        </w:rPr>
        <w:fldChar w:fldCharType="begin"/>
      </w:r>
      <w:r>
        <w:rPr>
          <w:lang/>
        </w:rPr>
        <w:instrText xml:space="preserve"> PAGEREF _Toc521587216 \h </w:instrText>
      </w:r>
      <w:r>
        <w:rPr>
          <w:lang/>
        </w:rPr>
        <w:fldChar w:fldCharType="separate"/>
      </w:r>
      <w:r>
        <w:rPr>
          <w:lang/>
        </w:rPr>
        <w:t>19</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"_Toc521587217"</w:instrText>
      </w:r>
      <w:r>
        <w:rPr>
          <w:rStyle w:val="30"/>
          <w:lang/>
        </w:rPr>
        <w:instrText xml:space="preserve"> </w:instrText>
      </w:r>
      <w:r>
        <w:rPr>
          <w:rStyle w:val="30"/>
          <w:lang/>
        </w:rPr>
        <w:fldChar w:fldCharType="separate"/>
      </w:r>
      <w:r>
        <w:rPr>
          <w:rStyle w:val="30"/>
          <w:rFonts w:hint="eastAsia"/>
          <w:lang/>
        </w:rPr>
        <w:t>第五部分</w:t>
      </w:r>
      <w:r>
        <w:rPr>
          <w:rStyle w:val="30"/>
          <w:lang/>
        </w:rPr>
        <w:t xml:space="preserve"> </w:t>
      </w:r>
      <w:r>
        <w:rPr>
          <w:rStyle w:val="30"/>
          <w:rFonts w:hint="eastAsia"/>
          <w:lang/>
        </w:rPr>
        <w:t>相关服务机构</w:t>
      </w:r>
      <w:r>
        <w:rPr>
          <w:lang/>
        </w:rPr>
        <w:tab/>
      </w:r>
      <w:r>
        <w:rPr>
          <w:lang/>
        </w:rPr>
        <w:fldChar w:fldCharType="begin"/>
      </w:r>
      <w:r>
        <w:rPr>
          <w:lang/>
        </w:rPr>
        <w:instrText xml:space="preserve"> PAGEREF _Toc521587217 \h </w:instrText>
      </w:r>
      <w:r>
        <w:rPr>
          <w:lang/>
        </w:rPr>
        <w:fldChar w:fldCharType="separate"/>
      </w:r>
      <w:r>
        <w:rPr>
          <w:lang/>
        </w:rPr>
        <w:t>24</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"_Toc521587218"</w:instrText>
      </w:r>
      <w:r>
        <w:rPr>
          <w:rStyle w:val="30"/>
          <w:lang/>
        </w:rPr>
        <w:instrText xml:space="preserve"> </w:instrText>
      </w:r>
      <w:r>
        <w:rPr>
          <w:rStyle w:val="30"/>
          <w:lang/>
        </w:rPr>
        <w:fldChar w:fldCharType="separate"/>
      </w:r>
      <w:r>
        <w:rPr>
          <w:rStyle w:val="30"/>
          <w:rFonts w:hint="eastAsia"/>
          <w:lang/>
        </w:rPr>
        <w:t>第六部分</w:t>
      </w:r>
      <w:r>
        <w:rPr>
          <w:rStyle w:val="30"/>
          <w:lang/>
        </w:rPr>
        <w:t xml:space="preserve"> </w:t>
      </w:r>
      <w:r>
        <w:rPr>
          <w:rStyle w:val="30"/>
          <w:rFonts w:hint="eastAsia"/>
          <w:lang/>
        </w:rPr>
        <w:t>基金的募集</w:t>
      </w:r>
      <w:r>
        <w:rPr>
          <w:lang/>
        </w:rPr>
        <w:tab/>
      </w:r>
      <w:r>
        <w:rPr>
          <w:lang/>
        </w:rPr>
        <w:fldChar w:fldCharType="begin"/>
      </w:r>
      <w:r>
        <w:rPr>
          <w:lang/>
        </w:rPr>
        <w:instrText xml:space="preserve"> PAGEREF _Toc521587218 \h </w:instrText>
      </w:r>
      <w:r>
        <w:rPr>
          <w:lang/>
        </w:rPr>
        <w:fldChar w:fldCharType="separate"/>
      </w:r>
      <w:r>
        <w:rPr>
          <w:lang/>
        </w:rPr>
        <w:t>34</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"_Toc521587219"</w:instrText>
      </w:r>
      <w:r>
        <w:rPr>
          <w:rStyle w:val="30"/>
          <w:lang/>
        </w:rPr>
        <w:instrText xml:space="preserve"> </w:instrText>
      </w:r>
      <w:r>
        <w:rPr>
          <w:rStyle w:val="30"/>
          <w:lang/>
        </w:rPr>
        <w:fldChar w:fldCharType="separate"/>
      </w:r>
      <w:r>
        <w:rPr>
          <w:rStyle w:val="30"/>
          <w:rFonts w:hint="eastAsia"/>
          <w:lang/>
        </w:rPr>
        <w:t>第七部分</w:t>
      </w:r>
      <w:r>
        <w:rPr>
          <w:rStyle w:val="30"/>
          <w:lang/>
        </w:rPr>
        <w:t xml:space="preserve"> </w:t>
      </w:r>
      <w:r>
        <w:rPr>
          <w:rStyle w:val="30"/>
          <w:rFonts w:hint="eastAsia"/>
          <w:lang/>
        </w:rPr>
        <w:t>《基金合同》的生效</w:t>
      </w:r>
      <w:r>
        <w:rPr>
          <w:lang/>
        </w:rPr>
        <w:tab/>
      </w:r>
      <w:r>
        <w:rPr>
          <w:lang/>
        </w:rPr>
        <w:fldChar w:fldCharType="begin"/>
      </w:r>
      <w:r>
        <w:rPr>
          <w:lang/>
        </w:rPr>
        <w:instrText xml:space="preserve"> PAGEREF _Toc521587219 \h </w:instrText>
      </w:r>
      <w:r>
        <w:rPr>
          <w:lang/>
        </w:rPr>
        <w:fldChar w:fldCharType="separate"/>
      </w:r>
      <w:r>
        <w:rPr>
          <w:lang/>
        </w:rPr>
        <w:t>39</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"_Toc521587220"</w:instrText>
      </w:r>
      <w:r>
        <w:rPr>
          <w:rStyle w:val="30"/>
          <w:lang/>
        </w:rPr>
        <w:instrText xml:space="preserve"> </w:instrText>
      </w:r>
      <w:r>
        <w:rPr>
          <w:rStyle w:val="30"/>
          <w:lang/>
        </w:rPr>
        <w:fldChar w:fldCharType="separate"/>
      </w:r>
      <w:r>
        <w:rPr>
          <w:rStyle w:val="30"/>
          <w:rFonts w:hint="eastAsia"/>
          <w:lang/>
        </w:rPr>
        <w:t>第八部分</w:t>
      </w:r>
      <w:r>
        <w:rPr>
          <w:rStyle w:val="30"/>
          <w:lang/>
        </w:rPr>
        <w:t xml:space="preserve"> </w:t>
      </w:r>
      <w:r>
        <w:rPr>
          <w:rStyle w:val="30"/>
          <w:rFonts w:hint="eastAsia"/>
          <w:lang/>
        </w:rPr>
        <w:t>基金份额的申购与赎回</w:t>
      </w:r>
      <w:r>
        <w:rPr>
          <w:lang/>
        </w:rPr>
        <w:tab/>
      </w:r>
      <w:r>
        <w:rPr>
          <w:lang/>
        </w:rPr>
        <w:fldChar w:fldCharType="begin"/>
      </w:r>
      <w:r>
        <w:rPr>
          <w:lang/>
        </w:rPr>
        <w:instrText xml:space="preserve"> PAGEREF _Toc521587220 \h </w:instrText>
      </w:r>
      <w:r>
        <w:rPr>
          <w:lang/>
        </w:rPr>
        <w:fldChar w:fldCharType="separate"/>
      </w:r>
      <w:r>
        <w:rPr>
          <w:lang/>
        </w:rPr>
        <w:t>41</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"_Toc521587221"</w:instrText>
      </w:r>
      <w:r>
        <w:rPr>
          <w:rStyle w:val="30"/>
          <w:lang/>
        </w:rPr>
        <w:instrText xml:space="preserve"> </w:instrText>
      </w:r>
      <w:r>
        <w:rPr>
          <w:rStyle w:val="30"/>
          <w:lang/>
        </w:rPr>
        <w:fldChar w:fldCharType="separate"/>
      </w:r>
      <w:r>
        <w:rPr>
          <w:rStyle w:val="30"/>
          <w:rFonts w:hint="eastAsia"/>
          <w:lang/>
        </w:rPr>
        <w:t>第九部分</w:t>
      </w:r>
      <w:r>
        <w:rPr>
          <w:rStyle w:val="30"/>
          <w:lang/>
        </w:rPr>
        <w:t xml:space="preserve"> </w:t>
      </w:r>
      <w:r>
        <w:rPr>
          <w:rStyle w:val="30"/>
          <w:rFonts w:hint="eastAsia"/>
          <w:lang/>
        </w:rPr>
        <w:t>基金的投资</w:t>
      </w:r>
      <w:r>
        <w:rPr>
          <w:lang/>
        </w:rPr>
        <w:tab/>
      </w:r>
      <w:r>
        <w:rPr>
          <w:lang/>
        </w:rPr>
        <w:fldChar w:fldCharType="begin"/>
      </w:r>
      <w:r>
        <w:rPr>
          <w:lang/>
        </w:rPr>
        <w:instrText xml:space="preserve"> PAGEREF _Toc521587221 \h </w:instrText>
      </w:r>
      <w:r>
        <w:rPr>
          <w:lang/>
        </w:rPr>
        <w:fldChar w:fldCharType="separate"/>
      </w:r>
      <w:r>
        <w:rPr>
          <w:lang/>
        </w:rPr>
        <w:t>51</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"_Toc521587222"</w:instrText>
      </w:r>
      <w:r>
        <w:rPr>
          <w:rStyle w:val="30"/>
          <w:lang/>
        </w:rPr>
        <w:instrText xml:space="preserve"> </w:instrText>
      </w:r>
      <w:r>
        <w:rPr>
          <w:rStyle w:val="30"/>
          <w:lang/>
        </w:rPr>
        <w:fldChar w:fldCharType="separate"/>
      </w:r>
      <w:r>
        <w:rPr>
          <w:rStyle w:val="30"/>
          <w:rFonts w:hint="eastAsia"/>
          <w:lang/>
        </w:rPr>
        <w:t>第十部分</w:t>
      </w:r>
      <w:r>
        <w:rPr>
          <w:rStyle w:val="30"/>
          <w:lang/>
        </w:rPr>
        <w:t xml:space="preserve"> </w:t>
      </w:r>
      <w:r>
        <w:rPr>
          <w:rStyle w:val="30"/>
          <w:rFonts w:hint="eastAsia"/>
          <w:lang/>
        </w:rPr>
        <w:t>基金的业绩</w:t>
      </w:r>
      <w:r>
        <w:rPr>
          <w:lang/>
        </w:rPr>
        <w:tab/>
      </w:r>
      <w:r>
        <w:rPr>
          <w:lang/>
        </w:rPr>
        <w:fldChar w:fldCharType="begin"/>
      </w:r>
      <w:r>
        <w:rPr>
          <w:lang/>
        </w:rPr>
        <w:instrText xml:space="preserve"> PAGEREF _Toc521587222 \h </w:instrText>
      </w:r>
      <w:r>
        <w:rPr>
          <w:lang/>
        </w:rPr>
        <w:fldChar w:fldCharType="separate"/>
      </w:r>
      <w:r>
        <w:rPr>
          <w:lang/>
        </w:rPr>
        <w:t>61</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"_Toc521587223"</w:instrText>
      </w:r>
      <w:r>
        <w:rPr>
          <w:rStyle w:val="30"/>
          <w:lang/>
        </w:rPr>
        <w:instrText xml:space="preserve"> </w:instrText>
      </w:r>
      <w:r>
        <w:rPr>
          <w:rStyle w:val="30"/>
          <w:lang/>
        </w:rPr>
        <w:fldChar w:fldCharType="separate"/>
      </w:r>
      <w:r>
        <w:rPr>
          <w:rStyle w:val="30"/>
          <w:rFonts w:hint="eastAsia"/>
          <w:lang/>
        </w:rPr>
        <w:t>第十一部分</w:t>
      </w:r>
      <w:r>
        <w:rPr>
          <w:rStyle w:val="30"/>
          <w:lang/>
        </w:rPr>
        <w:t xml:space="preserve"> </w:t>
      </w:r>
      <w:r>
        <w:rPr>
          <w:rStyle w:val="30"/>
          <w:rFonts w:hint="eastAsia"/>
          <w:lang/>
        </w:rPr>
        <w:t>基金的财产</w:t>
      </w:r>
      <w:r>
        <w:rPr>
          <w:lang/>
        </w:rPr>
        <w:tab/>
      </w:r>
      <w:r>
        <w:rPr>
          <w:lang/>
        </w:rPr>
        <w:fldChar w:fldCharType="begin"/>
      </w:r>
      <w:r>
        <w:rPr>
          <w:lang/>
        </w:rPr>
        <w:instrText xml:space="preserve"> PAGEREF _Toc521587223 \h </w:instrText>
      </w:r>
      <w:r>
        <w:rPr>
          <w:lang/>
        </w:rPr>
        <w:fldChar w:fldCharType="separate"/>
      </w:r>
      <w:r>
        <w:rPr>
          <w:lang/>
        </w:rPr>
        <w:t>63</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"_Toc521587224"</w:instrText>
      </w:r>
      <w:r>
        <w:rPr>
          <w:rStyle w:val="30"/>
          <w:lang/>
        </w:rPr>
        <w:instrText xml:space="preserve"> </w:instrText>
      </w:r>
      <w:r>
        <w:rPr>
          <w:rStyle w:val="30"/>
          <w:lang/>
        </w:rPr>
        <w:fldChar w:fldCharType="separate"/>
      </w:r>
      <w:r>
        <w:rPr>
          <w:rStyle w:val="30"/>
          <w:rFonts w:hint="eastAsia"/>
          <w:lang/>
        </w:rPr>
        <w:t>第十二部分</w:t>
      </w:r>
      <w:r>
        <w:rPr>
          <w:rStyle w:val="30"/>
          <w:lang/>
        </w:rPr>
        <w:t xml:space="preserve"> </w:t>
      </w:r>
      <w:r>
        <w:rPr>
          <w:rStyle w:val="30"/>
          <w:rFonts w:hint="eastAsia"/>
          <w:lang/>
        </w:rPr>
        <w:t>基金资产的估值</w:t>
      </w:r>
      <w:r>
        <w:rPr>
          <w:lang/>
        </w:rPr>
        <w:tab/>
      </w:r>
      <w:r>
        <w:rPr>
          <w:lang/>
        </w:rPr>
        <w:fldChar w:fldCharType="begin"/>
      </w:r>
      <w:r>
        <w:rPr>
          <w:lang/>
        </w:rPr>
        <w:instrText xml:space="preserve"> PAGEREF _Toc521587224 \h </w:instrText>
      </w:r>
      <w:r>
        <w:rPr>
          <w:lang/>
        </w:rPr>
        <w:fldChar w:fldCharType="separate"/>
      </w:r>
      <w:r>
        <w:rPr>
          <w:lang/>
        </w:rPr>
        <w:t>64</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"_Toc521587225"</w:instrText>
      </w:r>
      <w:r>
        <w:rPr>
          <w:rStyle w:val="30"/>
          <w:lang/>
        </w:rPr>
        <w:instrText xml:space="preserve"> </w:instrText>
      </w:r>
      <w:r>
        <w:rPr>
          <w:rStyle w:val="30"/>
          <w:lang/>
        </w:rPr>
        <w:fldChar w:fldCharType="separate"/>
      </w:r>
      <w:r>
        <w:rPr>
          <w:rStyle w:val="30"/>
          <w:rFonts w:hint="eastAsia"/>
          <w:lang/>
        </w:rPr>
        <w:t>第十三部分</w:t>
      </w:r>
      <w:r>
        <w:rPr>
          <w:rStyle w:val="30"/>
          <w:lang/>
        </w:rPr>
        <w:t xml:space="preserve"> </w:t>
      </w:r>
      <w:r>
        <w:rPr>
          <w:rStyle w:val="30"/>
          <w:rFonts w:hint="eastAsia"/>
          <w:lang/>
        </w:rPr>
        <w:t>基金的收益分配</w:t>
      </w:r>
      <w:r>
        <w:rPr>
          <w:lang/>
        </w:rPr>
        <w:tab/>
      </w:r>
      <w:r>
        <w:rPr>
          <w:lang/>
        </w:rPr>
        <w:fldChar w:fldCharType="begin"/>
      </w:r>
      <w:r>
        <w:rPr>
          <w:lang/>
        </w:rPr>
        <w:instrText xml:space="preserve"> PAGEREF _Toc521587225 \h </w:instrText>
      </w:r>
      <w:r>
        <w:rPr>
          <w:lang/>
        </w:rPr>
        <w:fldChar w:fldCharType="separate"/>
      </w:r>
      <w:r>
        <w:rPr>
          <w:lang/>
        </w:rPr>
        <w:t>69</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"_Toc521587226"</w:instrText>
      </w:r>
      <w:r>
        <w:rPr>
          <w:rStyle w:val="30"/>
          <w:lang/>
        </w:rPr>
        <w:instrText xml:space="preserve"> </w:instrText>
      </w:r>
      <w:r>
        <w:rPr>
          <w:rStyle w:val="30"/>
          <w:lang/>
        </w:rPr>
        <w:fldChar w:fldCharType="separate"/>
      </w:r>
      <w:r>
        <w:rPr>
          <w:rStyle w:val="30"/>
          <w:rFonts w:hint="eastAsia"/>
          <w:lang/>
        </w:rPr>
        <w:t>第十四部分</w:t>
      </w:r>
      <w:r>
        <w:rPr>
          <w:rStyle w:val="30"/>
          <w:lang/>
        </w:rPr>
        <w:t xml:space="preserve"> </w:t>
      </w:r>
      <w:r>
        <w:rPr>
          <w:rStyle w:val="30"/>
          <w:rFonts w:hint="eastAsia"/>
          <w:lang/>
        </w:rPr>
        <w:t>基金的费用与税收</w:t>
      </w:r>
      <w:r>
        <w:rPr>
          <w:lang/>
        </w:rPr>
        <w:tab/>
      </w:r>
      <w:r>
        <w:rPr>
          <w:lang/>
        </w:rPr>
        <w:fldChar w:fldCharType="begin"/>
      </w:r>
      <w:r>
        <w:rPr>
          <w:lang/>
        </w:rPr>
        <w:instrText xml:space="preserve"> PAGEREF _Toc521587226 \h </w:instrText>
      </w:r>
      <w:r>
        <w:rPr>
          <w:lang/>
        </w:rPr>
        <w:fldChar w:fldCharType="separate"/>
      </w:r>
      <w:r>
        <w:rPr>
          <w:lang/>
        </w:rPr>
        <w:t>71</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"_Toc521587227"</w:instrText>
      </w:r>
      <w:r>
        <w:rPr>
          <w:rStyle w:val="30"/>
          <w:lang/>
        </w:rPr>
        <w:instrText xml:space="preserve"> </w:instrText>
      </w:r>
      <w:r>
        <w:rPr>
          <w:rStyle w:val="30"/>
          <w:lang/>
        </w:rPr>
        <w:fldChar w:fldCharType="separate"/>
      </w:r>
      <w:r>
        <w:rPr>
          <w:rStyle w:val="30"/>
          <w:rFonts w:hint="eastAsia"/>
          <w:lang/>
        </w:rPr>
        <w:t>第十五部分</w:t>
      </w:r>
      <w:r>
        <w:rPr>
          <w:rStyle w:val="30"/>
          <w:lang/>
        </w:rPr>
        <w:t xml:space="preserve"> </w:t>
      </w:r>
      <w:r>
        <w:rPr>
          <w:rStyle w:val="30"/>
          <w:rFonts w:hint="eastAsia"/>
          <w:lang/>
        </w:rPr>
        <w:t>基金的会计与审计</w:t>
      </w:r>
      <w:r>
        <w:rPr>
          <w:lang/>
        </w:rPr>
        <w:tab/>
      </w:r>
      <w:r>
        <w:rPr>
          <w:lang/>
        </w:rPr>
        <w:fldChar w:fldCharType="begin"/>
      </w:r>
      <w:r>
        <w:rPr>
          <w:lang/>
        </w:rPr>
        <w:instrText xml:space="preserve"> PAGEREF _Toc521587227 \h </w:instrText>
      </w:r>
      <w:r>
        <w:rPr>
          <w:lang/>
        </w:rPr>
        <w:fldChar w:fldCharType="separate"/>
      </w:r>
      <w:r>
        <w:rPr>
          <w:lang/>
        </w:rPr>
        <w:t>74</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"_Toc521587228"</w:instrText>
      </w:r>
      <w:r>
        <w:rPr>
          <w:rStyle w:val="30"/>
          <w:lang/>
        </w:rPr>
        <w:instrText xml:space="preserve"> </w:instrText>
      </w:r>
      <w:r>
        <w:rPr>
          <w:rStyle w:val="30"/>
          <w:lang/>
        </w:rPr>
        <w:fldChar w:fldCharType="separate"/>
      </w:r>
      <w:r>
        <w:rPr>
          <w:rStyle w:val="30"/>
          <w:rFonts w:hint="eastAsia"/>
          <w:lang/>
        </w:rPr>
        <w:t>第十六部分</w:t>
      </w:r>
      <w:r>
        <w:rPr>
          <w:rStyle w:val="30"/>
          <w:lang/>
        </w:rPr>
        <w:t xml:space="preserve"> </w:t>
      </w:r>
      <w:r>
        <w:rPr>
          <w:rStyle w:val="30"/>
          <w:rFonts w:hint="eastAsia"/>
          <w:lang/>
        </w:rPr>
        <w:t>基金的信息披露</w:t>
      </w:r>
      <w:r>
        <w:rPr>
          <w:lang/>
        </w:rPr>
        <w:tab/>
      </w:r>
      <w:r>
        <w:rPr>
          <w:lang/>
        </w:rPr>
        <w:fldChar w:fldCharType="begin"/>
      </w:r>
      <w:r>
        <w:rPr>
          <w:lang/>
        </w:rPr>
        <w:instrText xml:space="preserve"> PAGEREF _Toc521587228 \h </w:instrText>
      </w:r>
      <w:r>
        <w:rPr>
          <w:lang/>
        </w:rPr>
        <w:fldChar w:fldCharType="separate"/>
      </w:r>
      <w:r>
        <w:rPr>
          <w:lang/>
        </w:rPr>
        <w:t>75</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"_Toc521587229"</w:instrText>
      </w:r>
      <w:r>
        <w:rPr>
          <w:rStyle w:val="30"/>
          <w:lang/>
        </w:rPr>
        <w:instrText xml:space="preserve"> </w:instrText>
      </w:r>
      <w:r>
        <w:rPr>
          <w:rStyle w:val="30"/>
          <w:lang/>
        </w:rPr>
        <w:fldChar w:fldCharType="separate"/>
      </w:r>
      <w:r>
        <w:rPr>
          <w:rStyle w:val="30"/>
          <w:rFonts w:hint="eastAsia"/>
          <w:lang/>
        </w:rPr>
        <w:t>第十七部分</w:t>
      </w:r>
      <w:r>
        <w:rPr>
          <w:rStyle w:val="30"/>
          <w:lang/>
        </w:rPr>
        <w:t xml:space="preserve"> </w:t>
      </w:r>
      <w:r>
        <w:rPr>
          <w:rStyle w:val="30"/>
          <w:rFonts w:hint="eastAsia"/>
          <w:lang/>
        </w:rPr>
        <w:t>风险揭示</w:t>
      </w:r>
      <w:r>
        <w:rPr>
          <w:lang/>
        </w:rPr>
        <w:tab/>
      </w:r>
      <w:r>
        <w:rPr>
          <w:lang/>
        </w:rPr>
        <w:fldChar w:fldCharType="begin"/>
      </w:r>
      <w:r>
        <w:rPr>
          <w:lang/>
        </w:rPr>
        <w:instrText xml:space="preserve"> PAGEREF _Toc521587229 \h </w:instrText>
      </w:r>
      <w:r>
        <w:rPr>
          <w:lang/>
        </w:rPr>
        <w:fldChar w:fldCharType="separate"/>
      </w:r>
      <w:r>
        <w:rPr>
          <w:lang/>
        </w:rPr>
        <w:t>81</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"_Toc521587230"</w:instrText>
      </w:r>
      <w:r>
        <w:rPr>
          <w:rStyle w:val="30"/>
          <w:lang/>
        </w:rPr>
        <w:instrText xml:space="preserve"> </w:instrText>
      </w:r>
      <w:r>
        <w:rPr>
          <w:rStyle w:val="30"/>
          <w:lang/>
        </w:rPr>
        <w:fldChar w:fldCharType="separate"/>
      </w:r>
      <w:r>
        <w:rPr>
          <w:rStyle w:val="30"/>
          <w:rFonts w:hint="eastAsia"/>
          <w:lang/>
        </w:rPr>
        <w:t>第十八部分</w:t>
      </w:r>
      <w:r>
        <w:rPr>
          <w:rStyle w:val="30"/>
          <w:lang/>
        </w:rPr>
        <w:t xml:space="preserve"> </w:t>
      </w:r>
      <w:r>
        <w:rPr>
          <w:rStyle w:val="30"/>
          <w:rFonts w:hint="eastAsia"/>
          <w:lang/>
        </w:rPr>
        <w:t>《基金合同》的变更、终止与基金财产的清算</w:t>
      </w:r>
      <w:r>
        <w:rPr>
          <w:lang/>
        </w:rPr>
        <w:tab/>
      </w:r>
      <w:r>
        <w:rPr>
          <w:lang/>
        </w:rPr>
        <w:fldChar w:fldCharType="begin"/>
      </w:r>
      <w:r>
        <w:rPr>
          <w:lang/>
        </w:rPr>
        <w:instrText xml:space="preserve"> PAGEREF _Toc521587230 \h </w:instrText>
      </w:r>
      <w:r>
        <w:rPr>
          <w:lang/>
        </w:rPr>
        <w:fldChar w:fldCharType="separate"/>
      </w:r>
      <w:r>
        <w:rPr>
          <w:lang/>
        </w:rPr>
        <w:t>86</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"_Toc521587231"</w:instrText>
      </w:r>
      <w:r>
        <w:rPr>
          <w:rStyle w:val="30"/>
          <w:lang/>
        </w:rPr>
        <w:instrText xml:space="preserve"> </w:instrText>
      </w:r>
      <w:r>
        <w:rPr>
          <w:rStyle w:val="30"/>
          <w:lang/>
        </w:rPr>
        <w:fldChar w:fldCharType="separate"/>
      </w:r>
      <w:r>
        <w:rPr>
          <w:rStyle w:val="30"/>
          <w:rFonts w:hint="eastAsia"/>
          <w:lang/>
        </w:rPr>
        <w:t>第十九部分</w:t>
      </w:r>
      <w:r>
        <w:rPr>
          <w:rStyle w:val="30"/>
          <w:lang/>
        </w:rPr>
        <w:t xml:space="preserve"> </w:t>
      </w:r>
      <w:r>
        <w:rPr>
          <w:rStyle w:val="30"/>
          <w:rFonts w:hint="eastAsia"/>
          <w:lang/>
        </w:rPr>
        <w:t>《基金合同》的内容摘要</w:t>
      </w:r>
      <w:r>
        <w:rPr>
          <w:lang/>
        </w:rPr>
        <w:tab/>
      </w:r>
      <w:r>
        <w:rPr>
          <w:lang/>
        </w:rPr>
        <w:fldChar w:fldCharType="begin"/>
      </w:r>
      <w:r>
        <w:rPr>
          <w:lang/>
        </w:rPr>
        <w:instrText xml:space="preserve"> PAGEREF _Toc521587231 \h </w:instrText>
      </w:r>
      <w:r>
        <w:rPr>
          <w:lang/>
        </w:rPr>
        <w:fldChar w:fldCharType="separate"/>
      </w:r>
      <w:r>
        <w:rPr>
          <w:lang/>
        </w:rPr>
        <w:t>88</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"_Toc521587232"</w:instrText>
      </w:r>
      <w:r>
        <w:rPr>
          <w:rStyle w:val="30"/>
          <w:lang/>
        </w:rPr>
        <w:instrText xml:space="preserve"> </w:instrText>
      </w:r>
      <w:r>
        <w:rPr>
          <w:rStyle w:val="30"/>
          <w:lang/>
        </w:rPr>
        <w:fldChar w:fldCharType="separate"/>
      </w:r>
      <w:r>
        <w:rPr>
          <w:rStyle w:val="30"/>
          <w:rFonts w:hint="eastAsia"/>
          <w:lang/>
        </w:rPr>
        <w:t>第二十部分</w:t>
      </w:r>
      <w:r>
        <w:rPr>
          <w:rStyle w:val="30"/>
          <w:lang/>
        </w:rPr>
        <w:t xml:space="preserve"> </w:t>
      </w:r>
      <w:r>
        <w:rPr>
          <w:rStyle w:val="30"/>
          <w:rFonts w:hint="eastAsia"/>
          <w:lang/>
        </w:rPr>
        <w:t>《托管协议》的内容摘要</w:t>
      </w:r>
      <w:r>
        <w:rPr>
          <w:lang/>
        </w:rPr>
        <w:tab/>
      </w:r>
      <w:r>
        <w:rPr>
          <w:lang/>
        </w:rPr>
        <w:fldChar w:fldCharType="begin"/>
      </w:r>
      <w:r>
        <w:rPr>
          <w:lang/>
        </w:rPr>
        <w:instrText xml:space="preserve"> PAGEREF _Toc521587232 \h </w:instrText>
      </w:r>
      <w:r>
        <w:rPr>
          <w:lang/>
        </w:rPr>
        <w:fldChar w:fldCharType="separate"/>
      </w:r>
      <w:r>
        <w:rPr>
          <w:lang/>
        </w:rPr>
        <w:t>114</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"_Toc521587233"</w:instrText>
      </w:r>
      <w:r>
        <w:rPr>
          <w:rStyle w:val="30"/>
          <w:lang/>
        </w:rPr>
        <w:instrText xml:space="preserve"> </w:instrText>
      </w:r>
      <w:r>
        <w:rPr>
          <w:rStyle w:val="30"/>
          <w:lang/>
        </w:rPr>
        <w:fldChar w:fldCharType="separate"/>
      </w:r>
      <w:r>
        <w:rPr>
          <w:rStyle w:val="30"/>
          <w:rFonts w:hint="eastAsia"/>
          <w:lang/>
        </w:rPr>
        <w:t>第二十一部分</w:t>
      </w:r>
      <w:r>
        <w:rPr>
          <w:rStyle w:val="30"/>
          <w:lang/>
        </w:rPr>
        <w:t xml:space="preserve"> </w:t>
      </w:r>
      <w:r>
        <w:rPr>
          <w:rStyle w:val="30"/>
          <w:rFonts w:hint="eastAsia"/>
          <w:lang/>
        </w:rPr>
        <w:t>对基金份额持有人的服务</w:t>
      </w:r>
      <w:r>
        <w:rPr>
          <w:lang/>
        </w:rPr>
        <w:tab/>
      </w:r>
      <w:r>
        <w:rPr>
          <w:lang/>
        </w:rPr>
        <w:fldChar w:fldCharType="begin"/>
      </w:r>
      <w:r>
        <w:rPr>
          <w:lang/>
        </w:rPr>
        <w:instrText xml:space="preserve"> PAGEREF _Toc521587233 \h </w:instrText>
      </w:r>
      <w:r>
        <w:rPr>
          <w:lang/>
        </w:rPr>
        <w:fldChar w:fldCharType="separate"/>
      </w:r>
      <w:r>
        <w:rPr>
          <w:lang/>
        </w:rPr>
        <w:t>134</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"_Toc521587234"</w:instrText>
      </w:r>
      <w:r>
        <w:rPr>
          <w:rStyle w:val="30"/>
          <w:lang/>
        </w:rPr>
        <w:instrText xml:space="preserve"> </w:instrText>
      </w:r>
      <w:r>
        <w:rPr>
          <w:rStyle w:val="30"/>
          <w:lang/>
        </w:rPr>
        <w:fldChar w:fldCharType="separate"/>
      </w:r>
      <w:r>
        <w:rPr>
          <w:rStyle w:val="30"/>
          <w:rFonts w:hint="eastAsia"/>
          <w:lang/>
        </w:rPr>
        <w:t>第二十二部分</w:t>
      </w:r>
      <w:r>
        <w:rPr>
          <w:rStyle w:val="30"/>
          <w:lang/>
        </w:rPr>
        <w:t xml:space="preserve"> </w:t>
      </w:r>
      <w:r>
        <w:rPr>
          <w:rStyle w:val="30"/>
          <w:rFonts w:hint="eastAsia"/>
          <w:lang/>
        </w:rPr>
        <w:t>其他应披露事项</w:t>
      </w:r>
      <w:r>
        <w:rPr>
          <w:lang/>
        </w:rPr>
        <w:tab/>
      </w:r>
      <w:r>
        <w:rPr>
          <w:lang/>
        </w:rPr>
        <w:fldChar w:fldCharType="begin"/>
      </w:r>
      <w:r>
        <w:rPr>
          <w:lang/>
        </w:rPr>
        <w:instrText xml:space="preserve"> PAGEREF _Toc521587234 \h </w:instrText>
      </w:r>
      <w:r>
        <w:rPr>
          <w:lang/>
        </w:rPr>
        <w:fldChar w:fldCharType="separate"/>
      </w:r>
      <w:r>
        <w:rPr>
          <w:lang/>
        </w:rPr>
        <w:t>137</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"_Toc521587235"</w:instrText>
      </w:r>
      <w:r>
        <w:rPr>
          <w:rStyle w:val="30"/>
          <w:lang/>
        </w:rPr>
        <w:instrText xml:space="preserve"> </w:instrText>
      </w:r>
      <w:r>
        <w:rPr>
          <w:rStyle w:val="30"/>
          <w:lang/>
        </w:rPr>
        <w:fldChar w:fldCharType="separate"/>
      </w:r>
      <w:r>
        <w:rPr>
          <w:rStyle w:val="30"/>
          <w:rFonts w:hint="eastAsia"/>
          <w:lang/>
        </w:rPr>
        <w:t>第二十三部分</w:t>
      </w:r>
      <w:r>
        <w:rPr>
          <w:rStyle w:val="30"/>
          <w:lang/>
        </w:rPr>
        <w:t xml:space="preserve"> </w:t>
      </w:r>
      <w:r>
        <w:rPr>
          <w:rStyle w:val="30"/>
          <w:rFonts w:hint="eastAsia"/>
          <w:lang/>
        </w:rPr>
        <w:t>招募说明书的存放及查阅方式</w:t>
      </w:r>
      <w:r>
        <w:rPr>
          <w:lang/>
        </w:rPr>
        <w:tab/>
      </w:r>
      <w:r>
        <w:rPr>
          <w:lang/>
        </w:rPr>
        <w:fldChar w:fldCharType="begin"/>
      </w:r>
      <w:r>
        <w:rPr>
          <w:lang/>
        </w:rPr>
        <w:instrText xml:space="preserve"> PAGEREF _Toc521587235 \h </w:instrText>
      </w:r>
      <w:r>
        <w:rPr>
          <w:lang/>
        </w:rPr>
        <w:fldChar w:fldCharType="separate"/>
      </w:r>
      <w:r>
        <w:rPr>
          <w:lang/>
        </w:rPr>
        <w:t>138</w:t>
      </w:r>
      <w:r>
        <w:rPr>
          <w:lang/>
        </w:rPr>
        <w:fldChar w:fldCharType="end"/>
      </w:r>
      <w:r>
        <w:rPr>
          <w:rStyle w:val="30"/>
          <w:lang/>
        </w:rPr>
        <w:fldChar w:fldCharType="end"/>
      </w:r>
    </w:p>
    <w:p>
      <w:pPr>
        <w:pStyle w:val="16"/>
        <w:tabs>
          <w:tab w:val="right" w:leader="dot" w:pos="7735"/>
        </w:tabs>
        <w:spacing w:before="0" w:line="360" w:lineRule="auto"/>
        <w:rPr>
          <w:rFonts w:ascii="Calibri" w:hAnsi="Calibri" w:cs="Times New Roman"/>
          <w:bCs w:val="0"/>
          <w:caps w:val="0"/>
          <w:kern w:val="2"/>
          <w:sz w:val="21"/>
          <w:szCs w:val="22"/>
          <w:lang w:eastAsia="zh-CN"/>
        </w:rPr>
      </w:pPr>
      <w:r>
        <w:rPr>
          <w:rStyle w:val="30"/>
          <w:lang/>
        </w:rPr>
        <w:fldChar w:fldCharType="begin"/>
      </w:r>
      <w:r>
        <w:rPr>
          <w:rStyle w:val="30"/>
          <w:lang/>
        </w:rPr>
        <w:instrText xml:space="preserve"> </w:instrText>
      </w:r>
      <w:r>
        <w:rPr>
          <w:lang/>
        </w:rPr>
        <w:instrText xml:space="preserve">HYPERLINK \l "_Toc521587236"</w:instrText>
      </w:r>
      <w:r>
        <w:rPr>
          <w:rStyle w:val="30"/>
          <w:lang/>
        </w:rPr>
        <w:instrText xml:space="preserve"> </w:instrText>
      </w:r>
      <w:r>
        <w:rPr>
          <w:rStyle w:val="30"/>
          <w:lang/>
        </w:rPr>
        <w:fldChar w:fldCharType="separate"/>
      </w:r>
      <w:r>
        <w:rPr>
          <w:rStyle w:val="30"/>
          <w:rFonts w:hint="eastAsia"/>
          <w:lang/>
        </w:rPr>
        <w:t>第二十四部分</w:t>
      </w:r>
      <w:r>
        <w:rPr>
          <w:rStyle w:val="30"/>
          <w:lang/>
        </w:rPr>
        <w:t xml:space="preserve"> </w:t>
      </w:r>
      <w:r>
        <w:rPr>
          <w:rStyle w:val="30"/>
          <w:rFonts w:hint="eastAsia"/>
          <w:lang/>
        </w:rPr>
        <w:t>备查文件</w:t>
      </w:r>
      <w:bookmarkStart w:id="0" w:name="_Hlt17825557"/>
      <w:bookmarkStart w:id="1" w:name="_Hlt17825558"/>
      <w:r>
        <w:rPr>
          <w:lang/>
        </w:rPr>
        <w:tab/>
      </w:r>
      <w:bookmarkEnd w:id="0"/>
      <w:bookmarkEnd w:id="1"/>
      <w:r>
        <w:rPr>
          <w:lang/>
        </w:rPr>
        <w:fldChar w:fldCharType="begin"/>
      </w:r>
      <w:r>
        <w:rPr>
          <w:lang/>
        </w:rPr>
        <w:instrText xml:space="preserve"> PAGEREF _Toc521587236 \h </w:instrText>
      </w:r>
      <w:r>
        <w:rPr>
          <w:lang/>
        </w:rPr>
        <w:fldChar w:fldCharType="separate"/>
      </w:r>
      <w:r>
        <w:rPr>
          <w:lang/>
        </w:rPr>
        <w:t>139</w:t>
      </w:r>
      <w:r>
        <w:rPr>
          <w:lang/>
        </w:rPr>
        <w:fldChar w:fldCharType="end"/>
      </w:r>
      <w:r>
        <w:rPr>
          <w:rStyle w:val="30"/>
          <w:lang/>
        </w:rPr>
        <w:fldChar w:fldCharType="end"/>
      </w:r>
    </w:p>
    <w:p>
      <w:pPr>
        <w:pStyle w:val="16"/>
        <w:tabs>
          <w:tab w:val="right" w:leader="dot" w:pos="8300"/>
        </w:tabs>
        <w:spacing w:before="0" w:line="360" w:lineRule="auto"/>
      </w:pPr>
      <w:r>
        <w:fldChar w:fldCharType="end"/>
      </w:r>
    </w:p>
    <w:p>
      <w:pPr>
        <w:pStyle w:val="2"/>
        <w:pageBreakBefore/>
        <w:spacing w:before="0" w:after="0"/>
        <w:jc w:val="center"/>
        <w:rPr>
          <w:rFonts w:hint="eastAsia" w:cs="宋体"/>
          <w:bCs/>
        </w:rPr>
      </w:pPr>
      <w:bookmarkStart w:id="2" w:name="_Toc521587213"/>
      <w:r>
        <w:rPr>
          <w:rFonts w:hint="eastAsia" w:ascii="Times New Roman" w:hAnsi="Times New Roman"/>
          <w:color w:val="auto"/>
          <w:sz w:val="30"/>
        </w:rPr>
        <w:t>第一部分 前</w:t>
      </w:r>
      <w:r>
        <w:rPr>
          <w:rFonts w:ascii="Times New Roman" w:hAnsi="Times New Roman"/>
          <w:color w:val="auto"/>
          <w:sz w:val="30"/>
        </w:rPr>
        <w:t>言</w:t>
      </w:r>
      <w:bookmarkEnd w:id="2"/>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建信双债增强债券型证券投资基金招募说明书》（以下简称“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的规定以及《建信双债增强债券型证券投资基金合同》（以下简称“基金合同”或“《基金合同》”）编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本招募说明书阐述了建信双债增强债券型证券投资基金的投资目标、策略、风险、费率等与投资人投资决策有关的全部必要事项，投资人在作出投资决策前应仔细阅读本招募说明书。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本基金管理人承诺本招募说明书不存在任何虚假记载、误导性陈述或者重大遗漏，并对其真实性、准确性、完整性承担法律责任。本基金是根据本招募说明书所载明的资料申请募集的。本招募说明书由建信基金管理有限责任公司负责解释。本基金管理人没有委托或授权任何其他人提供未在本招募说明书中载明的信息,或对本招募说明书作任何解释或者说明。 </w:t>
      </w:r>
    </w:p>
    <w:p>
      <w:pPr>
        <w:spacing w:line="360" w:lineRule="auto"/>
        <w:ind w:firstLine="480"/>
        <w:rPr>
          <w:rFonts w:hint="eastAsia"/>
          <w:sz w:val="30"/>
        </w:rPr>
      </w:pPr>
      <w:r>
        <w:rPr>
          <w:rFonts w:hint="eastAsia" w:ascii="宋体" w:hAnsi="宋体" w:cs="宋体"/>
          <w:bCs/>
          <w:color w:val="000000"/>
          <w:sz w:val="24"/>
        </w:rPr>
        <w:t>本招募说明书根据本基金的基金合同编写，并经中国证监会核准。基金合同是约定基金当事人之间权利、义务的法律文件。基金投资人依据基金合同取得基金份额，即成为基金份额持有人和本基金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pStyle w:val="2"/>
        <w:pageBreakBefore/>
        <w:spacing w:before="0" w:after="0"/>
        <w:jc w:val="center"/>
        <w:rPr>
          <w:rFonts w:hint="eastAsia" w:cs="宋体"/>
          <w:bCs/>
        </w:rPr>
      </w:pPr>
      <w:bookmarkStart w:id="3" w:name="_Toc521587214"/>
      <w:r>
        <w:rPr>
          <w:rFonts w:hint="eastAsia" w:ascii="Times New Roman" w:hAnsi="Times New Roman"/>
          <w:color w:val="auto"/>
          <w:sz w:val="30"/>
        </w:rPr>
        <w:t xml:space="preserve">第二部分 </w:t>
      </w:r>
      <w:r>
        <w:rPr>
          <w:rFonts w:ascii="Times New Roman" w:hAnsi="Times New Roman"/>
          <w:color w:val="auto"/>
          <w:sz w:val="30"/>
        </w:rPr>
        <w:t>释义</w:t>
      </w:r>
      <w:bookmarkEnd w:id="3"/>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本招募说明书中，除非文意另有所指，下列词语或简称具有如下含义：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1、《基金合同》：指《建信双债增强债券型证券投资基金基金合同》及对其任何有效的修订和补充；</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2、中国：指中华人民共和国</w:t>
      </w:r>
      <w:r>
        <w:rPr>
          <w:rFonts w:ascii="宋体" w:hAnsi="宋体" w:cs="宋体"/>
          <w:bCs/>
          <w:color w:val="000000"/>
          <w:sz w:val="24"/>
        </w:rPr>
        <w:t>（</w:t>
      </w:r>
      <w:r>
        <w:rPr>
          <w:rFonts w:hint="eastAsia" w:ascii="宋体" w:hAnsi="宋体" w:cs="宋体"/>
          <w:bCs/>
          <w:color w:val="000000"/>
          <w:sz w:val="24"/>
        </w:rPr>
        <w:t>仅为《基金合同》目的不包括香港特别行政区、澳门特别行政区及台湾地区</w:t>
      </w:r>
      <w:r>
        <w:rPr>
          <w:rFonts w:ascii="宋体" w:hAnsi="宋体" w:cs="宋体"/>
          <w:bCs/>
          <w:color w:val="000000"/>
          <w:sz w:val="24"/>
        </w:rPr>
        <w:t>）</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3、法律法规：</w:t>
      </w:r>
      <w:r>
        <w:rPr>
          <w:rFonts w:ascii="宋体" w:hAnsi="宋体" w:cs="宋体"/>
          <w:bCs/>
          <w:color w:val="000000"/>
          <w:sz w:val="24"/>
        </w:rPr>
        <w:t>指中国现行有效并公布实施的法律、行政法规、规范性文件、司法解释、行政规章以及其他对基金合同当事人有约束力的决定、决议、通知等</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4、《基金法》：</w:t>
      </w:r>
      <w:r>
        <w:rPr>
          <w:rFonts w:ascii="宋体" w:hAnsi="宋体" w:cs="宋体"/>
          <w:bCs/>
          <w:color w:val="000000"/>
          <w:sz w:val="24"/>
        </w:rPr>
        <w:t>指《中华人民共和国证券投资基金法》及</w:t>
      </w:r>
      <w:r>
        <w:rPr>
          <w:rFonts w:hint="eastAsia" w:ascii="宋体" w:hAnsi="宋体" w:cs="宋体"/>
          <w:bCs/>
          <w:color w:val="000000"/>
          <w:sz w:val="24"/>
        </w:rPr>
        <w:t>立法</w:t>
      </w:r>
      <w:r>
        <w:rPr>
          <w:rFonts w:ascii="宋体" w:hAnsi="宋体" w:cs="宋体"/>
          <w:bCs/>
          <w:color w:val="000000"/>
          <w:sz w:val="24"/>
        </w:rPr>
        <w:t>机关对其</w:t>
      </w:r>
      <w:r>
        <w:rPr>
          <w:rFonts w:hint="eastAsia" w:ascii="宋体" w:hAnsi="宋体" w:cs="宋体"/>
          <w:bCs/>
          <w:color w:val="000000"/>
          <w:sz w:val="24"/>
        </w:rPr>
        <w:t>不时</w:t>
      </w:r>
      <w:r>
        <w:rPr>
          <w:rFonts w:ascii="宋体" w:hAnsi="宋体" w:cs="宋体"/>
          <w:bCs/>
          <w:color w:val="000000"/>
          <w:sz w:val="24"/>
        </w:rPr>
        <w:t>做出的修订</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5、《销售办法》：</w:t>
      </w:r>
      <w:r>
        <w:rPr>
          <w:rFonts w:ascii="宋体" w:hAnsi="宋体" w:cs="宋体"/>
          <w:bCs/>
          <w:color w:val="000000"/>
          <w:sz w:val="24"/>
        </w:rPr>
        <w:t>指《证券投资基金销售管理办法》及颁布机关对其不时做出的修订</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6、《运作办法》：</w:t>
      </w:r>
      <w:r>
        <w:rPr>
          <w:rFonts w:ascii="宋体" w:hAnsi="宋体" w:cs="宋体"/>
          <w:bCs/>
          <w:color w:val="000000"/>
          <w:sz w:val="24"/>
        </w:rPr>
        <w:t>指《</w:t>
      </w:r>
      <w:r>
        <w:rPr>
          <w:rFonts w:hint="eastAsia" w:ascii="宋体" w:hAnsi="宋体" w:cs="宋体"/>
          <w:bCs/>
          <w:color w:val="000000"/>
          <w:sz w:val="24"/>
        </w:rPr>
        <w:t>公开募集</w:t>
      </w:r>
      <w:r>
        <w:rPr>
          <w:rFonts w:ascii="宋体" w:hAnsi="宋体" w:cs="宋体"/>
          <w:bCs/>
          <w:color w:val="000000"/>
          <w:sz w:val="24"/>
        </w:rPr>
        <w:t>证券投资基金运作管理办法》及颁布机关对其不时做出的修订</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7、《信息披露办法》：</w:t>
      </w:r>
      <w:r>
        <w:rPr>
          <w:rFonts w:ascii="宋体" w:hAnsi="宋体" w:cs="宋体"/>
          <w:bCs/>
          <w:color w:val="000000"/>
          <w:sz w:val="24"/>
        </w:rPr>
        <w:t>指《证券投资基金信息披露管理办法》及颁布机关对其不时做出的修订</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8、元：指中国法定货币人民币元；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9、基金或本基金：指依据《基金合同》所募集的建信双债增强债券型证券投资基金；</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10、招募说明书：指《建信双债增强债券型证券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人选择并决定是否提出基金认购或申购申请的要约邀请文件，及其定期的更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11、托管协议：指基金管理人与基金托管人签订的《建信双债增强债券型证券投资基金托管协议》及其任何有效修订和补充；</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12、发售公告：指《建信双债增强债券型证券投资基金基金份额发售公告》；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13、《流动性风险管理规定》：指中国证监会2017年8月31日颁布、同年10月1日实施的《公开募集开放式证券投资基金流动性风险管理规定》及颁布机关对其不时做出的修订；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14、《业务规则》：指</w:t>
      </w:r>
      <w:r>
        <w:rPr>
          <w:rFonts w:ascii="宋体" w:hAnsi="宋体" w:cs="宋体"/>
          <w:bCs/>
          <w:color w:val="000000"/>
          <w:sz w:val="24"/>
        </w:rPr>
        <w:t>《</w:t>
      </w:r>
      <w:r>
        <w:rPr>
          <w:rFonts w:hint="eastAsia" w:ascii="宋体" w:hAnsi="宋体" w:cs="宋体"/>
          <w:bCs/>
          <w:color w:val="000000"/>
          <w:sz w:val="24"/>
        </w:rPr>
        <w:t>建信基金管理有限责任公司开放式基金业务规则</w:t>
      </w:r>
      <w:r>
        <w:rPr>
          <w:rFonts w:ascii="宋体" w:hAnsi="宋体" w:cs="宋体"/>
          <w:bCs/>
          <w:color w:val="000000"/>
          <w:sz w:val="24"/>
        </w:rPr>
        <w:t>》</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15、中国证监会：指中国证券监督管理委员会；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16、银行监管机构：指中国银行</w:t>
      </w:r>
      <w:r>
        <w:rPr>
          <w:rFonts w:hint="eastAsia" w:ascii="宋体" w:hAnsi="宋体" w:cs="宋体"/>
          <w:bCs/>
          <w:color w:val="000000"/>
          <w:sz w:val="24"/>
          <w:lang w:eastAsia="zh-CN"/>
        </w:rPr>
        <w:t>保险</w:t>
      </w:r>
      <w:r>
        <w:rPr>
          <w:rFonts w:hint="eastAsia" w:ascii="宋体" w:hAnsi="宋体" w:cs="宋体"/>
          <w:bCs/>
          <w:color w:val="000000"/>
          <w:sz w:val="24"/>
        </w:rPr>
        <w:t>监督管理委员会或其他经国务院授权的机构；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17、基金管理人：指建信基金管理有限责任公司；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18、基金托管人：指中信银行股份有限公司；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19、基金份额持有人：指根据《基金合同》及相关文件合法取得本基金基金份额的投资人；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20、基金代销机构：指符合《销售办法》和中国证监会规定的其他条件，取得基金代销业务资格，并与基金管理人签订基金销售与服务代理协议，代为办理本基金发售、申购、赎回和其他基金业务的代理机构；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21、销售机构：指基金管理人及基金代销机构；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22、基金销售网点：指基金管理人的直销网点及基金代销机构的代销网点；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23、登记业务：</w:t>
      </w:r>
      <w:r>
        <w:rPr>
          <w:rFonts w:ascii="宋体" w:hAnsi="宋体" w:cs="宋体"/>
          <w:bCs/>
          <w:color w:val="000000"/>
          <w:sz w:val="24"/>
        </w:rPr>
        <w:t>指基金登记、存管、过户、清算和结算业务，具体内容包括投资人基金账户的建立和管理、基金份额登记、基金销售业务的确认、清算和结算、代理发放红利、建立并保管基金份额持有人名册和办理非交易过户等</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24、登记机构：</w:t>
      </w:r>
      <w:r>
        <w:rPr>
          <w:rFonts w:ascii="宋体" w:hAnsi="宋体" w:cs="宋体"/>
          <w:bCs/>
          <w:color w:val="000000"/>
          <w:sz w:val="24"/>
        </w:rPr>
        <w:t>指办理登记业务的机构。基金的登记机构为建信基金管理有限责任公司或接受建信基金管理有限责任公司委托代为办理登记业务的机构</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25、《基金合同》当事人：指受《基金合同》约束，根据《基金合同》享受权利并承担义务的法律主体，包括基金管理人、基金托管人和基金份额持有人；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26、个人投资者：指依据中华人民共和国有关法律法规可以投资于证券投资基金的自然人；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27、机构投资者：指在中国境内合法注册登记或经有权政府部门批准设立和有效存续并依法可以投资于证券投资基金的企业法人、事业法人、社会团体或其他组织；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28、合格境外机构投资者：指符合《合格境外机构投资者境内证券投资管理办法》及相关法律法规规定可以投资于在中国境内依法募集的证券投资基金的中国境外的机构投资者；</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29、投资人：指个人投资者、机构投资者、合格境外机构投资者和法律法规或中国证监会允许购买证券投资基金的其他投资者；</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30、基金合同生效日：指募集结束，基金募集的基金份额总额、募集金额和基金份额持有人人数符合相关法律法规和基金合同规定的，基金管理人依据《基金法》向中国证监会办理备案手续后，中国证监会的书面确认之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31、募集期：指自基金份额发售之日起不超过3个月的期限；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32、基金存续期：指《基金合同》生效至终止之间的不定期期限；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33、日/天：指公历日；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34、月：指公历月；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35、工作日：指上海证券交易所和深圳证券交易所的正常交易日；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36、开放日：指销售机构办理本基金份额申购、赎回等业务的工作日；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37、T日：指申购、赎回或办理其他基金业务的申请日；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38、T+</w:t>
      </w:r>
      <w:r>
        <w:rPr>
          <w:rFonts w:ascii="宋体" w:hAnsi="宋体" w:cs="宋体"/>
          <w:bCs/>
          <w:color w:val="000000"/>
          <w:sz w:val="24"/>
        </w:rPr>
        <w:t>n</w:t>
      </w:r>
      <w:r>
        <w:rPr>
          <w:rFonts w:hint="eastAsia" w:ascii="宋体" w:hAnsi="宋体" w:cs="宋体"/>
          <w:bCs/>
          <w:color w:val="000000"/>
          <w:sz w:val="24"/>
        </w:rPr>
        <w:t>日：指自T日起第</w:t>
      </w:r>
      <w:r>
        <w:rPr>
          <w:rFonts w:ascii="宋体" w:hAnsi="宋体" w:cs="宋体"/>
          <w:bCs/>
          <w:color w:val="000000"/>
          <w:sz w:val="24"/>
        </w:rPr>
        <w:t>n</w:t>
      </w:r>
      <w:r>
        <w:rPr>
          <w:rFonts w:hint="eastAsia" w:ascii="宋体" w:hAnsi="宋体" w:cs="宋体"/>
          <w:bCs/>
          <w:color w:val="000000"/>
          <w:sz w:val="24"/>
        </w:rPr>
        <w:t>个工作日（不包含T日）；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39、认购：指在基金募集期内，投资人按照基金合同的规定申请购买本基金基金份额的行为；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40、发售：指在本基金募集期内，销售机构向投资人销售本基金份额的行为；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41、申购：指在基金合同生效后的存续期间，投资人申请购买本基金基金份额的行为。本基金的日常申购自《基金合同》生效后不超过3个月的时间开始办理；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42、赎回：指在基金合同生效后的存续期间，基金份额持有人按基金合同规定的条件要求基金管理人购回本基金基金份额的行为。本基金的日常赎回自《基金合同》生效后不超过3个月的时间开始办理；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43、巨额赎回：指在单个开放日，本基金的基金份额净赎回申请（赎回申请总数加上基金转换中转出申请份额总数后扣除申购申请总数及基金转换中转入申请份额总数后的余额）超过上一日本基金总份额的</w:t>
      </w:r>
      <w:r>
        <w:rPr>
          <w:rFonts w:ascii="宋体" w:hAnsi="宋体" w:cs="宋体"/>
          <w:bCs/>
          <w:color w:val="000000"/>
          <w:sz w:val="24"/>
        </w:rPr>
        <w:t>10%</w:t>
      </w:r>
      <w:r>
        <w:rPr>
          <w:rFonts w:hint="eastAsia" w:ascii="宋体" w:hAnsi="宋体" w:cs="宋体"/>
          <w:bCs/>
          <w:color w:val="000000"/>
          <w:sz w:val="24"/>
        </w:rPr>
        <w:t>时的情形；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44、基金账户：指基金注册登记机构给投资人开立的用于记录投资人持有基金管理人管理的开放式基金份额情况的账户；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45、交易账户：指各销售机构为投资人开立的记录投资人通过该销售机构办理基金交易所引起的基金份额的变动及结余情况的账户；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46、</w:t>
      </w:r>
      <w:r>
        <w:rPr>
          <w:rFonts w:ascii="宋体" w:hAnsi="宋体" w:cs="宋体"/>
          <w:bCs/>
          <w:color w:val="000000"/>
          <w:sz w:val="24"/>
        </w:rPr>
        <w:t xml:space="preserve">A </w:t>
      </w:r>
      <w:r>
        <w:rPr>
          <w:rFonts w:hint="eastAsia" w:ascii="宋体" w:hAnsi="宋体" w:cs="宋体"/>
          <w:bCs/>
          <w:color w:val="000000"/>
          <w:sz w:val="24"/>
        </w:rPr>
        <w:t>类基金份额：在投资人认购</w:t>
      </w:r>
      <w:r>
        <w:rPr>
          <w:rFonts w:ascii="宋体" w:hAnsi="宋体" w:cs="宋体"/>
          <w:bCs/>
          <w:color w:val="000000"/>
          <w:sz w:val="24"/>
        </w:rPr>
        <w:t>/</w:t>
      </w:r>
      <w:r>
        <w:rPr>
          <w:rFonts w:hint="eastAsia" w:ascii="宋体" w:hAnsi="宋体" w:cs="宋体"/>
          <w:bCs/>
          <w:color w:val="000000"/>
          <w:sz w:val="24"/>
        </w:rPr>
        <w:t>申购时收取认购</w:t>
      </w:r>
      <w:r>
        <w:rPr>
          <w:rFonts w:ascii="宋体" w:hAnsi="宋体" w:cs="宋体"/>
          <w:bCs/>
          <w:color w:val="000000"/>
          <w:sz w:val="24"/>
        </w:rPr>
        <w:t>/</w:t>
      </w:r>
      <w:r>
        <w:rPr>
          <w:rFonts w:hint="eastAsia" w:ascii="宋体" w:hAnsi="宋体" w:cs="宋体"/>
          <w:bCs/>
          <w:color w:val="000000"/>
          <w:sz w:val="24"/>
        </w:rPr>
        <w:t>申购费用、赎回时根据持有期限收取赎回费用的基金份额；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47、C</w:t>
      </w:r>
      <w:r>
        <w:rPr>
          <w:rFonts w:ascii="宋体" w:hAnsi="宋体" w:cs="宋体"/>
          <w:bCs/>
          <w:color w:val="000000"/>
          <w:sz w:val="24"/>
        </w:rPr>
        <w:t xml:space="preserve"> </w:t>
      </w:r>
      <w:r>
        <w:rPr>
          <w:rFonts w:hint="eastAsia" w:ascii="宋体" w:hAnsi="宋体" w:cs="宋体"/>
          <w:bCs/>
          <w:color w:val="000000"/>
          <w:sz w:val="24"/>
        </w:rPr>
        <w:t>类基金份额：从本类别基金资产中计提销售服务费而不收取认购</w:t>
      </w:r>
      <w:r>
        <w:rPr>
          <w:rFonts w:ascii="宋体" w:hAnsi="宋体" w:cs="宋体"/>
          <w:bCs/>
          <w:color w:val="000000"/>
          <w:sz w:val="24"/>
        </w:rPr>
        <w:t>/</w:t>
      </w:r>
      <w:r>
        <w:rPr>
          <w:rFonts w:hint="eastAsia" w:ascii="宋体" w:hAnsi="宋体" w:cs="宋体"/>
          <w:bCs/>
          <w:color w:val="000000"/>
          <w:sz w:val="24"/>
        </w:rPr>
        <w:t>申购费用、赎回时根据持有期限收取赎回费用的基金份额；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48、</w:t>
      </w:r>
      <w:r>
        <w:rPr>
          <w:rFonts w:ascii="宋体" w:hAnsi="宋体" w:cs="宋体"/>
          <w:bCs/>
          <w:color w:val="000000"/>
          <w:sz w:val="24"/>
        </w:rPr>
        <w:t>转托管</w:t>
      </w:r>
      <w:r>
        <w:rPr>
          <w:rFonts w:hint="eastAsia" w:ascii="宋体" w:hAnsi="宋体" w:cs="宋体"/>
          <w:bCs/>
          <w:color w:val="000000"/>
          <w:sz w:val="24"/>
        </w:rPr>
        <w:t>：指基金份额持有人将其基金账户内的某一基金的基金份额从一个销售机构托管到另一销售机构的行为；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49、基金转换：</w:t>
      </w:r>
      <w:r>
        <w:rPr>
          <w:rFonts w:ascii="宋体" w:hAnsi="宋体" w:cs="宋体"/>
          <w:bCs/>
          <w:color w:val="000000"/>
          <w:sz w:val="24"/>
        </w:rPr>
        <w:t>指基金份额持有人按照基金合同和基金管理人届时有效公告规定的条件，申请将其持有基金管理人管理的、某一基金的基金份额转换为基金管理人管理的其他基金基金份额的行为</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50、定期定额投资计划：指投资人通过有关销售机构提出申请，约定每期扣款日、扣款金额及扣款方式，由销售机构于每期约定扣款日在投资人指定银行账户内自动完成扣款及基金申购申请的一种投资方式；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51、基金收益：指基金投资所得红利、股息、债券利息、买卖证券价差、银行存款利息、已实现的其他合法收入</w:t>
      </w:r>
      <w:r>
        <w:rPr>
          <w:rFonts w:ascii="宋体" w:hAnsi="宋体" w:cs="宋体"/>
          <w:bCs/>
          <w:color w:val="000000"/>
          <w:sz w:val="24"/>
        </w:rPr>
        <w:t>及因运用基金财产带来的成本和费用的节约</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52、基金资产总值：指基金所拥有的各类证券及票据价值、银行存款本息和本基金应收的申购基金款以及其他投资所形成的价值总和；</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53、基金资产净值：指基金资产总值减去基金负债后的价值；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54、基金资产估值：指计算评估基金资产和负债的价值，以确定基金资产净值的过程；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55、货币市场工具：指现金；</w:t>
      </w:r>
      <w:r>
        <w:rPr>
          <w:rFonts w:ascii="宋体" w:hAnsi="宋体" w:cs="宋体"/>
          <w:bCs/>
          <w:color w:val="000000"/>
          <w:sz w:val="24"/>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Pr>
          <w:rFonts w:hint="eastAsia" w:ascii="宋体" w:hAnsi="宋体" w:cs="宋体"/>
          <w:bCs/>
          <w:color w:val="000000"/>
          <w:sz w:val="24"/>
        </w:rPr>
        <w:t>金融</w:t>
      </w:r>
      <w:r>
        <w:rPr>
          <w:rFonts w:ascii="宋体" w:hAnsi="宋体" w:cs="宋体"/>
          <w:bCs/>
          <w:color w:val="000000"/>
          <w:sz w:val="24"/>
        </w:rPr>
        <w:t>工具</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56、指定媒体：指中国证监会指定的用以进行信息披露的报刊和互联网网站或其它媒体；</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57、不可抗力：指《基金合同》当事人</w:t>
      </w:r>
      <w:r>
        <w:rPr>
          <w:rFonts w:ascii="宋体" w:hAnsi="宋体" w:cs="宋体"/>
          <w:bCs/>
          <w:color w:val="000000"/>
          <w:sz w:val="24"/>
        </w:rPr>
        <w:t>不能预见、不能避免且不能克服的客观事件</w:t>
      </w:r>
      <w:r>
        <w:rPr>
          <w:rFonts w:hint="eastAsia" w:ascii="宋体" w:hAnsi="宋体" w:cs="宋体"/>
          <w:bCs/>
          <w:color w:val="000000"/>
          <w:sz w:val="24"/>
        </w:rPr>
        <w:t>；</w:t>
      </w:r>
    </w:p>
    <w:p>
      <w:pPr>
        <w:spacing w:line="360" w:lineRule="auto"/>
        <w:ind w:firstLine="480"/>
        <w:rPr>
          <w:rFonts w:hint="eastAsia"/>
          <w:sz w:val="30"/>
        </w:rPr>
      </w:pPr>
      <w:r>
        <w:rPr>
          <w:rFonts w:hint="eastAsia" w:ascii="宋体" w:hAnsi="宋体" w:cs="宋体"/>
          <w:bCs/>
          <w:color w:val="000000"/>
          <w:sz w:val="24"/>
        </w:rPr>
        <w:t xml:space="preserve"> 58、流动性受限资产：指由于法律法规、监管、合同或操作障碍等原因无法以合理价格予以变现的资产，包括但不限于到期日在10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pPr>
        <w:pStyle w:val="2"/>
        <w:pageBreakBefore/>
        <w:spacing w:before="0" w:after="0"/>
        <w:jc w:val="center"/>
        <w:rPr>
          <w:rFonts w:hint="eastAsia" w:cs="宋体"/>
          <w:bCs/>
        </w:rPr>
      </w:pPr>
      <w:bookmarkStart w:id="4" w:name="_Toc521587215"/>
      <w:r>
        <w:rPr>
          <w:rFonts w:hint="eastAsia" w:ascii="Times New Roman" w:hAnsi="Times New Roman"/>
          <w:color w:val="auto"/>
          <w:sz w:val="30"/>
        </w:rPr>
        <w:t>第三部分 基金管理人</w:t>
      </w:r>
      <w:bookmarkEnd w:id="4"/>
    </w:p>
    <w:p>
      <w:pPr>
        <w:spacing w:line="360" w:lineRule="auto"/>
        <w:ind w:firstLine="480"/>
        <w:rPr>
          <w:rFonts w:hint="eastAsia"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一、基金管理人概况</w:t>
      </w:r>
    </w:p>
    <w:p>
      <w:pPr>
        <w:spacing w:line="360" w:lineRule="auto"/>
        <w:ind w:firstLine="480"/>
        <w:rPr>
          <w:rFonts w:ascii="宋体" w:hAnsi="宋体" w:cs="宋体"/>
          <w:bCs/>
          <w:color w:val="000000"/>
          <w:sz w:val="24"/>
        </w:rPr>
      </w:pPr>
      <w:r>
        <w:rPr>
          <w:rFonts w:ascii="宋体" w:hAnsi="宋体" w:cs="宋体"/>
          <w:bCs/>
          <w:color w:val="000000"/>
          <w:sz w:val="24"/>
        </w:rPr>
        <w:t>名称：建信基金管理有限责任公司</w:t>
      </w:r>
    </w:p>
    <w:p>
      <w:pPr>
        <w:spacing w:line="360" w:lineRule="auto"/>
        <w:ind w:firstLine="480"/>
        <w:rPr>
          <w:rFonts w:ascii="宋体" w:hAnsi="宋体" w:cs="宋体"/>
          <w:bCs/>
          <w:color w:val="000000"/>
          <w:sz w:val="24"/>
        </w:rPr>
      </w:pPr>
      <w:r>
        <w:rPr>
          <w:rFonts w:ascii="宋体" w:hAnsi="宋体" w:cs="宋体"/>
          <w:bCs/>
          <w:color w:val="000000"/>
          <w:sz w:val="24"/>
        </w:rPr>
        <w:t>住所：北京市西城区金融大街7号英蓝国际金融中心16层</w:t>
      </w:r>
    </w:p>
    <w:p>
      <w:pPr>
        <w:spacing w:line="360" w:lineRule="auto"/>
        <w:ind w:firstLine="480"/>
        <w:rPr>
          <w:rFonts w:ascii="宋体" w:hAnsi="宋体" w:cs="宋体"/>
          <w:bCs/>
          <w:color w:val="000000"/>
          <w:sz w:val="24"/>
        </w:rPr>
      </w:pPr>
      <w:r>
        <w:rPr>
          <w:rFonts w:ascii="宋体" w:hAnsi="宋体" w:cs="宋体"/>
          <w:bCs/>
          <w:color w:val="000000"/>
          <w:sz w:val="24"/>
        </w:rPr>
        <w:t>办公地址：北京市西城区金融大街7号英蓝国际金融中心16层</w:t>
      </w:r>
    </w:p>
    <w:p>
      <w:pPr>
        <w:spacing w:line="360" w:lineRule="auto"/>
        <w:ind w:firstLine="480"/>
        <w:rPr>
          <w:rFonts w:ascii="宋体" w:hAnsi="宋体" w:cs="宋体"/>
          <w:bCs/>
          <w:color w:val="000000"/>
          <w:sz w:val="24"/>
        </w:rPr>
      </w:pPr>
      <w:r>
        <w:rPr>
          <w:rFonts w:ascii="宋体" w:hAnsi="宋体" w:cs="宋体"/>
          <w:bCs/>
          <w:color w:val="000000"/>
          <w:sz w:val="24"/>
        </w:rPr>
        <w:t>设立日期：2005年9月19日</w:t>
      </w:r>
    </w:p>
    <w:p>
      <w:pPr>
        <w:spacing w:line="360" w:lineRule="auto"/>
        <w:ind w:firstLine="480"/>
        <w:rPr>
          <w:rFonts w:ascii="宋体" w:hAnsi="宋体" w:cs="宋体"/>
          <w:bCs/>
          <w:color w:val="000000"/>
          <w:sz w:val="24"/>
        </w:rPr>
      </w:pPr>
      <w:r>
        <w:rPr>
          <w:rFonts w:ascii="宋体" w:hAnsi="宋体" w:cs="宋体"/>
          <w:bCs/>
          <w:color w:val="000000"/>
          <w:sz w:val="24"/>
        </w:rPr>
        <w:t>法定代表人：</w:t>
      </w:r>
      <w:r>
        <w:rPr>
          <w:rFonts w:hint="eastAsia" w:ascii="宋体" w:hAnsi="宋体" w:cs="宋体"/>
          <w:bCs/>
          <w:color w:val="000000"/>
          <w:sz w:val="24"/>
        </w:rPr>
        <w:t>孙志晨</w:t>
      </w:r>
    </w:p>
    <w:p>
      <w:pPr>
        <w:spacing w:line="360" w:lineRule="auto"/>
        <w:ind w:firstLine="480"/>
        <w:rPr>
          <w:rFonts w:ascii="宋体" w:hAnsi="宋体" w:cs="宋体"/>
          <w:bCs/>
          <w:color w:val="000000"/>
          <w:sz w:val="24"/>
        </w:rPr>
      </w:pPr>
      <w:r>
        <w:rPr>
          <w:rFonts w:ascii="宋体" w:hAnsi="宋体" w:cs="宋体"/>
          <w:bCs/>
          <w:color w:val="000000"/>
          <w:sz w:val="24"/>
        </w:rPr>
        <w:t>联系人：</w:t>
      </w:r>
      <w:r>
        <w:rPr>
          <w:rFonts w:hint="eastAsia" w:ascii="宋体" w:hAnsi="宋体" w:cs="宋体"/>
          <w:bCs/>
          <w:color w:val="000000"/>
          <w:sz w:val="24"/>
        </w:rPr>
        <w:t>郭雅莉</w:t>
      </w:r>
    </w:p>
    <w:p>
      <w:pPr>
        <w:spacing w:line="360" w:lineRule="auto"/>
        <w:ind w:firstLine="480"/>
        <w:rPr>
          <w:rFonts w:ascii="宋体" w:hAnsi="宋体" w:cs="宋体"/>
          <w:bCs/>
          <w:color w:val="000000"/>
          <w:sz w:val="24"/>
        </w:rPr>
      </w:pPr>
      <w:r>
        <w:rPr>
          <w:rFonts w:ascii="宋体" w:hAnsi="宋体" w:cs="宋体"/>
          <w:bCs/>
          <w:color w:val="000000"/>
          <w:sz w:val="24"/>
        </w:rPr>
        <w:t>电话：010-66228888</w:t>
      </w:r>
    </w:p>
    <w:p>
      <w:pPr>
        <w:spacing w:line="360" w:lineRule="auto"/>
        <w:ind w:firstLine="480"/>
        <w:rPr>
          <w:rFonts w:ascii="宋体" w:hAnsi="宋体" w:cs="宋体"/>
          <w:bCs/>
          <w:color w:val="000000"/>
          <w:sz w:val="24"/>
        </w:rPr>
      </w:pPr>
      <w:r>
        <w:rPr>
          <w:rFonts w:ascii="宋体" w:hAnsi="宋体" w:cs="宋体"/>
          <w:bCs/>
          <w:color w:val="000000"/>
          <w:sz w:val="24"/>
        </w:rPr>
        <w:t>注册资本：人民币2亿元</w:t>
      </w:r>
    </w:p>
    <w:p>
      <w:pPr>
        <w:spacing w:line="360" w:lineRule="auto"/>
        <w:ind w:firstLine="480"/>
        <w:rPr>
          <w:rFonts w:ascii="宋体" w:hAnsi="宋体" w:cs="宋体"/>
          <w:bCs/>
          <w:color w:val="000000"/>
          <w:sz w:val="24"/>
        </w:rPr>
      </w:pPr>
      <w:r>
        <w:rPr>
          <w:rFonts w:ascii="宋体" w:hAnsi="宋体" w:cs="宋体"/>
          <w:bCs/>
          <w:color w:val="000000"/>
          <w:sz w:val="24"/>
        </w:rPr>
        <w:t>建信基金管理有限责任公司经中国证监会证监基金字[2005]158号文批准设立。公司的股权结构如下：</w:t>
      </w:r>
      <w:r>
        <w:rPr>
          <w:rFonts w:hint="eastAsia" w:ascii="宋体" w:hAnsi="宋体" w:cs="宋体"/>
          <w:bCs/>
          <w:color w:val="000000"/>
          <w:sz w:val="24"/>
        </w:rPr>
        <w:t>中国建设银行股份有限公司，65%；美国信安金融服务公司，25%；中国华电集团资本控股有限公司，10%。</w:t>
      </w:r>
    </w:p>
    <w:p>
      <w:pPr>
        <w:spacing w:line="360" w:lineRule="auto"/>
        <w:ind w:firstLine="480"/>
        <w:rPr>
          <w:rFonts w:ascii="宋体" w:hAnsi="宋体" w:cs="宋体"/>
          <w:bCs/>
          <w:color w:val="000000"/>
          <w:sz w:val="24"/>
        </w:rPr>
      </w:pPr>
      <w:r>
        <w:rPr>
          <w:rFonts w:ascii="宋体" w:hAnsi="宋体" w:cs="宋体"/>
          <w:bCs/>
          <w:color w:val="000000"/>
          <w:sz w:val="24"/>
        </w:rPr>
        <w:t>本基金管理人公司治理结构完善，经营运作规范，能够切实维护基金投资人的利益。股东会为公司权力机构，由全体股东组成，决定公司的经营方针以及选举和更换董事、监事等事宜。公司章程中明确公司股东通过股东会依法行使权利，不以任何形式直接或者间接干预公司的经营管理和基金资产的投资运作。</w:t>
      </w:r>
    </w:p>
    <w:p>
      <w:pPr>
        <w:spacing w:line="360" w:lineRule="auto"/>
        <w:ind w:firstLine="480"/>
        <w:rPr>
          <w:rFonts w:ascii="宋体" w:hAnsi="宋体" w:cs="宋体"/>
          <w:bCs/>
          <w:color w:val="000000"/>
          <w:sz w:val="24"/>
        </w:rPr>
      </w:pPr>
      <w:r>
        <w:rPr>
          <w:rFonts w:ascii="宋体" w:hAnsi="宋体" w:cs="宋体"/>
          <w:bCs/>
          <w:color w:val="000000"/>
          <w:sz w:val="24"/>
        </w:rPr>
        <w:t>董事会为公司的</w:t>
      </w:r>
      <w:r>
        <w:rPr>
          <w:rFonts w:hint="eastAsia" w:ascii="宋体" w:hAnsi="宋体" w:cs="宋体"/>
          <w:bCs/>
          <w:color w:val="000000"/>
          <w:sz w:val="24"/>
        </w:rPr>
        <w:t>决策</w:t>
      </w:r>
      <w:r>
        <w:rPr>
          <w:rFonts w:ascii="宋体" w:hAnsi="宋体" w:cs="宋体"/>
          <w:bCs/>
          <w:color w:val="000000"/>
          <w:sz w:val="24"/>
        </w:rPr>
        <w:t>机构，对股东会负责，并向股东会汇报。公司董事会由9名董事组成，其中3名为独立董事。根据公司章程的规定，董事会行使《公司法》规定的有关重大事项的决策权、对公司基本制度的制定权和对总</w:t>
      </w:r>
      <w:r>
        <w:rPr>
          <w:rFonts w:hint="eastAsia" w:ascii="宋体" w:hAnsi="宋体" w:cs="宋体"/>
          <w:bCs/>
          <w:color w:val="000000"/>
          <w:sz w:val="24"/>
        </w:rPr>
        <w:t>裁</w:t>
      </w:r>
      <w:r>
        <w:rPr>
          <w:rFonts w:ascii="宋体" w:hAnsi="宋体" w:cs="宋体"/>
          <w:bCs/>
          <w:color w:val="000000"/>
          <w:sz w:val="24"/>
        </w:rPr>
        <w:t>等经营管理人员的监督和奖惩权。</w:t>
      </w:r>
    </w:p>
    <w:p>
      <w:pPr>
        <w:spacing w:line="360" w:lineRule="auto"/>
        <w:ind w:firstLine="480"/>
        <w:rPr>
          <w:rFonts w:hint="eastAsia" w:ascii="宋体" w:hAnsi="宋体" w:cs="宋体"/>
          <w:bCs/>
          <w:color w:val="000000"/>
          <w:sz w:val="24"/>
        </w:rPr>
      </w:pPr>
      <w:r>
        <w:rPr>
          <w:rFonts w:ascii="宋体" w:hAnsi="宋体" w:cs="宋体"/>
          <w:bCs/>
          <w:color w:val="000000"/>
          <w:sz w:val="24"/>
        </w:rPr>
        <w:t>公司设监事会，由</w:t>
      </w:r>
      <w:r>
        <w:rPr>
          <w:rFonts w:hint="eastAsia" w:ascii="宋体" w:hAnsi="宋体" w:cs="宋体"/>
          <w:bCs/>
          <w:color w:val="000000"/>
          <w:sz w:val="24"/>
        </w:rPr>
        <w:t>6</w:t>
      </w:r>
      <w:r>
        <w:rPr>
          <w:rFonts w:ascii="宋体" w:hAnsi="宋体" w:cs="宋体"/>
          <w:bCs/>
          <w:color w:val="000000"/>
          <w:sz w:val="24"/>
        </w:rPr>
        <w:t>名监事组成，其中包括</w:t>
      </w:r>
      <w:r>
        <w:rPr>
          <w:rFonts w:hint="eastAsia" w:ascii="宋体" w:hAnsi="宋体" w:cs="宋体"/>
          <w:bCs/>
          <w:color w:val="000000"/>
          <w:sz w:val="24"/>
        </w:rPr>
        <w:t>3</w:t>
      </w:r>
      <w:r>
        <w:rPr>
          <w:rFonts w:ascii="宋体" w:hAnsi="宋体" w:cs="宋体"/>
          <w:bCs/>
          <w:color w:val="000000"/>
          <w:sz w:val="24"/>
        </w:rPr>
        <w:t>名职工代表监事。监事会向股东会负责，主要负责检查公司财务并监督公司董事、高级管理人员尽职情况。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二、主要人员情况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1、董事会成员</w:t>
      </w:r>
    </w:p>
    <w:p>
      <w:pPr>
        <w:spacing w:line="360" w:lineRule="auto"/>
        <w:ind w:firstLine="480"/>
        <w:rPr>
          <w:rFonts w:ascii="宋体" w:hAnsi="宋体" w:cs="宋体"/>
          <w:bCs/>
          <w:sz w:val="24"/>
        </w:rPr>
      </w:pPr>
      <w:r>
        <w:rPr>
          <w:rFonts w:hint="eastAsia" w:ascii="宋体" w:hAnsi="宋体" w:cs="宋体"/>
          <w:bCs/>
          <w:sz w:val="24"/>
        </w:rPr>
        <w:t>孙志晨先生，董事长，1985年获东北财经大学经济学学士学位，2006年获得长江商学院EMBA。历任中国建设银行总行筹资部证券处副处长，中国建设银行总行筹资部、零售业务部证券处处长，中国建设银行总行个人银行业务部副总经理。2005年9月出任建信基金管理公司总裁，2018年4月起任建信基金管理公司董事长。</w:t>
      </w:r>
    </w:p>
    <w:p>
      <w:pPr>
        <w:spacing w:line="360" w:lineRule="auto"/>
        <w:ind w:firstLine="480"/>
        <w:rPr>
          <w:rFonts w:ascii="宋体" w:hAnsi="宋体" w:cs="宋体"/>
          <w:bCs/>
          <w:sz w:val="24"/>
        </w:rPr>
      </w:pPr>
      <w:r>
        <w:rPr>
          <w:rFonts w:hint="eastAsia" w:ascii="宋体" w:hAnsi="宋体" w:cs="宋体"/>
          <w:bCs/>
          <w:sz w:val="24"/>
        </w:rPr>
        <w:t>张军红先生，董事，现任建信基金管理公司总裁。毕业于国家行政学院行政管理专业，获博士学位。历任中国建设银行总行筹资部储蓄业务处科员、副主任科员、主任科员，总行零售业务部主任科员，总行个人银行业务部个人存款处副经理、高级副经理，总行行长办公室秘书一处高级副经理级秘书、秘书、高级经理，总行投资托管服务部总经理助理、副总经理，总行投资托管业务部副总经理，总行资产托管业务部副总经理。2017年3月出任建信基金管理公司监事会主席，2018年4月起任建信基金管理公司总裁。</w:t>
      </w:r>
    </w:p>
    <w:p>
      <w:pPr>
        <w:spacing w:line="360" w:lineRule="auto"/>
        <w:ind w:firstLine="480"/>
        <w:rPr>
          <w:rFonts w:ascii="宋体" w:hAnsi="宋体" w:cs="宋体"/>
          <w:bCs/>
          <w:sz w:val="24"/>
        </w:rPr>
      </w:pPr>
      <w:r>
        <w:rPr>
          <w:rFonts w:hint="eastAsia" w:ascii="宋体" w:hAnsi="宋体" w:cs="宋体"/>
          <w:bCs/>
          <w:sz w:val="24"/>
        </w:rPr>
        <w:t>曹伟先生，董事，现任中国建设银行总行个人存款与投资部副总经理。1990年获北京师范大学中文系硕士学位。历任中国建设银行北京分行储蓄证券部副总经理，北京分行安华支行副行长，北京分行西四支行副行长，北京分行朝阳支行行长，北京分行个人银行部总经理，总行个人存款与投资部总经理助理、副总经理。</w:t>
      </w:r>
    </w:p>
    <w:p>
      <w:pPr>
        <w:spacing w:line="360" w:lineRule="auto"/>
        <w:ind w:firstLine="480"/>
        <w:rPr>
          <w:rFonts w:ascii="宋体" w:hAnsi="宋体" w:cs="宋体"/>
          <w:bCs/>
          <w:sz w:val="24"/>
        </w:rPr>
      </w:pPr>
      <w:r>
        <w:rPr>
          <w:rFonts w:hint="eastAsia" w:ascii="宋体" w:hAnsi="宋体" w:cs="宋体"/>
          <w:bCs/>
          <w:sz w:val="24"/>
        </w:rPr>
        <w:t>张维义先生，董事，现任信安亚洲区总裁。1990年毕业于伦敦政治经济学院，获经济学学士学位，2012年获得华盛顿大学和复旦大学EMBA工商管理学硕士。历任新加坡公共服务委员会副处长，新加坡电信国际有限公司业务发展总监，信诚基金公司首席运营官和代总经理，英国保诚集团（马来西亚）资产管理公司首席执行官，宏利金融全球副总裁，宏利资产管理公司（台湾）首席执行官和执行董事，信安北亚地区副总裁、总裁，信安亚洲区总裁。</w:t>
      </w:r>
    </w:p>
    <w:p>
      <w:pPr>
        <w:spacing w:line="360" w:lineRule="auto"/>
        <w:ind w:firstLine="480"/>
        <w:rPr>
          <w:rFonts w:ascii="宋体" w:hAnsi="宋体" w:cs="宋体"/>
          <w:bCs/>
          <w:sz w:val="24"/>
        </w:rPr>
      </w:pPr>
      <w:r>
        <w:rPr>
          <w:rFonts w:hint="eastAsia" w:ascii="宋体" w:hAnsi="宋体" w:cs="宋体"/>
          <w:bCs/>
          <w:sz w:val="24"/>
        </w:rPr>
        <w:t>郑树明先生，董事，现任信安国际(亚洲)有限公司北亚地区首席营运官。1989年毕业于新加坡国立大学。历任新加坡普华永道高级审计经理，新加坡法兴资产管理董事总经理、营运总监、执行长，爱德蒙得洛希尔亚洲有限公司市场行销总监，信安国际(亚洲)有限公司北亚地区首席营运官。</w:t>
      </w:r>
    </w:p>
    <w:p>
      <w:pPr>
        <w:spacing w:line="360" w:lineRule="auto"/>
        <w:ind w:firstLine="480"/>
        <w:rPr>
          <w:rFonts w:ascii="宋体" w:hAnsi="宋体" w:cs="宋体"/>
          <w:bCs/>
          <w:sz w:val="24"/>
        </w:rPr>
      </w:pPr>
      <w:r>
        <w:rPr>
          <w:rFonts w:hint="eastAsia" w:ascii="宋体" w:hAnsi="宋体" w:cs="宋体"/>
          <w:bCs/>
          <w:sz w:val="24"/>
        </w:rPr>
        <w:t>华淑蕊女士，董事，现任中国华电集团资本控股有限公司总经理助理。毕业于吉林大学，获经济学博士学位。历任《长春日报》新闻中心农村工作部记者，湖南卫视《听我非常道》财经节目组运营总监，锦辉控股集团公司副总裁、锦辉精细化工有限公司总经理，吉林省信托有限责任公司业务七部副总经理、理财中心总经理、财富管理总监兼理财中心总经理，吉林省信托有限责任公司副总经理，光大证券财富管理中心总经理（MD），中国华电集团资本控股有限公司总经理助理。</w:t>
      </w:r>
    </w:p>
    <w:p>
      <w:pPr>
        <w:spacing w:line="360" w:lineRule="auto"/>
        <w:ind w:firstLine="480"/>
        <w:rPr>
          <w:rFonts w:ascii="宋体" w:hAnsi="宋体" w:cs="宋体"/>
          <w:bCs/>
          <w:sz w:val="24"/>
        </w:rPr>
      </w:pPr>
      <w:r>
        <w:rPr>
          <w:rFonts w:hint="eastAsia" w:ascii="宋体" w:hAnsi="宋体" w:cs="宋体"/>
          <w:bCs/>
          <w:sz w:val="24"/>
        </w:rPr>
        <w:t>李全先生，独立董事，现任新华资产管理股份有限公司总裁。1985年毕业于中国人民大学财政金融学院，1988年毕业于中国人民银行研究生部。历任中国人民银行总行和中国农村信托投资公司职员，正大国际财务有限公司总经理助理、资金部总经理，博时基金管理有限公司副总经理，新华资产管理股份有限公司总裁。</w:t>
      </w:r>
    </w:p>
    <w:p>
      <w:pPr>
        <w:spacing w:line="360" w:lineRule="auto"/>
        <w:ind w:firstLine="480"/>
        <w:rPr>
          <w:rFonts w:ascii="宋体" w:hAnsi="宋体" w:cs="宋体"/>
          <w:bCs/>
          <w:sz w:val="24"/>
        </w:rPr>
      </w:pPr>
      <w:r>
        <w:rPr>
          <w:rFonts w:hint="eastAsia" w:ascii="宋体" w:hAnsi="宋体" w:cs="宋体"/>
          <w:bCs/>
          <w:sz w:val="24"/>
        </w:rPr>
        <w:t>史亚萍女士，独立董事，现任嘉浩控股有限公司首席运营官。1994年毕业于对外经济贸易大学，获国际金融硕士；1996年毕业于耶鲁大学研究生院，获经济学硕士。先后在标准普尔国际评级公司、英国艾比国民银行、野村证券亚洲、雷曼兄弟亚洲、中国投资有限公司、美国威灵顿资产管理有限公司、中金资本、嘉浩控股有限公司等多家金融机构担任管理职务。</w:t>
      </w:r>
    </w:p>
    <w:p>
      <w:pPr>
        <w:spacing w:line="360" w:lineRule="auto"/>
        <w:ind w:firstLine="480"/>
        <w:rPr>
          <w:rFonts w:ascii="宋体" w:hAnsi="宋体" w:cs="宋体"/>
          <w:bCs/>
          <w:sz w:val="24"/>
        </w:rPr>
      </w:pPr>
      <w:r>
        <w:rPr>
          <w:rFonts w:hint="eastAsia" w:ascii="宋体" w:hAnsi="宋体" w:cs="宋体"/>
          <w:bCs/>
          <w:sz w:val="24"/>
        </w:rPr>
        <w:t>邱靖之先生，独立董事，现任天职国际会计师事务所(特殊普通合伙)首席合伙人。毕业于湖南大学高级工商管理专业，获EMBA学位，全国会计领军人才，中国注册会计师，注册资产评估师，高级会计师，澳洲注册会计师。1999年10月加入天职国际会计师事务所，现任首席合伙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2、监事会成员</w:t>
      </w:r>
    </w:p>
    <w:p>
      <w:pPr>
        <w:spacing w:line="360" w:lineRule="auto"/>
        <w:ind w:firstLine="480"/>
        <w:rPr>
          <w:rFonts w:ascii="宋体" w:hAnsi="宋体" w:cs="宋体"/>
          <w:bCs/>
          <w:sz w:val="24"/>
        </w:rPr>
      </w:pPr>
      <w:r>
        <w:rPr>
          <w:rFonts w:hint="eastAsia" w:ascii="宋体" w:hAnsi="宋体" w:cs="宋体"/>
          <w:bCs/>
          <w:sz w:val="24"/>
        </w:rPr>
        <w:t>马美芹女士，监事会主席，高级经济师，1984年毕业于中央财政金融学院，获学士学位，2009年获长江商学院高级管理人员工商管理硕士。1984年加入中国建设银行，历任中国建设银行总行筹资储蓄部、零售业务部、个人银行部副处长、处长、资深客户经理（技术二级），总行个人金融部副总经理，总行个人存款与投资部副总经理。2018年5月起任建信基金管理公司监事会主席。</w:t>
      </w:r>
    </w:p>
    <w:p>
      <w:pPr>
        <w:spacing w:line="360" w:lineRule="auto"/>
        <w:ind w:firstLine="480"/>
        <w:rPr>
          <w:rFonts w:ascii="宋体" w:hAnsi="宋体" w:cs="宋体"/>
          <w:bCs/>
          <w:sz w:val="24"/>
        </w:rPr>
      </w:pPr>
      <w:r>
        <w:rPr>
          <w:rFonts w:hint="eastAsia" w:ascii="宋体" w:hAnsi="宋体" w:cs="宋体"/>
          <w:bCs/>
          <w:sz w:val="24"/>
        </w:rPr>
        <w:t>方蓉敏女士，监事，现任信安国际（亚洲）有限公司亚洲区首席律师。1990年获新加坡国立大学法学学士学位，拥有新加坡、英格兰和威尔斯以及香港地区律师从业资格。曾任英国保诚集团新市场发展区域总监和美国国际集团全球意外及健康保险副总裁等职务。</w:t>
      </w:r>
    </w:p>
    <w:p>
      <w:pPr>
        <w:spacing w:line="360" w:lineRule="auto"/>
        <w:ind w:firstLine="480"/>
        <w:rPr>
          <w:rFonts w:ascii="宋体" w:hAnsi="宋体" w:cs="宋体"/>
          <w:bCs/>
          <w:sz w:val="24"/>
        </w:rPr>
      </w:pPr>
      <w:r>
        <w:rPr>
          <w:rFonts w:hint="eastAsia" w:ascii="宋体" w:hAnsi="宋体" w:cs="宋体"/>
          <w:bCs/>
          <w:sz w:val="24"/>
        </w:rPr>
        <w:t>李亦军女士，监事，高级会计师，现任中国华电集团资本控股有限责任公司机构与战略研究部经理。1992年获北京工业大学工业会计专业学士，2009年获中央财经大学会计专业硕士。曾供职于北京北奥有限公司，中进会计师事务所，中瑞华恒信会计师事务所。2004年加入中国华电集团，历任中国华电集团财务有限公司计划财务部经理助理、副经理，中国华电集团资本控股计划财务部经理、财务部经理，企业融资部经理、机构与风险管理部经理、机构与战略研究部经理。</w:t>
      </w:r>
    </w:p>
    <w:p>
      <w:pPr>
        <w:spacing w:line="360" w:lineRule="auto"/>
        <w:ind w:firstLine="480"/>
        <w:rPr>
          <w:rFonts w:ascii="宋体" w:hAnsi="宋体" w:cs="宋体"/>
          <w:bCs/>
          <w:sz w:val="24"/>
        </w:rPr>
      </w:pPr>
      <w:r>
        <w:rPr>
          <w:rFonts w:hint="eastAsia" w:ascii="宋体" w:hAnsi="宋体" w:cs="宋体"/>
          <w:bCs/>
          <w:sz w:val="24"/>
        </w:rPr>
        <w:t>安晔先生，职工监事，现任建信基金管理公司信息技术总监。1995年毕业于北京工业大学计算机应用系，获得学士学位。1995年8月加入中国建设银行，历任中国建设银行北京分行信息技术部干部，信息技术管理部北京开发中心项目经理、代处长；2005年8月加入建信基金管理公司，历任基金运营部总经理助理、副总经理，信息技术部执行总经理、总经理，信息技术总监兼金融科技部总经理，信息技术总监。</w:t>
      </w:r>
    </w:p>
    <w:p>
      <w:pPr>
        <w:spacing w:line="360" w:lineRule="auto"/>
        <w:ind w:firstLine="480"/>
        <w:rPr>
          <w:rFonts w:ascii="宋体" w:hAnsi="宋体" w:cs="宋体"/>
          <w:bCs/>
          <w:sz w:val="24"/>
        </w:rPr>
      </w:pPr>
      <w:r>
        <w:rPr>
          <w:rFonts w:hint="eastAsia" w:ascii="宋体" w:hAnsi="宋体" w:cs="宋体"/>
          <w:bCs/>
          <w:sz w:val="24"/>
        </w:rPr>
        <w:t>严冰女士，职工监事，现任建信基金管理公司人力资源部总经理。2003年7月毕业于中国人民大学行政管理专业，获硕士学位。曾任安永华明会计师事务所人力资源部人力资源专员。2005年8月加入建信基金管理公司，历任人力资源部专员、主管、总经理助理、副总经理、总经理。</w:t>
      </w:r>
    </w:p>
    <w:p>
      <w:pPr>
        <w:spacing w:line="360" w:lineRule="auto"/>
        <w:ind w:firstLine="480"/>
        <w:rPr>
          <w:rFonts w:ascii="宋体" w:hAnsi="宋体" w:cs="宋体"/>
          <w:bCs/>
          <w:sz w:val="24"/>
        </w:rPr>
      </w:pPr>
      <w:r>
        <w:rPr>
          <w:rFonts w:hint="eastAsia" w:ascii="宋体" w:hAnsi="宋体" w:cs="宋体"/>
          <w:bCs/>
          <w:sz w:val="24"/>
        </w:rPr>
        <w:t>刘颖女士，职工监事，现任建信基金管理公司审计部总经理。1997年毕业于中国人民大学会计系,获学士学位；2010年毕业于香港中文大学,获工商管理硕士学位，英国特许公认会计师公会（ACCA）资深会员。曾任毕马威华振会计师事务所高级审计师，华夏基金管理有限公司基金运营部高级经理。2006年12月加入建信基金管理公司，历任监察稽核部监察稽核专员、稽核主管、资深稽核员、内控合规部副总经理、内控合规部副总经理兼内控合规部审计部（二级部）总经理、审计部总经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3、公司高管人员</w:t>
      </w:r>
    </w:p>
    <w:p>
      <w:pPr>
        <w:pStyle w:val="7"/>
        <w:autoSpaceDE w:val="0"/>
        <w:autoSpaceDN w:val="0"/>
        <w:adjustRightInd w:val="0"/>
        <w:ind w:firstLine="480" w:firstLineChars="200"/>
        <w:rPr>
          <w:rFonts w:ascii="宋体" w:hAnsi="宋体"/>
          <w:sz w:val="24"/>
        </w:rPr>
      </w:pPr>
      <w:r>
        <w:rPr>
          <w:rFonts w:hint="eastAsia" w:ascii="宋体" w:hAnsi="宋体"/>
          <w:sz w:val="24"/>
        </w:rPr>
        <w:t>张军红先生，总裁（简历请参见董事会成员）。</w:t>
      </w:r>
    </w:p>
    <w:p>
      <w:pPr>
        <w:pStyle w:val="7"/>
        <w:autoSpaceDE w:val="0"/>
        <w:autoSpaceDN w:val="0"/>
        <w:adjustRightInd w:val="0"/>
        <w:ind w:firstLine="480" w:firstLineChars="200"/>
        <w:rPr>
          <w:rFonts w:ascii="宋体" w:hAnsi="宋体"/>
          <w:sz w:val="24"/>
        </w:rPr>
      </w:pPr>
      <w:r>
        <w:rPr>
          <w:rFonts w:hint="eastAsia" w:ascii="宋体" w:hAnsi="宋体"/>
          <w:sz w:val="24"/>
        </w:rPr>
        <w:t>曲寅军先生，副总裁，硕士。</w:t>
      </w:r>
      <w:r>
        <w:rPr>
          <w:rFonts w:ascii="宋体" w:hAnsi="宋体"/>
          <w:sz w:val="24"/>
        </w:rPr>
        <w:t>1999</w:t>
      </w:r>
      <w:r>
        <w:rPr>
          <w:rFonts w:hint="eastAsia" w:ascii="宋体" w:hAnsi="宋体"/>
          <w:sz w:val="24"/>
        </w:rPr>
        <w:t>年</w:t>
      </w:r>
      <w:r>
        <w:rPr>
          <w:rFonts w:ascii="宋体" w:hAnsi="宋体"/>
          <w:sz w:val="24"/>
        </w:rPr>
        <w:t>7</w:t>
      </w:r>
      <w:r>
        <w:rPr>
          <w:rFonts w:hint="eastAsia" w:ascii="宋体" w:hAnsi="宋体"/>
          <w:sz w:val="24"/>
        </w:rPr>
        <w:t>月加入中国建设银行总行，历任审计部科员、副主任科员、团委主任科员、重组改制办公室高级副经理、行长办公室高级副经理；</w:t>
      </w:r>
      <w:r>
        <w:rPr>
          <w:rFonts w:ascii="宋体" w:hAnsi="宋体"/>
          <w:sz w:val="24"/>
        </w:rPr>
        <w:t>2005</w:t>
      </w:r>
      <w:r>
        <w:rPr>
          <w:rFonts w:hint="eastAsia" w:ascii="宋体" w:hAnsi="宋体"/>
          <w:sz w:val="24"/>
        </w:rPr>
        <w:t>年</w:t>
      </w:r>
      <w:r>
        <w:rPr>
          <w:rFonts w:ascii="宋体" w:hAnsi="宋体"/>
          <w:sz w:val="24"/>
        </w:rPr>
        <w:t>9</w:t>
      </w:r>
      <w:r>
        <w:rPr>
          <w:rFonts w:hint="eastAsia" w:ascii="宋体" w:hAnsi="宋体"/>
          <w:sz w:val="24"/>
        </w:rPr>
        <w:t>月起就职于建信基金管理公司，历任董事会秘书兼综合管理部总监、投资管理部副总监、专户投资部总监和首席战略官；</w:t>
      </w:r>
      <w:r>
        <w:rPr>
          <w:rFonts w:ascii="宋体" w:hAnsi="宋体"/>
          <w:sz w:val="24"/>
        </w:rPr>
        <w:t>2013</w:t>
      </w:r>
      <w:r>
        <w:rPr>
          <w:rFonts w:hint="eastAsia" w:ascii="宋体" w:hAnsi="宋体"/>
          <w:sz w:val="24"/>
        </w:rPr>
        <w:t>年</w:t>
      </w:r>
      <w:r>
        <w:rPr>
          <w:rFonts w:ascii="宋体" w:hAnsi="宋体"/>
          <w:sz w:val="24"/>
        </w:rPr>
        <w:t>8</w:t>
      </w:r>
      <w:r>
        <w:rPr>
          <w:rFonts w:hint="eastAsia" w:ascii="宋体" w:hAnsi="宋体"/>
          <w:sz w:val="24"/>
        </w:rPr>
        <w:t>月至</w:t>
      </w:r>
      <w:r>
        <w:rPr>
          <w:rFonts w:ascii="宋体" w:hAnsi="宋体"/>
          <w:sz w:val="24"/>
        </w:rPr>
        <w:t>2015</w:t>
      </w:r>
      <w:r>
        <w:rPr>
          <w:rFonts w:hint="eastAsia" w:ascii="宋体" w:hAnsi="宋体"/>
          <w:sz w:val="24"/>
        </w:rPr>
        <w:t>年</w:t>
      </w:r>
      <w:r>
        <w:rPr>
          <w:rFonts w:ascii="宋体" w:hAnsi="宋体"/>
          <w:sz w:val="24"/>
        </w:rPr>
        <w:t>7</w:t>
      </w:r>
      <w:r>
        <w:rPr>
          <w:rFonts w:hint="eastAsia" w:ascii="宋体" w:hAnsi="宋体"/>
          <w:sz w:val="24"/>
        </w:rPr>
        <w:t>月，任我公司控股子公司建信资本管理有限责任公司董事、总经理。</w:t>
      </w:r>
      <w:r>
        <w:rPr>
          <w:rFonts w:ascii="宋体" w:hAnsi="宋体"/>
          <w:sz w:val="24"/>
        </w:rPr>
        <w:t>2015</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6</w:t>
      </w:r>
      <w:r>
        <w:rPr>
          <w:rFonts w:hint="eastAsia" w:ascii="宋体" w:hAnsi="宋体"/>
          <w:sz w:val="24"/>
        </w:rPr>
        <w:t>日至</w:t>
      </w:r>
      <w:r>
        <w:rPr>
          <w:rFonts w:ascii="宋体" w:hAnsi="宋体"/>
          <w:sz w:val="24"/>
        </w:rPr>
        <w:t>2019</w:t>
      </w:r>
      <w:r>
        <w:rPr>
          <w:rFonts w:hint="eastAsia" w:ascii="宋体" w:hAnsi="宋体"/>
          <w:sz w:val="24"/>
        </w:rPr>
        <w:t>年</w:t>
      </w:r>
      <w:r>
        <w:rPr>
          <w:rFonts w:ascii="宋体" w:hAnsi="宋体"/>
          <w:sz w:val="24"/>
        </w:rPr>
        <w:t>3</w:t>
      </w:r>
      <w:r>
        <w:rPr>
          <w:rFonts w:hint="eastAsia" w:ascii="宋体" w:hAnsi="宋体"/>
          <w:sz w:val="24"/>
        </w:rPr>
        <w:t>月</w:t>
      </w:r>
      <w:r>
        <w:rPr>
          <w:rFonts w:ascii="宋体" w:hAnsi="宋体"/>
          <w:sz w:val="24"/>
        </w:rPr>
        <w:t>13</w:t>
      </w:r>
      <w:r>
        <w:rPr>
          <w:rFonts w:hint="eastAsia" w:ascii="宋体" w:hAnsi="宋体"/>
          <w:sz w:val="24"/>
        </w:rPr>
        <w:t>日任我公司副总裁，</w:t>
      </w:r>
      <w:r>
        <w:rPr>
          <w:rFonts w:ascii="宋体" w:hAnsi="宋体"/>
          <w:sz w:val="24"/>
        </w:rPr>
        <w:t>2015</w:t>
      </w:r>
      <w:r>
        <w:rPr>
          <w:rFonts w:hint="eastAsia" w:ascii="宋体" w:hAnsi="宋体"/>
          <w:sz w:val="24"/>
        </w:rPr>
        <w:t>年</w:t>
      </w:r>
      <w:r>
        <w:rPr>
          <w:rFonts w:ascii="宋体" w:hAnsi="宋体"/>
          <w:sz w:val="24"/>
        </w:rPr>
        <w:t>8</w:t>
      </w:r>
      <w:r>
        <w:rPr>
          <w:rFonts w:hint="eastAsia" w:ascii="宋体" w:hAnsi="宋体"/>
          <w:sz w:val="24"/>
        </w:rPr>
        <w:t>月至</w:t>
      </w:r>
      <w:r>
        <w:rPr>
          <w:rFonts w:ascii="宋体" w:hAnsi="宋体"/>
          <w:sz w:val="24"/>
        </w:rPr>
        <w:t>2017</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30</w:t>
      </w:r>
      <w:r>
        <w:rPr>
          <w:rFonts w:hint="eastAsia" w:ascii="宋体" w:hAnsi="宋体"/>
          <w:sz w:val="24"/>
        </w:rPr>
        <w:t>日专任建信资本管理有限责任公司董事、总经理，</w:t>
      </w:r>
      <w:r>
        <w:rPr>
          <w:rFonts w:ascii="宋体" w:hAnsi="宋体"/>
          <w:sz w:val="24"/>
        </w:rPr>
        <w:t>2017</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30</w:t>
      </w:r>
      <w:r>
        <w:rPr>
          <w:rFonts w:hint="eastAsia" w:ascii="宋体" w:hAnsi="宋体"/>
          <w:sz w:val="24"/>
        </w:rPr>
        <w:t>日至</w:t>
      </w:r>
      <w:r>
        <w:rPr>
          <w:rFonts w:ascii="宋体" w:hAnsi="宋体"/>
          <w:sz w:val="24"/>
        </w:rPr>
        <w:t>2018</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1</w:t>
      </w:r>
      <w:r>
        <w:rPr>
          <w:rFonts w:hint="eastAsia" w:ascii="宋体" w:hAnsi="宋体"/>
          <w:sz w:val="24"/>
        </w:rPr>
        <w:t>日兼任建信资本管理公司董事长。</w:t>
      </w:r>
      <w:r>
        <w:rPr>
          <w:rFonts w:ascii="宋体" w:hAnsi="宋体"/>
          <w:sz w:val="24"/>
        </w:rPr>
        <w:t>2019</w:t>
      </w:r>
      <w:r>
        <w:rPr>
          <w:rFonts w:hint="eastAsia" w:ascii="宋体" w:hAnsi="宋体"/>
          <w:sz w:val="24"/>
        </w:rPr>
        <w:t>年</w:t>
      </w:r>
      <w:r>
        <w:rPr>
          <w:rFonts w:ascii="宋体" w:hAnsi="宋体"/>
          <w:sz w:val="24"/>
        </w:rPr>
        <w:t>3</w:t>
      </w:r>
      <w:r>
        <w:rPr>
          <w:rFonts w:hint="eastAsia" w:ascii="宋体" w:hAnsi="宋体"/>
          <w:sz w:val="24"/>
        </w:rPr>
        <w:t>月从我公司离任。</w:t>
      </w:r>
    </w:p>
    <w:p>
      <w:pPr>
        <w:pStyle w:val="7"/>
        <w:autoSpaceDE w:val="0"/>
        <w:autoSpaceDN w:val="0"/>
        <w:adjustRightInd w:val="0"/>
        <w:ind w:firstLine="480" w:firstLineChars="200"/>
        <w:rPr>
          <w:rFonts w:ascii="宋体" w:hAnsi="宋体"/>
          <w:sz w:val="24"/>
        </w:rPr>
      </w:pPr>
      <w:r>
        <w:rPr>
          <w:rFonts w:hint="eastAsia" w:ascii="宋体" w:hAnsi="宋体"/>
          <w:sz w:val="24"/>
        </w:rPr>
        <w:t>张威威先生，副总裁，硕士。</w:t>
      </w:r>
      <w:r>
        <w:rPr>
          <w:rFonts w:ascii="宋体" w:hAnsi="宋体"/>
          <w:sz w:val="24"/>
        </w:rPr>
        <w:t>1997</w:t>
      </w:r>
      <w:r>
        <w:rPr>
          <w:rFonts w:hint="eastAsia" w:ascii="宋体" w:hAnsi="宋体"/>
          <w:sz w:val="24"/>
        </w:rPr>
        <w:t>年</w:t>
      </w:r>
      <w:r>
        <w:rPr>
          <w:rFonts w:ascii="宋体" w:hAnsi="宋体"/>
          <w:sz w:val="24"/>
        </w:rPr>
        <w:t>7</w:t>
      </w:r>
      <w:r>
        <w:rPr>
          <w:rFonts w:hint="eastAsia" w:ascii="宋体" w:hAnsi="宋体"/>
          <w:sz w:val="24"/>
        </w:rPr>
        <w:t>月加入中国建设银行辽宁省分行；</w:t>
      </w:r>
      <w:r>
        <w:rPr>
          <w:rFonts w:ascii="宋体" w:hAnsi="宋体"/>
          <w:sz w:val="24"/>
        </w:rPr>
        <w:t>2001</w:t>
      </w:r>
      <w:r>
        <w:rPr>
          <w:rFonts w:hint="eastAsia" w:ascii="宋体" w:hAnsi="宋体"/>
          <w:sz w:val="24"/>
        </w:rPr>
        <w:t>年</w:t>
      </w:r>
      <w:r>
        <w:rPr>
          <w:rFonts w:ascii="宋体" w:hAnsi="宋体"/>
          <w:sz w:val="24"/>
        </w:rPr>
        <w:t>1</w:t>
      </w:r>
      <w:r>
        <w:rPr>
          <w:rFonts w:hint="eastAsia" w:ascii="宋体" w:hAnsi="宋体"/>
          <w:sz w:val="24"/>
        </w:rPr>
        <w:t>月加入中国建设银行总行个人金融部；</w:t>
      </w:r>
      <w:r>
        <w:rPr>
          <w:rFonts w:ascii="宋体" w:hAnsi="宋体"/>
          <w:sz w:val="24"/>
        </w:rPr>
        <w:t>2005</w:t>
      </w:r>
      <w:r>
        <w:rPr>
          <w:rFonts w:hint="eastAsia" w:ascii="宋体" w:hAnsi="宋体"/>
          <w:sz w:val="24"/>
        </w:rPr>
        <w:t>年</w:t>
      </w:r>
      <w:r>
        <w:rPr>
          <w:rFonts w:ascii="宋体" w:hAnsi="宋体"/>
          <w:sz w:val="24"/>
        </w:rPr>
        <w:t>9</w:t>
      </w:r>
      <w:r>
        <w:rPr>
          <w:rFonts w:hint="eastAsia" w:ascii="宋体" w:hAnsi="宋体"/>
          <w:sz w:val="24"/>
        </w:rPr>
        <w:t>月加入建信基金管理公司，</w:t>
      </w:r>
      <w:r>
        <w:rPr>
          <w:rFonts w:ascii="宋体" w:hAnsi="宋体"/>
          <w:sz w:val="24"/>
        </w:rPr>
        <w:t>2015</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6</w:t>
      </w:r>
      <w:r>
        <w:rPr>
          <w:rFonts w:hint="eastAsia" w:ascii="宋体" w:hAnsi="宋体"/>
          <w:sz w:val="24"/>
        </w:rPr>
        <w:t>日起任副总裁，</w:t>
      </w:r>
      <w:r>
        <w:rPr>
          <w:rFonts w:ascii="宋体" w:hAnsi="宋体"/>
          <w:sz w:val="24"/>
        </w:rPr>
        <w:t>2019</w:t>
      </w:r>
      <w:r>
        <w:rPr>
          <w:rFonts w:hint="eastAsia" w:ascii="宋体" w:hAnsi="宋体"/>
          <w:sz w:val="24"/>
        </w:rPr>
        <w:t>年</w:t>
      </w:r>
      <w:r>
        <w:rPr>
          <w:rFonts w:ascii="宋体" w:hAnsi="宋体"/>
          <w:sz w:val="24"/>
        </w:rPr>
        <w:t>7</w:t>
      </w:r>
      <w:r>
        <w:rPr>
          <w:rFonts w:hint="eastAsia" w:ascii="宋体" w:hAnsi="宋体"/>
          <w:sz w:val="24"/>
        </w:rPr>
        <w:t>月</w:t>
      </w:r>
      <w:r>
        <w:rPr>
          <w:rFonts w:ascii="宋体" w:hAnsi="宋体"/>
          <w:sz w:val="24"/>
        </w:rPr>
        <w:t>18</w:t>
      </w:r>
      <w:r>
        <w:rPr>
          <w:rFonts w:hint="eastAsia" w:ascii="宋体" w:hAnsi="宋体"/>
          <w:sz w:val="24"/>
        </w:rPr>
        <w:t>日起兼任首席信息官。</w:t>
      </w:r>
    </w:p>
    <w:p>
      <w:pPr>
        <w:pStyle w:val="7"/>
        <w:autoSpaceDE w:val="0"/>
        <w:autoSpaceDN w:val="0"/>
        <w:adjustRightInd w:val="0"/>
        <w:ind w:firstLine="480" w:firstLineChars="200"/>
        <w:rPr>
          <w:rFonts w:ascii="宋体" w:hAnsi="宋体"/>
          <w:sz w:val="24"/>
        </w:rPr>
      </w:pPr>
      <w:r>
        <w:rPr>
          <w:rFonts w:hint="eastAsia" w:ascii="宋体" w:hAnsi="宋体"/>
          <w:sz w:val="24"/>
        </w:rPr>
        <w:t>吴曙明先生，副总裁，硕士。1992年7月至1996年8月在湖南省物资贸易总公司工作；1999年7月加入中国建设银行，先后在总行营业部、金融机构部、机构业务部从事信贷业务和证券业务，历任科员、副主任科员、主任科员、机构业务部高级副经理等职；2006年3月加入建信基金管理公司，担任董事会秘书，并兼任综合管理部总经理。2015年8月6日起任我公司督察长，2016年12月23日起任我公司副总裁。</w:t>
      </w:r>
    </w:p>
    <w:p>
      <w:pPr>
        <w:pStyle w:val="7"/>
        <w:autoSpaceDE w:val="0"/>
        <w:autoSpaceDN w:val="0"/>
        <w:adjustRightInd w:val="0"/>
        <w:ind w:firstLine="480" w:firstLineChars="200"/>
        <w:rPr>
          <w:rFonts w:ascii="宋体" w:hAnsi="宋体"/>
          <w:sz w:val="24"/>
        </w:rPr>
      </w:pPr>
      <w:r>
        <w:rPr>
          <w:rFonts w:hint="eastAsia" w:ascii="宋体" w:hAnsi="宋体"/>
          <w:sz w:val="24"/>
        </w:rPr>
        <w:t>吴灵玲女士，副总裁，硕士。</w:t>
      </w:r>
      <w:r>
        <w:rPr>
          <w:rFonts w:ascii="宋体" w:hAnsi="宋体"/>
          <w:sz w:val="24"/>
        </w:rPr>
        <w:t>1996年7月至1998年9月在福建省东海经贸股份有限公司工作；</w:t>
      </w:r>
      <w:r>
        <w:rPr>
          <w:rFonts w:hint="eastAsia" w:ascii="宋体" w:hAnsi="宋体"/>
          <w:sz w:val="24"/>
        </w:rPr>
        <w:t>2001年7月加入中国建设银行总行人力资源部，历任副主任科员、业务经理、高级经理助理；2005年9月加入建信基金管理公司，历任人力资源部总监助理、副总监、总监、人力资源部总经理兼综合管理部总经理。2016年12月23日起任我公司副总裁。</w:t>
      </w:r>
    </w:p>
    <w:p>
      <w:pPr>
        <w:pStyle w:val="7"/>
        <w:autoSpaceDE w:val="0"/>
        <w:autoSpaceDN w:val="0"/>
        <w:adjustRightInd w:val="0"/>
        <w:ind w:firstLine="480" w:firstLineChars="200"/>
        <w:rPr>
          <w:rFonts w:ascii="宋体" w:hAnsi="宋体"/>
          <w:sz w:val="24"/>
        </w:rPr>
      </w:pPr>
      <w:r>
        <w:rPr>
          <w:rFonts w:hint="eastAsia" w:ascii="宋体" w:hAnsi="宋体"/>
          <w:sz w:val="24"/>
        </w:rPr>
        <w:t>马勇先生，副总裁，硕士。</w:t>
      </w:r>
      <w:r>
        <w:rPr>
          <w:rFonts w:ascii="宋体" w:hAnsi="宋体"/>
          <w:sz w:val="24"/>
        </w:rPr>
        <w:t>1993</w:t>
      </w:r>
      <w:r>
        <w:rPr>
          <w:rFonts w:hint="eastAsia" w:ascii="宋体" w:hAnsi="宋体"/>
          <w:sz w:val="24"/>
        </w:rPr>
        <w:t>年</w:t>
      </w:r>
      <w:r>
        <w:rPr>
          <w:rFonts w:ascii="宋体" w:hAnsi="宋体"/>
          <w:sz w:val="24"/>
        </w:rPr>
        <w:t>8</w:t>
      </w:r>
      <w:r>
        <w:rPr>
          <w:rFonts w:hint="eastAsia" w:ascii="宋体" w:hAnsi="宋体"/>
          <w:sz w:val="24"/>
        </w:rPr>
        <w:t>月至</w:t>
      </w:r>
      <w:r>
        <w:rPr>
          <w:rFonts w:ascii="宋体" w:hAnsi="宋体"/>
          <w:sz w:val="24"/>
        </w:rPr>
        <w:t>1995</w:t>
      </w:r>
      <w:r>
        <w:rPr>
          <w:rFonts w:hint="eastAsia" w:ascii="宋体" w:hAnsi="宋体"/>
          <w:sz w:val="24"/>
        </w:rPr>
        <w:t>年</w:t>
      </w:r>
      <w:r>
        <w:rPr>
          <w:rFonts w:ascii="宋体" w:hAnsi="宋体"/>
          <w:sz w:val="24"/>
        </w:rPr>
        <w:t>8</w:t>
      </w:r>
      <w:r>
        <w:rPr>
          <w:rFonts w:hint="eastAsia" w:ascii="宋体" w:hAnsi="宋体"/>
          <w:sz w:val="24"/>
        </w:rPr>
        <w:t>月在江苏省机械研究设计院工作。</w:t>
      </w:r>
      <w:r>
        <w:rPr>
          <w:rFonts w:ascii="宋体" w:hAnsi="宋体"/>
          <w:sz w:val="24"/>
        </w:rPr>
        <w:t>1998</w:t>
      </w:r>
      <w:r>
        <w:rPr>
          <w:rFonts w:hint="eastAsia" w:ascii="宋体" w:hAnsi="宋体"/>
          <w:sz w:val="24"/>
        </w:rPr>
        <w:t>年</w:t>
      </w:r>
      <w:r>
        <w:rPr>
          <w:rFonts w:ascii="宋体" w:hAnsi="宋体"/>
          <w:sz w:val="24"/>
        </w:rPr>
        <w:t>7</w:t>
      </w:r>
      <w:r>
        <w:rPr>
          <w:rFonts w:hint="eastAsia" w:ascii="宋体" w:hAnsi="宋体"/>
          <w:sz w:val="24"/>
        </w:rPr>
        <w:t>月加入中国建设银行总行，历任副主任科员、主任科员、秘书、高级经理级秘书，高端客户部总经理助理，财富管理与私人银行部总经理助理、副总经理，建行黑龙江省分行副行长等职务。</w:t>
      </w:r>
      <w:r>
        <w:rPr>
          <w:rFonts w:ascii="宋体" w:hAnsi="宋体"/>
          <w:sz w:val="24"/>
        </w:rPr>
        <w:t>2018</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30</w:t>
      </w:r>
      <w:r>
        <w:rPr>
          <w:rFonts w:hint="eastAsia" w:ascii="宋体" w:hAnsi="宋体"/>
          <w:sz w:val="24"/>
        </w:rPr>
        <w:t>日加入建信基金管理有限责任公司，</w:t>
      </w:r>
      <w:r>
        <w:rPr>
          <w:rFonts w:ascii="宋体" w:hAnsi="宋体"/>
          <w:sz w:val="24"/>
        </w:rPr>
        <w:t>2018</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13</w:t>
      </w:r>
      <w:r>
        <w:rPr>
          <w:rFonts w:hint="eastAsia" w:ascii="宋体" w:hAnsi="宋体"/>
          <w:sz w:val="24"/>
        </w:rPr>
        <w:t>日起任副总裁；</w:t>
      </w:r>
      <w:r>
        <w:rPr>
          <w:rFonts w:ascii="宋体" w:hAnsi="宋体"/>
          <w:sz w:val="24"/>
        </w:rPr>
        <w:t>2018</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1</w:t>
      </w:r>
      <w:r>
        <w:rPr>
          <w:rFonts w:hint="eastAsia" w:ascii="宋体" w:hAnsi="宋体"/>
          <w:sz w:val="24"/>
        </w:rPr>
        <w:t>日起兼任我公司控股子公司建信资本管理有限责任公司董事长。</w:t>
      </w:r>
    </w:p>
    <w:p>
      <w:pPr>
        <w:pStyle w:val="7"/>
        <w:autoSpaceDE w:val="0"/>
        <w:autoSpaceDN w:val="0"/>
        <w:adjustRightInd w:val="0"/>
        <w:ind w:firstLine="480" w:firstLineChars="200"/>
        <w:rPr>
          <w:rFonts w:ascii="宋体" w:hAnsi="宋体"/>
          <w:sz w:val="24"/>
        </w:rPr>
      </w:pPr>
      <w:r>
        <w:rPr>
          <w:rFonts w:hint="eastAsia" w:ascii="宋体" w:hAnsi="宋体"/>
          <w:sz w:val="24"/>
        </w:rPr>
        <w:t>4、督察长</w:t>
      </w:r>
    </w:p>
    <w:p>
      <w:pPr>
        <w:pStyle w:val="7"/>
        <w:autoSpaceDE w:val="0"/>
        <w:autoSpaceDN w:val="0"/>
        <w:adjustRightInd w:val="0"/>
        <w:ind w:firstLine="480" w:firstLineChars="200"/>
        <w:rPr>
          <w:rFonts w:ascii="宋体" w:hAnsi="宋体"/>
          <w:sz w:val="24"/>
        </w:rPr>
      </w:pPr>
      <w:r>
        <w:rPr>
          <w:rFonts w:hint="eastAsia" w:ascii="宋体" w:hAnsi="宋体"/>
          <w:sz w:val="24"/>
        </w:rPr>
        <w:t>吴曙明先生，督察长（简历请参见公司高级管理人员）。</w:t>
      </w:r>
    </w:p>
    <w:p>
      <w:pPr>
        <w:pStyle w:val="7"/>
        <w:autoSpaceDE w:val="0"/>
        <w:autoSpaceDN w:val="0"/>
        <w:adjustRightInd w:val="0"/>
        <w:ind w:firstLine="480" w:firstLineChars="200"/>
        <w:rPr>
          <w:rFonts w:ascii="宋体" w:hAnsi="宋体"/>
          <w:sz w:val="24"/>
        </w:rPr>
      </w:pPr>
      <w:r>
        <w:rPr>
          <w:rFonts w:hint="eastAsia" w:ascii="宋体" w:hAnsi="宋体"/>
          <w:sz w:val="24"/>
        </w:rPr>
        <w:t>5、基金经理</w:t>
      </w:r>
    </w:p>
    <w:p>
      <w:pPr>
        <w:spacing w:line="360" w:lineRule="auto"/>
        <w:ind w:firstLine="480"/>
        <w:jc w:val="left"/>
        <w:rPr>
          <w:rFonts w:ascii="宋体" w:hAnsi="宋体" w:cs="宋体"/>
          <w:bCs/>
          <w:sz w:val="24"/>
        </w:rPr>
      </w:pPr>
      <w:r>
        <w:rPr>
          <w:rFonts w:hint="eastAsia" w:ascii="宋体" w:hAnsi="宋体" w:cs="宋体"/>
          <w:bCs/>
          <w:sz w:val="24"/>
        </w:rPr>
        <w:t>朱虹女士，固定收益投资部副总经理，硕士。2007年1月至2009年4月任长城人寿保险公司债券投资助理；2009年4月至2011年12月任天弘基金管理公司固定收益部总监助理；2012年1月至2014年5月任万家基金管理公司固定收益部总监；2014年8月至今历任我公司投资管理部副总监、固定收益投资部副总监、副总经理，2015年10月29日起任建信安心保本二号混合型证券投资基金的基金经理，该基金于2017年11月4日转型为建信鑫利灵活配置混合型证券投资基金，朱虹自2017年11月4日至2018年8月10日继续担任该基金的基金经理；2016年1月4日任建信安心保本三号混合型证券投资基金的基金经理，该基金于2018年1月11日起转型为建信裕利灵活配置混合型证券投资基金，朱虹自2018年1月11日至2018年8月10日继续担任该基金的基金经理；2016年6月1日起任建信双债增强债券型证券投资基金的基金经理；2016年11月17日起任建信恒远一年定期开放债券型证券投资基金的基金经理；2018年4月20日起任建信双息红利债券型证券投资基金的基金经理；2019年8月7日起任建信鑫丰回报灵活配置混合型证券投资基金的基金经理。</w:t>
      </w:r>
    </w:p>
    <w:p>
      <w:pPr>
        <w:pStyle w:val="7"/>
        <w:autoSpaceDE w:val="0"/>
        <w:autoSpaceDN w:val="0"/>
        <w:adjustRightInd w:val="0"/>
        <w:ind w:firstLine="540" w:firstLineChars="225"/>
        <w:rPr>
          <w:rFonts w:hint="eastAsia" w:ascii="宋体" w:hAnsi="宋体"/>
          <w:sz w:val="24"/>
        </w:rPr>
      </w:pPr>
      <w:r>
        <w:rPr>
          <w:rFonts w:hint="eastAsia" w:ascii="宋体" w:hAnsi="宋体"/>
          <w:sz w:val="24"/>
        </w:rPr>
        <w:t>历任基金经理：</w:t>
      </w:r>
    </w:p>
    <w:p>
      <w:pPr>
        <w:pStyle w:val="7"/>
        <w:autoSpaceDE w:val="0"/>
        <w:autoSpaceDN w:val="0"/>
        <w:adjustRightInd w:val="0"/>
        <w:ind w:firstLine="540" w:firstLineChars="225"/>
        <w:rPr>
          <w:rFonts w:hint="eastAsia" w:ascii="宋体" w:hAnsi="宋体"/>
          <w:sz w:val="24"/>
        </w:rPr>
      </w:pPr>
      <w:r>
        <w:rPr>
          <w:rFonts w:hint="eastAsia" w:ascii="宋体" w:hAnsi="宋体"/>
          <w:sz w:val="24"/>
        </w:rPr>
        <w:t>彭云峰先生：2013年7月25日至2016年6月7日。</w:t>
      </w:r>
    </w:p>
    <w:p>
      <w:pPr>
        <w:pStyle w:val="7"/>
        <w:autoSpaceDE w:val="0"/>
        <w:autoSpaceDN w:val="0"/>
        <w:adjustRightInd w:val="0"/>
        <w:ind w:firstLine="540" w:firstLineChars="225"/>
        <w:rPr>
          <w:rFonts w:ascii="宋体" w:hAnsi="宋体"/>
          <w:sz w:val="24"/>
        </w:rPr>
      </w:pPr>
      <w:r>
        <w:rPr>
          <w:rFonts w:hint="eastAsia" w:ascii="宋体" w:hAnsi="宋体"/>
          <w:sz w:val="24"/>
        </w:rPr>
        <w:t>朱虹女士：2016年6月1日至今。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6、投资决策委员会成员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张军红先生，总裁。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姚  锦女士，权益投资部总经理。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李  菁女士，固定收益投资部总经理。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乔  梁先生，研究部总经理。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许  杰先生，权益投资部副总经理。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朱  虹女士，固定收益投资部副总经理。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陶  灿先生，权益投资部总经理助理。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7、上述人员之间均不存在近亲属关系。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三、基金管理人的职责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w:t>
      </w:r>
      <w:r>
        <w:rPr>
          <w:rFonts w:ascii="宋体" w:hAnsi="宋体" w:cs="宋体"/>
          <w:bCs/>
          <w:color w:val="000000"/>
          <w:sz w:val="24"/>
        </w:rPr>
        <w:t>依法募集基金，办理或者委托经</w:t>
      </w:r>
      <w:r>
        <w:rPr>
          <w:rFonts w:hint="eastAsia" w:ascii="宋体" w:hAnsi="宋体" w:cs="宋体"/>
          <w:bCs/>
          <w:color w:val="000000"/>
          <w:sz w:val="24"/>
        </w:rPr>
        <w:t>中国证监会</w:t>
      </w:r>
      <w:r>
        <w:rPr>
          <w:rFonts w:ascii="宋体" w:hAnsi="宋体" w:cs="宋体"/>
          <w:bCs/>
          <w:color w:val="000000"/>
          <w:sz w:val="24"/>
        </w:rPr>
        <w:t>认定的其他机构代为办理基金份额的发售</w:t>
      </w:r>
      <w:r>
        <w:rPr>
          <w:rFonts w:hint="eastAsia" w:ascii="宋体" w:hAnsi="宋体" w:cs="宋体"/>
          <w:bCs/>
          <w:color w:val="000000"/>
          <w:sz w:val="24"/>
        </w:rPr>
        <w:t>和</w:t>
      </w:r>
      <w:r>
        <w:rPr>
          <w:rFonts w:ascii="宋体" w:hAnsi="宋体" w:cs="宋体"/>
          <w:bCs/>
          <w:color w:val="000000"/>
          <w:sz w:val="24"/>
        </w:rPr>
        <w:t>登记事宜；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w:t>
      </w:r>
      <w:r>
        <w:rPr>
          <w:rFonts w:ascii="宋体" w:hAnsi="宋体" w:cs="宋体"/>
          <w:bCs/>
          <w:color w:val="000000"/>
          <w:sz w:val="24"/>
        </w:rPr>
        <w:t>办理基金备案手续；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w:t>
      </w:r>
      <w:r>
        <w:rPr>
          <w:rFonts w:ascii="宋体" w:hAnsi="宋体" w:cs="宋体"/>
          <w:bCs/>
          <w:color w:val="000000"/>
          <w:sz w:val="24"/>
        </w:rPr>
        <w:t>对所管理的不同基金财产分别管理、分别记账，进行证券投资；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w:t>
      </w:r>
      <w:r>
        <w:rPr>
          <w:rFonts w:ascii="宋体" w:hAnsi="宋体" w:cs="宋体"/>
          <w:bCs/>
          <w:color w:val="000000"/>
          <w:sz w:val="24"/>
        </w:rPr>
        <w:t>按照基金合同的约定确定基金收益分配方案，及时向基金份额持有人分配收益；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w:t>
      </w:r>
      <w:r>
        <w:rPr>
          <w:rFonts w:ascii="宋体" w:hAnsi="宋体" w:cs="宋体"/>
          <w:bCs/>
          <w:color w:val="000000"/>
          <w:sz w:val="24"/>
        </w:rPr>
        <w:t>进行基金会计核算并编制基金财务会计报告；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w:t>
      </w:r>
      <w:r>
        <w:rPr>
          <w:rFonts w:ascii="宋体" w:hAnsi="宋体" w:cs="宋体"/>
          <w:bCs/>
          <w:color w:val="000000"/>
          <w:sz w:val="24"/>
        </w:rPr>
        <w:t>编制</w:t>
      </w:r>
      <w:r>
        <w:rPr>
          <w:rFonts w:hint="eastAsia" w:ascii="宋体" w:hAnsi="宋体" w:cs="宋体"/>
          <w:bCs/>
          <w:color w:val="000000"/>
          <w:sz w:val="24"/>
        </w:rPr>
        <w:t>季度、半年度</w:t>
      </w:r>
      <w:r>
        <w:rPr>
          <w:rFonts w:ascii="宋体" w:hAnsi="宋体" w:cs="宋体"/>
          <w:bCs/>
          <w:color w:val="000000"/>
          <w:sz w:val="24"/>
        </w:rPr>
        <w:t>和年度基金报告；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w:t>
      </w:r>
      <w:r>
        <w:rPr>
          <w:rFonts w:ascii="宋体" w:hAnsi="宋体" w:cs="宋体"/>
          <w:bCs/>
          <w:color w:val="000000"/>
          <w:sz w:val="24"/>
        </w:rPr>
        <w:t>计算并公告基金</w:t>
      </w:r>
      <w:r>
        <w:rPr>
          <w:rFonts w:hint="eastAsia" w:ascii="宋体" w:hAnsi="宋体" w:cs="宋体"/>
          <w:bCs/>
          <w:color w:val="000000"/>
          <w:sz w:val="24"/>
        </w:rPr>
        <w:t>资</w:t>
      </w:r>
      <w:r>
        <w:rPr>
          <w:rFonts w:ascii="宋体" w:hAnsi="宋体" w:cs="宋体"/>
          <w:bCs/>
          <w:color w:val="000000"/>
          <w:sz w:val="24"/>
        </w:rPr>
        <w:t>产净值；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w:t>
      </w:r>
      <w:r>
        <w:rPr>
          <w:rFonts w:ascii="宋体" w:hAnsi="宋体" w:cs="宋体"/>
          <w:bCs/>
          <w:color w:val="000000"/>
          <w:sz w:val="24"/>
        </w:rPr>
        <w:t>办理与基金财产管理业务活动有关的信息披露事项；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w:t>
      </w:r>
      <w:r>
        <w:rPr>
          <w:rFonts w:ascii="宋体" w:hAnsi="宋体" w:cs="宋体"/>
          <w:bCs/>
          <w:color w:val="000000"/>
          <w:sz w:val="24"/>
        </w:rPr>
        <w:t>召集基金份额持有人大会；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10、</w:t>
      </w:r>
      <w:r>
        <w:rPr>
          <w:rFonts w:ascii="宋体" w:hAnsi="宋体" w:cs="宋体"/>
          <w:bCs/>
          <w:color w:val="000000"/>
          <w:sz w:val="24"/>
        </w:rPr>
        <w:t>保存基金财产管理业务活动的记录、账册、报表和其他相关资料；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11、</w:t>
      </w:r>
      <w:r>
        <w:rPr>
          <w:rFonts w:ascii="宋体" w:hAnsi="宋体" w:cs="宋体"/>
          <w:bCs/>
          <w:color w:val="000000"/>
          <w:sz w:val="24"/>
        </w:rPr>
        <w:t>以基金管理人名义，代表基金份额持有人利益行使诉讼权利或者实施其他法律行为；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12、中国证监会</w:t>
      </w:r>
      <w:r>
        <w:rPr>
          <w:rFonts w:ascii="宋体" w:hAnsi="宋体" w:cs="宋体"/>
          <w:bCs/>
          <w:color w:val="000000"/>
          <w:sz w:val="24"/>
        </w:rPr>
        <w:t>规定的其他职责。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四、基金管理人承诺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1、基金管理人承诺严格遵守《基金法》及相关法律法规，并建立健全内部控制制度，采取有效措施，防止违反上述法律法规行为的发生；</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2、基金管理人承诺防止以下禁止性行为的发生：</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（1）将其固有财产或者他人财产混同于基金财产从事证券投资；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（2）不公平地对待其管理的不同基金财产；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（3）利用基金财产为基金份额持有人以外的第三人牟取利益；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（4）向基金份额持有人违规承诺收益或者承担损失；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（5）依照法律、行政法规有关规定，由中国证监会规定禁止的其他行为。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3、基金经理承诺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（1）依照有关法律、法规和基金合同的规定，本着谨慎的原则为基金份额持有人谋取最大利益；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（2）不利用职务之便为自己及其代理人、代表人、受雇人或任何第三人谋取利益；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（3）不泄漏在任职期间知悉的有关证券、基金的商业秘密、尚未依法公开的基金投资内容、基金投资计划等信息；</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（4）不以任何形式为其它组织或个人进行证券交易。</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五、基金管理人的内部控制制度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1、内部控制的原则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（1）全面性原则。内部控制制度覆盖公司的各项业务、各个部门和各级人员，并渗透到决策、执行、监督、反馈等各个经营环节。</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（2）独立性原则。公司设立独立的督察长与监察稽核部门，并使它们保持高度的独立性与权威性。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（3）相互制约原则。公司部门和岗位的设置权责分明、相互牵制，并通过切实可行的相互制衡措施来消除内部控制中的盲点。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（4）有效性原则。公司的内部风险控制工作必须从实际出发，主要通过对工作流程的控制，进而实现对各项经营风险的控制。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（5）防火墙原则。公司的投资管理、基金运作、计算机技术系统等相关部门，在物理上和制度上适当隔离。对因业务需要知悉内幕信息的人员，制定严格的批准程序和监督处罚措施。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适时性原则。公司内部风险控制制度的制定，应具有前瞻性，并且必须随着公司经营战略、经营方针、经营理念等内部环境的变化和国家法律、法规、政策制度等外部环境的改变及时进行相应的修改和完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2、内部控制的主要内容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（1）控制环境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公司董事会重视建立完善的公司治理结构与内部控制体系。本公司在董事会下设立了审计与风险控制委员会，负责对公司在经营管理和基金业务运作的合法性、合规性和风险状况进行检查和评估，对公司监察稽核制度的有效性进行评价，监督公司的财务状况，审计公司的财务报表，评价公司的财务表现，保证公司的财务运作符合法律的要求和运行的会计标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公司管理层在总经理领导下，认真执行董事会确定的内部控制战略，为了有效贯彻公司董事会制定的经营方针及发展战略，设立了投资决策委员会，就基金投资等发表专业意见及建议。另外，在公司高级管理层下设立了风险管理委员会，负责对公司经营管理和基金运作中的风险进行研究，制定相应的控制制度，并实行相关的风险控制措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此外，公司设有督察长，全权负责公司的监察与稽核工作，对公司和基金运作的合法性、合规性及合理性进行全面检查与监督，参与公司风险控制工作，发生重大风险事件时向公司董事长和中国证监会报告。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（2）风险评估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（3）操作控制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各业务部门内部工作岗位分工合理、职责明确，形成相互检查、相互制约的关系，以减少舞弊或差错发生的风险，各工作岗位均制定有相应的书面管理制度。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在明确的岗位责任制度基础上，设置科学、合理、标准化的业务操作流程，每项业务操作有清晰、书面化的操作手册，同时，规定完备的处理手续，保存完整的业务记录，制定严格的检查、复核标准。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（4）信息与沟通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公司建立了内部办公自动化信息系统与业务汇报体系，通过建立有效的信息交流渠道，保证公司员工及各级管理人员可以充分了解与其职责相关的信息，保证信息及时送达适当的人员进行处理。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（5）监督与内部稽核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公司设立了独立于各业务部门的监察稽核部，履行监督、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3、基金管理人关于内部控制的声明</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（1）本公司确知建立、实施和维持内部控制制度是本公司董事会及管理层的责任。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（2）上述关于内部控制的披露真实、准确。</w:t>
      </w:r>
    </w:p>
    <w:p>
      <w:pPr>
        <w:spacing w:line="360" w:lineRule="auto"/>
        <w:ind w:firstLine="480"/>
        <w:rPr>
          <w:rFonts w:hint="eastAsia"/>
          <w:sz w:val="30"/>
        </w:rPr>
      </w:pPr>
      <w:r>
        <w:rPr>
          <w:rFonts w:hint="eastAsia" w:ascii="宋体" w:hAnsi="宋体" w:cs="宋体"/>
          <w:bCs/>
          <w:color w:val="000000"/>
          <w:sz w:val="24"/>
        </w:rPr>
        <w:t>（3）本公司承诺将根据市场环境的变化及公司的发展不断完善内部控制制度。</w:t>
      </w:r>
    </w:p>
    <w:p>
      <w:pPr>
        <w:pStyle w:val="2"/>
        <w:pageBreakBefore/>
        <w:spacing w:before="0" w:after="0"/>
        <w:jc w:val="center"/>
        <w:rPr>
          <w:rFonts w:hint="eastAsia" w:cs="宋体"/>
          <w:bCs/>
        </w:rPr>
      </w:pPr>
      <w:bookmarkStart w:id="5" w:name="_Toc521587216"/>
      <w:r>
        <w:rPr>
          <w:rFonts w:hint="eastAsia" w:ascii="Times New Roman" w:hAnsi="Times New Roman"/>
          <w:color w:val="auto"/>
          <w:sz w:val="30"/>
        </w:rPr>
        <w:t>第四部分 基金托管人</w:t>
      </w:r>
      <w:bookmarkEnd w:id="5"/>
    </w:p>
    <w:p>
      <w:pPr>
        <w:spacing w:line="360" w:lineRule="auto"/>
        <w:ind w:firstLine="480"/>
        <w:rPr>
          <w:rFonts w:hint="eastAsia" w:ascii="宋体" w:hAnsi="宋体" w:cs="宋体"/>
          <w:bCs/>
          <w:color w:val="000000"/>
          <w:sz w:val="24"/>
        </w:rPr>
      </w:pPr>
    </w:p>
    <w:p>
      <w:pPr>
        <w:spacing w:line="360" w:lineRule="auto"/>
        <w:ind w:firstLine="480" w:firstLineChars="200"/>
        <w:rPr>
          <w:rFonts w:hint="eastAsia"/>
          <w:sz w:val="24"/>
        </w:rPr>
      </w:pPr>
      <w:r>
        <w:rPr>
          <w:rFonts w:hint="eastAsia"/>
          <w:sz w:val="24"/>
        </w:rPr>
        <w:t>一、基金托管人基本情况</w:t>
      </w:r>
    </w:p>
    <w:p>
      <w:pPr>
        <w:spacing w:line="360" w:lineRule="auto"/>
        <w:ind w:firstLine="480" w:firstLineChars="200"/>
        <w:rPr>
          <w:rFonts w:hint="eastAsia"/>
          <w:sz w:val="24"/>
        </w:rPr>
      </w:pPr>
      <w:r>
        <w:rPr>
          <w:rFonts w:hint="eastAsia"/>
          <w:sz w:val="24"/>
        </w:rPr>
        <w:t>名称：中信银行股份有限公司（简称“中信银行”）</w:t>
      </w:r>
    </w:p>
    <w:p>
      <w:pPr>
        <w:spacing w:line="360" w:lineRule="auto"/>
        <w:ind w:firstLine="480" w:firstLineChars="200"/>
        <w:rPr>
          <w:rFonts w:hint="eastAsia"/>
          <w:sz w:val="24"/>
        </w:rPr>
      </w:pPr>
      <w:r>
        <w:rPr>
          <w:rFonts w:hint="eastAsia"/>
          <w:sz w:val="24"/>
        </w:rPr>
        <w:t>住所：北京市东城区朝阳门北大街9号</w:t>
      </w:r>
    </w:p>
    <w:p>
      <w:pPr>
        <w:spacing w:line="360" w:lineRule="auto"/>
        <w:ind w:firstLine="480" w:firstLineChars="200"/>
        <w:rPr>
          <w:rFonts w:hint="eastAsia"/>
          <w:sz w:val="24"/>
        </w:rPr>
      </w:pPr>
      <w:r>
        <w:rPr>
          <w:rFonts w:hint="eastAsia"/>
          <w:sz w:val="24"/>
        </w:rPr>
        <w:t>办公地址：北京市东城区朝阳门北大街9号</w:t>
      </w:r>
    </w:p>
    <w:p>
      <w:pPr>
        <w:spacing w:line="360" w:lineRule="auto"/>
        <w:ind w:firstLine="480" w:firstLineChars="200"/>
        <w:rPr>
          <w:rFonts w:hint="eastAsia"/>
          <w:sz w:val="24"/>
        </w:rPr>
      </w:pPr>
      <w:r>
        <w:rPr>
          <w:rFonts w:hint="eastAsia"/>
          <w:sz w:val="24"/>
        </w:rPr>
        <w:t>法定代表人：李庆萍</w:t>
      </w:r>
    </w:p>
    <w:p>
      <w:pPr>
        <w:spacing w:line="360" w:lineRule="auto"/>
        <w:ind w:firstLine="480" w:firstLineChars="200"/>
        <w:rPr>
          <w:rFonts w:hint="eastAsia"/>
          <w:sz w:val="24"/>
        </w:rPr>
      </w:pPr>
      <w:r>
        <w:rPr>
          <w:rFonts w:hint="eastAsia"/>
          <w:sz w:val="24"/>
        </w:rPr>
        <w:t>成立时间：1987年4月20日</w:t>
      </w:r>
    </w:p>
    <w:p>
      <w:pPr>
        <w:spacing w:line="360" w:lineRule="auto"/>
        <w:ind w:firstLine="480" w:firstLineChars="200"/>
        <w:rPr>
          <w:rFonts w:hint="eastAsia"/>
          <w:sz w:val="24"/>
        </w:rPr>
      </w:pPr>
      <w:r>
        <w:rPr>
          <w:rFonts w:hint="eastAsia"/>
          <w:sz w:val="24"/>
        </w:rPr>
        <w:t>组织形式：股份有限公司</w:t>
      </w:r>
    </w:p>
    <w:p>
      <w:pPr>
        <w:spacing w:line="360" w:lineRule="auto"/>
        <w:ind w:firstLine="480" w:firstLineChars="200"/>
        <w:rPr>
          <w:rFonts w:hint="eastAsia"/>
          <w:sz w:val="24"/>
        </w:rPr>
      </w:pPr>
      <w:r>
        <w:rPr>
          <w:rFonts w:hint="eastAsia"/>
          <w:sz w:val="24"/>
        </w:rPr>
        <w:t>注册资本：489.35亿元人民币</w:t>
      </w:r>
    </w:p>
    <w:p>
      <w:pPr>
        <w:spacing w:line="360" w:lineRule="auto"/>
        <w:ind w:firstLine="480" w:firstLineChars="200"/>
        <w:rPr>
          <w:rFonts w:hint="eastAsia"/>
          <w:sz w:val="24"/>
        </w:rPr>
      </w:pPr>
      <w:r>
        <w:rPr>
          <w:rFonts w:hint="eastAsia"/>
          <w:sz w:val="24"/>
        </w:rPr>
        <w:t>存续期间：持续经营</w:t>
      </w:r>
    </w:p>
    <w:p>
      <w:pPr>
        <w:spacing w:line="360" w:lineRule="auto"/>
        <w:ind w:firstLine="480" w:firstLineChars="200"/>
        <w:rPr>
          <w:rFonts w:hint="eastAsia"/>
          <w:sz w:val="24"/>
        </w:rPr>
      </w:pPr>
      <w:r>
        <w:rPr>
          <w:rFonts w:hint="eastAsia"/>
          <w:sz w:val="24"/>
        </w:rPr>
        <w:t>批准设立文号：中华人民共和国国务院办公厅国办函[1987]14号</w:t>
      </w:r>
    </w:p>
    <w:p>
      <w:pPr>
        <w:spacing w:line="360" w:lineRule="auto"/>
        <w:ind w:firstLine="480" w:firstLineChars="200"/>
        <w:rPr>
          <w:rFonts w:hint="eastAsia"/>
          <w:sz w:val="24"/>
        </w:rPr>
      </w:pPr>
      <w:r>
        <w:rPr>
          <w:rFonts w:hint="eastAsia"/>
          <w:sz w:val="24"/>
        </w:rPr>
        <w:t>基金托管业务批准文号：中国证监会证监基字[2004]125号</w:t>
      </w:r>
    </w:p>
    <w:p>
      <w:pPr>
        <w:spacing w:line="360" w:lineRule="auto"/>
        <w:ind w:firstLine="480" w:firstLineChars="200"/>
        <w:rPr>
          <w:rFonts w:hint="eastAsia"/>
          <w:sz w:val="24"/>
        </w:rPr>
      </w:pPr>
      <w:r>
        <w:rPr>
          <w:rFonts w:hint="eastAsia"/>
          <w:sz w:val="24"/>
        </w:rPr>
        <w:t>联系人：中信银行资产托管部</w:t>
      </w:r>
    </w:p>
    <w:p>
      <w:pPr>
        <w:spacing w:line="360" w:lineRule="auto"/>
        <w:ind w:firstLine="480" w:firstLineChars="200"/>
        <w:rPr>
          <w:rFonts w:hint="eastAsia"/>
          <w:sz w:val="24"/>
        </w:rPr>
      </w:pPr>
      <w:r>
        <w:rPr>
          <w:rFonts w:hint="eastAsia"/>
          <w:sz w:val="24"/>
        </w:rPr>
        <w:t>联系电话：4006800000</w:t>
      </w:r>
    </w:p>
    <w:p>
      <w:pPr>
        <w:spacing w:line="360" w:lineRule="auto"/>
        <w:ind w:firstLine="480" w:firstLineChars="200"/>
        <w:rPr>
          <w:rFonts w:hint="eastAsia"/>
          <w:sz w:val="24"/>
        </w:rPr>
      </w:pPr>
      <w:r>
        <w:rPr>
          <w:rFonts w:hint="eastAsia"/>
          <w:sz w:val="24"/>
        </w:rPr>
        <w:t>传真：010-85230024</w:t>
      </w:r>
    </w:p>
    <w:p>
      <w:pPr>
        <w:spacing w:line="360" w:lineRule="auto"/>
        <w:ind w:firstLine="480" w:firstLineChars="200"/>
        <w:rPr>
          <w:rFonts w:hint="eastAsia"/>
          <w:sz w:val="24"/>
        </w:rPr>
      </w:pPr>
      <w:r>
        <w:rPr>
          <w:rFonts w:hint="eastAsia"/>
          <w:sz w:val="24"/>
        </w:rPr>
        <w:t>客服电话：95558</w:t>
      </w:r>
    </w:p>
    <w:p>
      <w:pPr>
        <w:spacing w:line="360" w:lineRule="auto"/>
        <w:ind w:firstLine="480" w:firstLineChars="200"/>
        <w:rPr>
          <w:rFonts w:hint="eastAsia"/>
          <w:sz w:val="24"/>
        </w:rPr>
      </w:pPr>
      <w:r>
        <w:rPr>
          <w:rFonts w:hint="eastAsia"/>
          <w:sz w:val="24"/>
        </w:rPr>
        <w:t>网址：bank.ecitic.com</w:t>
      </w:r>
    </w:p>
    <w:p>
      <w:pPr>
        <w:spacing w:line="360" w:lineRule="auto"/>
        <w:ind w:firstLine="480" w:firstLineChars="200"/>
        <w:rPr>
          <w:rFonts w:hint="eastAsia"/>
          <w:sz w:val="24"/>
        </w:rPr>
      </w:pPr>
      <w:r>
        <w:rPr>
          <w:rFonts w:hint="eastAsia"/>
          <w:sz w:val="24"/>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pPr>
        <w:spacing w:line="360" w:lineRule="auto"/>
        <w:ind w:firstLine="480" w:firstLineChars="200"/>
        <w:rPr>
          <w:rFonts w:hint="eastAsia"/>
          <w:sz w:val="24"/>
        </w:rPr>
      </w:pPr>
      <w:r>
        <w:rPr>
          <w:rFonts w:hint="eastAsia"/>
          <w:sz w:val="24"/>
        </w:rPr>
        <w:t>中信银行（601998.SH、0998.HK）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w:t>
      </w:r>
    </w:p>
    <w:p>
      <w:pPr>
        <w:spacing w:line="360" w:lineRule="auto"/>
        <w:ind w:firstLine="480" w:firstLineChars="200"/>
        <w:rPr>
          <w:rFonts w:hint="eastAsia"/>
          <w:sz w:val="24"/>
        </w:rPr>
      </w:pPr>
      <w:r>
        <w:rPr>
          <w:rFonts w:hint="eastAsia"/>
          <w:sz w:val="24"/>
        </w:rPr>
        <w:t>本行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w:t>
      </w:r>
    </w:p>
    <w:p>
      <w:pPr>
        <w:spacing w:line="360" w:lineRule="auto"/>
        <w:ind w:firstLine="480" w:firstLineChars="200"/>
        <w:rPr>
          <w:rFonts w:hint="eastAsia"/>
          <w:sz w:val="24"/>
        </w:rPr>
      </w:pPr>
      <w:r>
        <w:rPr>
          <w:rFonts w:hint="eastAsia"/>
          <w:sz w:val="24"/>
        </w:rPr>
        <w:t>截至2018年末，本行在国内146个大中城市设有1,410家营业网点，同时在境内外下设6家附属公司，包括中信国际金融控股有限公司、信银（香港）投资有限公司、中信金融租赁有限公司、浙江临安中信村镇银行股份有限公司、中信百信银行股份有限公司和阿尔金银行。其中，中信国际金融控股有限公司子公司中信银行（国际）有限公司，在香港、澳门、纽约、洛杉矶、新加坡和中国内地设有38家营业网点。信银（香港）投资有限公司在香港和中国内地设有3家子公司。中信百信银行股份有限公司为本行与百度公司发起设立的国内首家具有独立法人资格的直销银行。阿尔金银行在哈萨克斯坦设有6家营业网点和1个私人银行中心。</w:t>
      </w:r>
    </w:p>
    <w:p>
      <w:pPr>
        <w:spacing w:line="360" w:lineRule="auto"/>
        <w:ind w:firstLine="480" w:firstLineChars="200"/>
        <w:rPr>
          <w:rFonts w:hint="eastAsia"/>
          <w:sz w:val="24"/>
        </w:rPr>
      </w:pPr>
      <w:r>
        <w:rPr>
          <w:rFonts w:hint="eastAsia"/>
          <w:sz w:val="24"/>
        </w:rPr>
        <w:t>30多年来，本行坚持服务实体经济，稳健经营，与时俱进。经过30余年的发展，本行已成为一家总资产规模超6万亿元、员工人数近6万名，具有强大综合实力和品牌竞争力的金融集团。2018年，本行在英国《银行家》杂志“全球银行品牌500强排行榜”中排名第24位；本行一级资本在英国《银行家》杂志“世界1000家银行排名”中排名第27位。</w:t>
      </w:r>
    </w:p>
    <w:p>
      <w:pPr>
        <w:spacing w:line="360" w:lineRule="auto"/>
        <w:ind w:firstLine="480" w:firstLineChars="200"/>
        <w:rPr>
          <w:rFonts w:hint="eastAsia"/>
          <w:sz w:val="24"/>
        </w:rPr>
      </w:pPr>
      <w:r>
        <w:rPr>
          <w:rFonts w:hint="eastAsia"/>
          <w:sz w:val="24"/>
        </w:rPr>
        <w:t>二、主要人员情况</w:t>
      </w:r>
    </w:p>
    <w:p>
      <w:pPr>
        <w:spacing w:line="360" w:lineRule="auto"/>
        <w:ind w:firstLine="480" w:firstLineChars="200"/>
        <w:rPr>
          <w:rFonts w:hint="eastAsia"/>
          <w:sz w:val="24"/>
        </w:rPr>
      </w:pPr>
      <w:r>
        <w:rPr>
          <w:rFonts w:hint="eastAsia"/>
          <w:sz w:val="24"/>
        </w:rPr>
        <w:t>方合英先生，中信银行执行董事、行长兼财务总监。方先生于2018年9月加入本行董事会。方先生自2014年8月起任本行党委委员，2014年11月起任本行副行长，2017年1月起兼任本行财务总监，2019年2月起任本行党委副书记。方先生现同时担任信银（香港）投资有限公司、中信银行（国际）有限公司及中信国际金融控股有限公司董事。此前，方先生于2013年5月至2015年1月任本行金融市场业务总监，2014年5月至2014年9月兼任本行杭州分行党委书记、行长；2007年3月至2013年5月任本行苏州分行党委书记、行长；2003年9月至2007年3月历任本行杭州分行行长助理、党委委员、副行长；1996年12月至2003年9月在本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pPr>
        <w:spacing w:line="360" w:lineRule="auto"/>
        <w:ind w:firstLine="480" w:firstLineChars="200"/>
        <w:rPr>
          <w:rFonts w:hint="eastAsia"/>
          <w:sz w:val="24"/>
        </w:rPr>
      </w:pPr>
      <w:r>
        <w:rPr>
          <w:rFonts w:hint="eastAsia"/>
          <w:sz w:val="24"/>
        </w:rPr>
        <w:t>杨毓先生，中信银行副行长，分管托管业务。杨先生自2015年7月起任本行党委委员，2015年12月起任本行副行长。此前，杨先生2011年3月至2015年6月任中国建设银行江苏省分行党委书记、行长；2006年7月至2011年2月任中国建设银行河北省分行党委书记、行长；1982年8月至2006年6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pPr>
        <w:spacing w:line="360" w:lineRule="auto"/>
        <w:ind w:firstLine="480" w:firstLineChars="200"/>
        <w:rPr>
          <w:rFonts w:hint="eastAsia"/>
          <w:sz w:val="24"/>
        </w:rPr>
      </w:pPr>
      <w:r>
        <w:rPr>
          <w:rFonts w:hint="eastAsia"/>
          <w:sz w:val="24"/>
        </w:rPr>
        <w:t>杨璋琪先生，中信银行资产托管部副总经理（主持工作），硕士研究生学历。杨先生2018年1月至2019年3月，任本行金融同业部副总经理；2015年5月至2018年1月，任本行长春分行副行长；2013年4月至2015年5月，任本行机构业务部总经理助理；1996年7月至2013年4月，就职于本行北京分行（原总行营业部），历任支行行长、投资银行部总经理、贸易金融部总经理。</w:t>
      </w:r>
    </w:p>
    <w:p>
      <w:pPr>
        <w:spacing w:line="360" w:lineRule="auto"/>
        <w:ind w:firstLine="480" w:firstLineChars="200"/>
        <w:rPr>
          <w:rFonts w:hint="eastAsia"/>
          <w:sz w:val="24"/>
        </w:rPr>
      </w:pPr>
      <w:r>
        <w:rPr>
          <w:rFonts w:hint="eastAsia"/>
          <w:sz w:val="24"/>
        </w:rPr>
        <w:t>三、基金托管业务经营情况</w:t>
      </w:r>
    </w:p>
    <w:p>
      <w:pPr>
        <w:spacing w:line="360" w:lineRule="auto"/>
        <w:ind w:firstLine="480" w:firstLineChars="200"/>
        <w:rPr>
          <w:rFonts w:hint="eastAsia"/>
          <w:sz w:val="24"/>
        </w:rPr>
      </w:pPr>
      <w:r>
        <w:rPr>
          <w:rFonts w:hint="eastAsia"/>
          <w:sz w:val="24"/>
        </w:rPr>
        <w:t xml:space="preserve">    2004 年8 月18 日，中信银行经中国证券监督管理委员会和中国银行业监督管理委员会批准，取得基金托管人资格。中信银行本着“诚实信用、勤勉尽责”的原则，切实履行托管人职责。</w:t>
      </w:r>
    </w:p>
    <w:p>
      <w:pPr>
        <w:spacing w:line="360" w:lineRule="auto"/>
        <w:ind w:firstLine="480" w:firstLineChars="200"/>
        <w:rPr>
          <w:rFonts w:hint="eastAsia"/>
          <w:sz w:val="24"/>
        </w:rPr>
      </w:pPr>
      <w:r>
        <w:rPr>
          <w:rFonts w:hint="eastAsia"/>
          <w:sz w:val="24"/>
        </w:rPr>
        <w:t>截至2019年半年末，中信银行托管140只公开募集证券投资基金，以及基金公司、证券公司资产管理产品、信托产品、企业年金、股权基金、QDII等其他托管资产，托管总规模达到8.79万亿元人民币。</w:t>
      </w:r>
    </w:p>
    <w:p>
      <w:pPr>
        <w:spacing w:line="360" w:lineRule="auto"/>
        <w:ind w:firstLine="480" w:firstLineChars="200"/>
        <w:rPr>
          <w:rFonts w:hint="eastAsia"/>
          <w:sz w:val="24"/>
        </w:rPr>
      </w:pPr>
      <w:r>
        <w:rPr>
          <w:rFonts w:hint="eastAsia"/>
          <w:sz w:val="24"/>
        </w:rPr>
        <w:t>四、基金托管人的内部控制制度</w:t>
      </w:r>
    </w:p>
    <w:p>
      <w:pPr>
        <w:spacing w:line="360" w:lineRule="auto"/>
        <w:ind w:firstLine="480" w:firstLineChars="200"/>
        <w:rPr>
          <w:rFonts w:hint="eastAsia"/>
          <w:sz w:val="24"/>
        </w:rPr>
      </w:pPr>
      <w:r>
        <w:rPr>
          <w:rFonts w:hint="eastAsia"/>
          <w:sz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pPr>
        <w:spacing w:line="360" w:lineRule="auto"/>
        <w:ind w:firstLine="480" w:firstLineChars="200"/>
        <w:rPr>
          <w:rFonts w:hint="eastAsia"/>
          <w:sz w:val="24"/>
        </w:rPr>
      </w:pPr>
      <w:r>
        <w:rPr>
          <w:rFonts w:hint="eastAsia"/>
          <w:sz w:val="24"/>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pPr>
        <w:spacing w:line="360" w:lineRule="auto"/>
        <w:ind w:firstLine="480" w:firstLineChars="200"/>
        <w:rPr>
          <w:rFonts w:hint="eastAsia"/>
          <w:sz w:val="24"/>
        </w:rPr>
      </w:pPr>
      <w:r>
        <w:rPr>
          <w:rFonts w:hint="eastAsia"/>
          <w:sz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pPr>
        <w:spacing w:line="360" w:lineRule="auto"/>
        <w:ind w:firstLine="480" w:firstLineChars="200"/>
        <w:rPr>
          <w:rFonts w:hint="eastAsia"/>
          <w:sz w:val="24"/>
        </w:rPr>
      </w:pPr>
      <w:r>
        <w:rPr>
          <w:rFonts w:hint="eastAsia"/>
          <w:sz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pPr>
        <w:spacing w:line="360" w:lineRule="auto"/>
        <w:ind w:firstLine="480" w:firstLineChars="200"/>
        <w:rPr>
          <w:rFonts w:hint="eastAsia"/>
          <w:sz w:val="24"/>
        </w:rPr>
      </w:pPr>
      <w:r>
        <w:rPr>
          <w:rFonts w:hint="eastAsia"/>
          <w:sz w:val="24"/>
        </w:rPr>
        <w:t>五、基金托管人对基金管理人运作基金进行监督的方法和程序</w:t>
      </w:r>
    </w:p>
    <w:p>
      <w:pPr>
        <w:spacing w:line="360" w:lineRule="auto"/>
        <w:ind w:firstLine="480" w:firstLineChars="200"/>
        <w:rPr>
          <w:rFonts w:hint="eastAsia"/>
          <w:sz w:val="24"/>
        </w:rPr>
      </w:pPr>
      <w:r>
        <w:rPr>
          <w:rFonts w:hint="eastAsia"/>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pPr>
        <w:spacing w:line="360" w:lineRule="auto"/>
        <w:ind w:firstLine="480" w:firstLineChars="200"/>
        <w:rPr>
          <w:rFonts w:hint="eastAsia"/>
          <w:sz w:val="24"/>
        </w:rPr>
      </w:pPr>
      <w:r>
        <w:rPr>
          <w:rFonts w:hint="eastAsia"/>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pPr>
        <w:pStyle w:val="2"/>
        <w:pageBreakBefore/>
        <w:spacing w:before="0" w:after="0"/>
        <w:jc w:val="center"/>
        <w:rPr>
          <w:rFonts w:hint="eastAsia" w:cs="宋体"/>
          <w:bCs/>
        </w:rPr>
      </w:pPr>
      <w:bookmarkStart w:id="6" w:name="_Toc521587217"/>
      <w:r>
        <w:rPr>
          <w:rFonts w:hint="eastAsia" w:ascii="Times New Roman" w:hAnsi="Times New Roman"/>
          <w:color w:val="auto"/>
          <w:sz w:val="30"/>
        </w:rPr>
        <w:t>第五部分 相关服务机构</w:t>
      </w:r>
      <w:bookmarkEnd w:id="6"/>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一、基金份额发售机构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1、直销机构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本基金直销机构为本公司设在北京的直销柜台以及网上交易平台。</w:t>
      </w:r>
    </w:p>
    <w:p>
      <w:pPr>
        <w:spacing w:line="360" w:lineRule="auto"/>
        <w:ind w:firstLine="480"/>
        <w:rPr>
          <w:rFonts w:ascii="宋体" w:hAnsi="宋体" w:cs="宋体"/>
          <w:bCs/>
          <w:color w:val="000000"/>
          <w:sz w:val="24"/>
        </w:rPr>
      </w:pPr>
      <w:r>
        <w:rPr>
          <w:rFonts w:hint="eastAsia" w:ascii="宋体" w:hAnsi="宋体" w:cs="宋体"/>
          <w:bCs/>
          <w:color w:val="000000"/>
          <w:sz w:val="24"/>
        </w:rPr>
        <w:t>（1）直销柜台</w:t>
      </w:r>
    </w:p>
    <w:p>
      <w:pPr>
        <w:spacing w:line="360" w:lineRule="auto"/>
        <w:ind w:firstLine="480"/>
        <w:rPr>
          <w:rFonts w:ascii="宋体" w:hAnsi="宋体" w:cs="宋体"/>
          <w:bCs/>
          <w:color w:val="000000"/>
          <w:sz w:val="24"/>
        </w:rPr>
      </w:pPr>
      <w:r>
        <w:rPr>
          <w:rFonts w:ascii="宋体" w:hAnsi="宋体" w:cs="宋体"/>
          <w:bCs/>
          <w:color w:val="000000"/>
          <w:sz w:val="24"/>
        </w:rPr>
        <w:t>名称：建信基金管理有限责任公司</w:t>
      </w:r>
    </w:p>
    <w:p>
      <w:pPr>
        <w:spacing w:line="360" w:lineRule="auto"/>
        <w:ind w:firstLine="480"/>
        <w:rPr>
          <w:rFonts w:ascii="宋体" w:hAnsi="宋体" w:cs="宋体"/>
          <w:bCs/>
          <w:color w:val="000000"/>
          <w:sz w:val="24"/>
        </w:rPr>
      </w:pPr>
      <w:r>
        <w:rPr>
          <w:rFonts w:ascii="宋体" w:hAnsi="宋体" w:cs="宋体"/>
          <w:bCs/>
          <w:color w:val="000000"/>
          <w:sz w:val="24"/>
        </w:rPr>
        <w:t>住所：北京市西城区金融大街7号英蓝国际金融中心16层</w:t>
      </w:r>
    </w:p>
    <w:p>
      <w:pPr>
        <w:spacing w:line="360" w:lineRule="auto"/>
        <w:ind w:firstLine="480"/>
        <w:rPr>
          <w:rFonts w:ascii="宋体" w:hAnsi="宋体" w:cs="宋体"/>
          <w:bCs/>
          <w:color w:val="000000"/>
          <w:sz w:val="24"/>
        </w:rPr>
      </w:pPr>
      <w:r>
        <w:rPr>
          <w:rFonts w:ascii="宋体" w:hAnsi="宋体" w:cs="宋体"/>
          <w:bCs/>
          <w:color w:val="000000"/>
          <w:sz w:val="24"/>
        </w:rPr>
        <w:t>办公地址：北京市西城区金融大街7号英蓝国际金融中心16层</w:t>
      </w:r>
    </w:p>
    <w:p>
      <w:pPr>
        <w:spacing w:line="360" w:lineRule="auto"/>
        <w:ind w:firstLine="480"/>
        <w:rPr>
          <w:rFonts w:ascii="宋体" w:hAnsi="宋体" w:cs="宋体"/>
          <w:bCs/>
          <w:color w:val="000000"/>
          <w:sz w:val="24"/>
        </w:rPr>
      </w:pPr>
      <w:r>
        <w:rPr>
          <w:rFonts w:ascii="宋体" w:hAnsi="宋体" w:cs="宋体"/>
          <w:bCs/>
          <w:color w:val="000000"/>
          <w:sz w:val="24"/>
        </w:rPr>
        <w:t>法定代表人：</w:t>
      </w:r>
      <w:r>
        <w:rPr>
          <w:rFonts w:hint="eastAsia" w:ascii="宋体" w:hAnsi="宋体" w:cs="宋体"/>
          <w:bCs/>
          <w:color w:val="000000"/>
          <w:sz w:val="24"/>
        </w:rPr>
        <w:t>孙志晨</w:t>
      </w:r>
    </w:p>
    <w:p>
      <w:pPr>
        <w:spacing w:line="360" w:lineRule="auto"/>
        <w:ind w:firstLine="480"/>
        <w:rPr>
          <w:rFonts w:ascii="宋体" w:hAnsi="宋体" w:cs="宋体"/>
          <w:bCs/>
          <w:color w:val="000000"/>
          <w:sz w:val="24"/>
        </w:rPr>
      </w:pPr>
      <w:r>
        <w:rPr>
          <w:rFonts w:ascii="宋体" w:hAnsi="宋体" w:cs="宋体"/>
          <w:bCs/>
          <w:color w:val="000000"/>
          <w:sz w:val="24"/>
        </w:rPr>
        <w:t>联系人：</w:t>
      </w:r>
      <w:r>
        <w:rPr>
          <w:rFonts w:hint="eastAsia" w:ascii="宋体" w:hAnsi="宋体" w:cs="宋体"/>
          <w:bCs/>
          <w:color w:val="000000"/>
          <w:sz w:val="24"/>
        </w:rPr>
        <w:t>郭雅莉</w:t>
      </w:r>
    </w:p>
    <w:p>
      <w:pPr>
        <w:spacing w:line="360" w:lineRule="auto"/>
        <w:ind w:firstLine="480"/>
        <w:rPr>
          <w:rFonts w:hint="eastAsia" w:ascii="宋体" w:hAnsi="宋体" w:cs="宋体"/>
          <w:bCs/>
          <w:color w:val="000000"/>
          <w:sz w:val="24"/>
        </w:rPr>
      </w:pPr>
      <w:r>
        <w:rPr>
          <w:rFonts w:ascii="宋体" w:hAnsi="宋体" w:cs="宋体"/>
          <w:bCs/>
          <w:color w:val="000000"/>
          <w:sz w:val="24"/>
        </w:rPr>
        <w:t>电话：010-66228800</w:t>
      </w:r>
    </w:p>
    <w:p>
      <w:pPr>
        <w:spacing w:line="360" w:lineRule="auto"/>
        <w:ind w:firstLine="480"/>
        <w:rPr>
          <w:rFonts w:ascii="宋体" w:hAnsi="宋体" w:cs="宋体"/>
          <w:bCs/>
          <w:color w:val="000000"/>
          <w:sz w:val="24"/>
        </w:rPr>
      </w:pPr>
      <w:r>
        <w:rPr>
          <w:rFonts w:hint="eastAsia" w:ascii="宋体" w:hAnsi="宋体" w:cs="宋体"/>
          <w:bCs/>
          <w:color w:val="000000"/>
          <w:sz w:val="24"/>
        </w:rPr>
        <w:t>（2）网上交易</w:t>
      </w:r>
    </w:p>
    <w:p>
      <w:pPr>
        <w:spacing w:line="360" w:lineRule="auto"/>
        <w:ind w:firstLine="480"/>
        <w:rPr>
          <w:rFonts w:ascii="宋体" w:hAnsi="宋体" w:cs="宋体"/>
          <w:bCs/>
          <w:color w:val="000000"/>
          <w:sz w:val="24"/>
        </w:rPr>
      </w:pPr>
      <w:r>
        <w:rPr>
          <w:rFonts w:ascii="宋体" w:hAnsi="宋体" w:cs="宋体"/>
          <w:bCs/>
          <w:color w:val="000000"/>
          <w:sz w:val="24"/>
        </w:rPr>
        <w:t>投资者可以通过本公司网上交易系统办理基金的申购</w:t>
      </w:r>
      <w:r>
        <w:rPr>
          <w:rFonts w:hint="eastAsia" w:ascii="宋体" w:hAnsi="宋体" w:cs="宋体"/>
          <w:bCs/>
          <w:color w:val="000000"/>
          <w:sz w:val="24"/>
        </w:rPr>
        <w:t>、</w:t>
      </w:r>
      <w:r>
        <w:rPr>
          <w:rFonts w:ascii="宋体" w:hAnsi="宋体" w:cs="宋体"/>
          <w:bCs/>
          <w:color w:val="000000"/>
          <w:sz w:val="24"/>
        </w:rPr>
        <w:t>赎回</w:t>
      </w:r>
      <w:r>
        <w:rPr>
          <w:rFonts w:hint="eastAsia" w:ascii="宋体" w:hAnsi="宋体" w:cs="宋体"/>
          <w:bCs/>
          <w:color w:val="000000"/>
          <w:sz w:val="24"/>
        </w:rPr>
        <w:t>、定期投资</w:t>
      </w:r>
      <w:r>
        <w:rPr>
          <w:rFonts w:ascii="宋体" w:hAnsi="宋体" w:cs="宋体"/>
          <w:bCs/>
          <w:color w:val="000000"/>
          <w:sz w:val="24"/>
        </w:rPr>
        <w:t>等业务，具体</w:t>
      </w:r>
      <w:r>
        <w:rPr>
          <w:rFonts w:hint="eastAsia" w:ascii="宋体" w:hAnsi="宋体" w:cs="宋体"/>
          <w:bCs/>
          <w:color w:val="000000"/>
          <w:sz w:val="24"/>
        </w:rPr>
        <w:t>业务办理情况及业务规</w:t>
      </w:r>
      <w:r>
        <w:rPr>
          <w:rFonts w:ascii="宋体" w:hAnsi="宋体" w:cs="宋体"/>
          <w:bCs/>
          <w:color w:val="000000"/>
          <w:sz w:val="24"/>
        </w:rPr>
        <w:t>则请</w:t>
      </w:r>
      <w:r>
        <w:rPr>
          <w:rFonts w:hint="eastAsia" w:ascii="宋体" w:hAnsi="宋体" w:cs="宋体"/>
          <w:bCs/>
          <w:color w:val="000000"/>
          <w:sz w:val="24"/>
        </w:rPr>
        <w:t>登录</w:t>
      </w:r>
      <w:r>
        <w:rPr>
          <w:rFonts w:ascii="宋体" w:hAnsi="宋体" w:cs="宋体"/>
          <w:bCs/>
          <w:color w:val="000000"/>
          <w:sz w:val="24"/>
        </w:rPr>
        <w:t>本公司网站</w:t>
      </w:r>
      <w:r>
        <w:rPr>
          <w:rFonts w:hint="eastAsia" w:ascii="宋体" w:hAnsi="宋体" w:cs="宋体"/>
          <w:bCs/>
          <w:color w:val="000000"/>
          <w:sz w:val="24"/>
        </w:rPr>
        <w:t>查询</w:t>
      </w:r>
      <w:r>
        <w:rPr>
          <w:rFonts w:ascii="宋体" w:hAnsi="宋体" w:cs="宋体"/>
          <w:bCs/>
          <w:color w:val="000000"/>
          <w:sz w:val="24"/>
        </w:rPr>
        <w:t>。</w:t>
      </w:r>
      <w:r>
        <w:rPr>
          <w:rFonts w:hint="eastAsia" w:ascii="宋体" w:hAnsi="宋体" w:cs="宋体"/>
          <w:bCs/>
          <w:color w:val="000000"/>
          <w:sz w:val="24"/>
        </w:rPr>
        <w:t>本公司</w:t>
      </w:r>
      <w:r>
        <w:rPr>
          <w:rFonts w:ascii="宋体" w:hAnsi="宋体" w:cs="宋体"/>
          <w:bCs/>
          <w:color w:val="000000"/>
          <w:sz w:val="24"/>
        </w:rPr>
        <w:t>网址：www.</w:t>
      </w:r>
      <w:r>
        <w:rPr>
          <w:rFonts w:hint="eastAsia" w:ascii="宋体" w:hAnsi="宋体" w:cs="宋体"/>
          <w:bCs/>
          <w:color w:val="000000"/>
          <w:sz w:val="24"/>
        </w:rPr>
        <w:t>ccbfund</w:t>
      </w:r>
      <w:r>
        <w:rPr>
          <w:rFonts w:ascii="宋体" w:hAnsi="宋体" w:cs="宋体"/>
          <w:bCs/>
          <w:color w:val="000000"/>
          <w:sz w:val="24"/>
        </w:rPr>
        <w:t>.c</w:t>
      </w:r>
      <w:r>
        <w:rPr>
          <w:rFonts w:hint="eastAsia" w:ascii="宋体" w:hAnsi="宋体" w:cs="宋体"/>
          <w:bCs/>
          <w:color w:val="000000"/>
          <w:sz w:val="24"/>
        </w:rPr>
        <w:t>n</w:t>
      </w:r>
      <w:r>
        <w:rPr>
          <w:rFonts w:ascii="宋体" w:hAnsi="宋体" w:cs="宋体"/>
          <w:bCs/>
          <w:color w:val="000000"/>
          <w:sz w:val="24"/>
        </w:rPr>
        <w:t>。</w:t>
      </w:r>
    </w:p>
    <w:p>
      <w:pPr>
        <w:spacing w:line="360" w:lineRule="auto"/>
        <w:ind w:firstLine="480"/>
        <w:rPr>
          <w:rFonts w:hint="eastAsia" w:ascii="宋体" w:hAnsi="宋体" w:cs="宋体"/>
          <w:bCs/>
          <w:color w:val="000000"/>
          <w:sz w:val="24"/>
        </w:rPr>
      </w:pP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代销机构</w:t>
      </w:r>
      <w:r>
        <w:rPr>
          <w:rFonts w:hint="eastAsia" w:ascii="宋体" w:hAnsi="宋体" w:cs="宋体"/>
          <w:bCs/>
          <w:color w:val="000000"/>
          <w:sz w:val="24"/>
        </w:rPr>
        <w:t xml:space="preserve"> </w:t>
      </w:r>
    </w:p>
    <w:p>
      <w:pPr>
        <w:spacing w:line="360" w:lineRule="auto"/>
        <w:ind w:left="424" w:leftChars="202" w:firstLine="52" w:firstLineChars="22"/>
        <w:rPr>
          <w:rFonts w:hint="eastAsia" w:ascii="宋体" w:hAnsi="宋体"/>
          <w:bCs/>
          <w:sz w:val="24"/>
        </w:rPr>
      </w:pPr>
      <w:r>
        <w:rPr>
          <w:rFonts w:hint="eastAsia" w:ascii="宋体" w:hAnsi="宋体"/>
          <w:bCs/>
          <w:sz w:val="24"/>
        </w:rPr>
        <w:t>（1）中国建设银行股份有限公司</w:t>
      </w:r>
      <w:r>
        <w:rPr>
          <w:rFonts w:hint="eastAsia" w:ascii="宋体" w:hAnsi="宋体"/>
          <w:bCs/>
          <w:sz w:val="24"/>
        </w:rPr>
        <w:cr/>
      </w:r>
      <w:r>
        <w:rPr>
          <w:rFonts w:hint="eastAsia" w:ascii="宋体" w:hAnsi="宋体"/>
          <w:bCs/>
          <w:sz w:val="24"/>
        </w:rPr>
        <w:t>住所：北京市西城区金融大街25号</w:t>
      </w:r>
      <w:r>
        <w:rPr>
          <w:rFonts w:hint="eastAsia" w:ascii="宋体" w:hAnsi="宋体"/>
          <w:bCs/>
          <w:sz w:val="24"/>
        </w:rPr>
        <w:cr/>
      </w:r>
      <w:r>
        <w:rPr>
          <w:rFonts w:hint="eastAsia" w:ascii="宋体" w:hAnsi="宋体"/>
          <w:bCs/>
          <w:sz w:val="24"/>
        </w:rPr>
        <w:t>办公地址：北京市西城区闹市口大街1号院1号楼（长安兴融中心）</w:t>
      </w:r>
      <w:r>
        <w:rPr>
          <w:rFonts w:hint="eastAsia" w:ascii="宋体" w:hAnsi="宋体"/>
          <w:bCs/>
          <w:sz w:val="24"/>
        </w:rPr>
        <w:cr/>
      </w:r>
      <w:r>
        <w:rPr>
          <w:rFonts w:hint="eastAsia" w:ascii="宋体" w:hAnsi="宋体"/>
          <w:bCs/>
          <w:sz w:val="24"/>
        </w:rPr>
        <w:t>法定代表人：田国立</w:t>
      </w:r>
      <w:r>
        <w:rPr>
          <w:rFonts w:hint="eastAsia" w:ascii="宋体" w:hAnsi="宋体"/>
          <w:bCs/>
          <w:sz w:val="24"/>
        </w:rPr>
        <w:cr/>
      </w:r>
      <w:r>
        <w:rPr>
          <w:rFonts w:hint="eastAsia" w:ascii="宋体" w:hAnsi="宋体"/>
          <w:bCs/>
          <w:sz w:val="24"/>
        </w:rPr>
        <w:t>客服电话：95533</w:t>
      </w:r>
      <w:r>
        <w:rPr>
          <w:rFonts w:hint="eastAsia" w:ascii="宋体" w:hAnsi="宋体"/>
          <w:bCs/>
          <w:sz w:val="24"/>
        </w:rPr>
        <w:cr/>
      </w:r>
      <w:r>
        <w:rPr>
          <w:rFonts w:hint="eastAsia" w:ascii="宋体" w:hAnsi="宋体"/>
          <w:bCs/>
          <w:sz w:val="24"/>
        </w:rPr>
        <w:t>网址：www.ccb.com</w:t>
      </w:r>
      <w:r>
        <w:rPr>
          <w:rFonts w:hint="eastAsia" w:ascii="宋体" w:hAnsi="宋体"/>
          <w:bCs/>
          <w:sz w:val="24"/>
        </w:rPr>
        <w:cr/>
      </w:r>
      <w:r>
        <w:rPr>
          <w:rFonts w:hint="eastAsia" w:ascii="宋体" w:hAnsi="宋体"/>
          <w:bCs/>
          <w:sz w:val="24"/>
        </w:rPr>
        <w:t>（2）中国农业银行股份有限公司</w:t>
      </w:r>
      <w:r>
        <w:rPr>
          <w:rFonts w:hint="eastAsia" w:ascii="宋体" w:hAnsi="宋体"/>
          <w:bCs/>
          <w:sz w:val="24"/>
        </w:rPr>
        <w:cr/>
      </w:r>
      <w:r>
        <w:rPr>
          <w:rFonts w:hint="eastAsia" w:ascii="宋体" w:hAnsi="宋体"/>
          <w:bCs/>
          <w:sz w:val="24"/>
        </w:rPr>
        <w:t>注册地址：北京市东城区建国门内大街69号</w:t>
      </w:r>
      <w:r>
        <w:rPr>
          <w:rFonts w:hint="eastAsia" w:ascii="宋体" w:hAnsi="宋体"/>
          <w:bCs/>
          <w:sz w:val="24"/>
        </w:rPr>
        <w:cr/>
      </w:r>
      <w:r>
        <w:rPr>
          <w:rFonts w:hint="eastAsia" w:ascii="宋体" w:hAnsi="宋体"/>
          <w:bCs/>
          <w:sz w:val="24"/>
        </w:rPr>
        <w:t>办公地址：北京市东城区建国门内大街69号</w:t>
      </w:r>
      <w:r>
        <w:rPr>
          <w:rFonts w:hint="eastAsia" w:ascii="宋体" w:hAnsi="宋体"/>
          <w:bCs/>
          <w:sz w:val="24"/>
        </w:rPr>
        <w:cr/>
      </w:r>
      <w:r>
        <w:rPr>
          <w:rFonts w:hint="eastAsia" w:ascii="宋体" w:hAnsi="宋体"/>
          <w:bCs/>
          <w:sz w:val="24"/>
        </w:rPr>
        <w:t>法定代表人：周慕冰</w:t>
      </w:r>
      <w:r>
        <w:rPr>
          <w:rFonts w:hint="eastAsia" w:ascii="宋体" w:hAnsi="宋体"/>
          <w:bCs/>
          <w:sz w:val="24"/>
        </w:rPr>
        <w:cr/>
      </w:r>
      <w:r>
        <w:rPr>
          <w:rFonts w:hint="eastAsia" w:ascii="宋体" w:hAnsi="宋体"/>
          <w:bCs/>
          <w:sz w:val="24"/>
        </w:rPr>
        <w:t>客户服务电话：95599</w:t>
      </w:r>
      <w:r>
        <w:rPr>
          <w:rFonts w:hint="eastAsia" w:ascii="宋体" w:hAnsi="宋体"/>
          <w:bCs/>
          <w:sz w:val="24"/>
        </w:rPr>
        <w:cr/>
      </w:r>
      <w:r>
        <w:rPr>
          <w:rFonts w:hint="eastAsia" w:ascii="宋体" w:hAnsi="宋体"/>
          <w:bCs/>
          <w:sz w:val="24"/>
        </w:rPr>
        <w:t>公司网址：</w:t>
      </w:r>
      <w:r>
        <w:rPr>
          <w:rFonts w:ascii="宋体" w:hAnsi="宋体"/>
          <w:bCs/>
          <w:sz w:val="24"/>
        </w:rPr>
        <w:fldChar w:fldCharType="begin"/>
      </w:r>
      <w:r>
        <w:rPr>
          <w:rFonts w:ascii="宋体" w:hAnsi="宋体"/>
          <w:bCs/>
          <w:sz w:val="24"/>
        </w:rPr>
        <w:instrText xml:space="preserve"> HYPERLINK "http://</w:instrText>
      </w:r>
      <w:r>
        <w:rPr>
          <w:rFonts w:hint="eastAsia" w:ascii="宋体" w:hAnsi="宋体"/>
          <w:bCs/>
          <w:sz w:val="24"/>
        </w:rPr>
        <w:instrText xml:space="preserve">www.abchina.com</w:instrText>
      </w:r>
      <w:r>
        <w:rPr>
          <w:rFonts w:ascii="宋体" w:hAnsi="宋体"/>
          <w:bCs/>
          <w:sz w:val="24"/>
        </w:rPr>
        <w:instrText xml:space="preserve">" </w:instrText>
      </w:r>
      <w:r>
        <w:rPr>
          <w:rFonts w:ascii="宋体" w:hAnsi="宋体"/>
          <w:bCs/>
          <w:sz w:val="24"/>
        </w:rPr>
        <w:fldChar w:fldCharType="separate"/>
      </w:r>
      <w:r>
        <w:rPr>
          <w:rFonts w:hint="eastAsia" w:ascii="宋体" w:hAnsi="宋体"/>
          <w:sz w:val="24"/>
        </w:rPr>
        <w:t>www.abchina.com</w:t>
      </w:r>
      <w:r>
        <w:rPr>
          <w:rFonts w:ascii="宋体" w:hAnsi="宋体"/>
          <w:bCs/>
          <w:sz w:val="24"/>
        </w:rPr>
        <w:fldChar w:fldCharType="end"/>
      </w:r>
    </w:p>
    <w:p>
      <w:pPr>
        <w:spacing w:line="360" w:lineRule="auto"/>
        <w:ind w:left="424" w:leftChars="202" w:firstLine="52" w:firstLineChars="22"/>
        <w:rPr>
          <w:rFonts w:hint="eastAsia" w:ascii="宋体" w:hAnsi="宋体"/>
          <w:bCs/>
          <w:sz w:val="24"/>
        </w:rPr>
      </w:pPr>
      <w:r>
        <w:rPr>
          <w:rFonts w:hint="eastAsia" w:ascii="宋体" w:hAnsi="宋体"/>
          <w:bCs/>
          <w:sz w:val="24"/>
        </w:rPr>
        <w:t>（3）交通银行股份有限公司</w:t>
      </w:r>
      <w:r>
        <w:rPr>
          <w:rFonts w:hint="eastAsia" w:ascii="宋体" w:hAnsi="宋体"/>
          <w:bCs/>
          <w:sz w:val="24"/>
        </w:rPr>
        <w:cr/>
      </w:r>
      <w:r>
        <w:rPr>
          <w:rFonts w:hint="eastAsia" w:ascii="宋体" w:hAnsi="宋体"/>
          <w:bCs/>
          <w:sz w:val="24"/>
        </w:rPr>
        <w:t>办公地址：上海市浦东新区银城中路188号</w:t>
      </w:r>
      <w:r>
        <w:rPr>
          <w:rFonts w:hint="eastAsia" w:ascii="宋体" w:hAnsi="宋体"/>
          <w:bCs/>
          <w:sz w:val="24"/>
        </w:rPr>
        <w:cr/>
      </w:r>
      <w:r>
        <w:rPr>
          <w:rFonts w:hint="eastAsia" w:ascii="宋体" w:hAnsi="宋体"/>
          <w:bCs/>
          <w:sz w:val="24"/>
        </w:rPr>
        <w:t>法定代表人：彭纯</w:t>
      </w:r>
      <w:r>
        <w:rPr>
          <w:rFonts w:hint="eastAsia" w:ascii="宋体" w:hAnsi="宋体"/>
          <w:bCs/>
          <w:sz w:val="24"/>
        </w:rPr>
        <w:cr/>
      </w:r>
      <w:r>
        <w:rPr>
          <w:rFonts w:hint="eastAsia" w:ascii="宋体" w:hAnsi="宋体"/>
          <w:bCs/>
          <w:sz w:val="24"/>
        </w:rPr>
        <w:t>客服电话：95559</w:t>
      </w:r>
      <w:r>
        <w:rPr>
          <w:rFonts w:hint="eastAsia" w:ascii="宋体" w:hAnsi="宋体"/>
          <w:bCs/>
          <w:sz w:val="24"/>
        </w:rPr>
        <w:cr/>
      </w:r>
      <w:r>
        <w:rPr>
          <w:rFonts w:hint="eastAsia" w:ascii="宋体" w:hAnsi="宋体"/>
          <w:bCs/>
          <w:sz w:val="24"/>
        </w:rPr>
        <w:t>网址：www.95559.com.cn</w:t>
      </w:r>
      <w:r>
        <w:rPr>
          <w:rFonts w:hint="eastAsia" w:ascii="宋体" w:hAnsi="宋体"/>
          <w:bCs/>
          <w:sz w:val="24"/>
        </w:rPr>
        <w:cr/>
      </w:r>
      <w:r>
        <w:rPr>
          <w:rFonts w:hint="eastAsia" w:ascii="宋体" w:hAnsi="宋体"/>
          <w:bCs/>
          <w:sz w:val="24"/>
        </w:rPr>
        <w:t>（4）中信银行股份有限公司</w:t>
      </w:r>
      <w:r>
        <w:rPr>
          <w:rFonts w:hint="eastAsia" w:ascii="宋体" w:hAnsi="宋体"/>
          <w:bCs/>
          <w:sz w:val="24"/>
        </w:rPr>
        <w:cr/>
      </w:r>
      <w:r>
        <w:rPr>
          <w:rFonts w:hint="eastAsia" w:ascii="宋体" w:hAnsi="宋体"/>
          <w:bCs/>
          <w:sz w:val="24"/>
        </w:rPr>
        <w:t>住所：北京市东城区朝阳门北大街富华大厦C座</w:t>
      </w:r>
      <w:r>
        <w:rPr>
          <w:rFonts w:hint="eastAsia" w:ascii="宋体" w:hAnsi="宋体"/>
          <w:bCs/>
          <w:sz w:val="24"/>
        </w:rPr>
        <w:cr/>
      </w:r>
      <w:r>
        <w:rPr>
          <w:rFonts w:hint="eastAsia" w:ascii="宋体" w:hAnsi="宋体"/>
          <w:bCs/>
          <w:sz w:val="24"/>
        </w:rPr>
        <w:t>办公地址：北京市东城区朝阳门北大街富华大厦C座</w:t>
      </w:r>
      <w:r>
        <w:rPr>
          <w:rFonts w:hint="eastAsia" w:ascii="宋体" w:hAnsi="宋体"/>
          <w:bCs/>
          <w:sz w:val="24"/>
        </w:rPr>
        <w:cr/>
      </w:r>
      <w:r>
        <w:rPr>
          <w:rFonts w:hint="eastAsia" w:ascii="宋体" w:hAnsi="宋体"/>
          <w:bCs/>
          <w:sz w:val="24"/>
        </w:rPr>
        <w:t>法定代表人：李庆萍</w:t>
      </w:r>
      <w:r>
        <w:rPr>
          <w:rFonts w:hint="eastAsia" w:ascii="宋体" w:hAnsi="宋体"/>
          <w:bCs/>
          <w:sz w:val="24"/>
        </w:rPr>
        <w:cr/>
      </w:r>
      <w:r>
        <w:rPr>
          <w:rFonts w:hint="eastAsia" w:ascii="宋体" w:hAnsi="宋体"/>
          <w:bCs/>
          <w:sz w:val="24"/>
        </w:rPr>
        <w:t>客服电话：95558</w:t>
      </w:r>
      <w:r>
        <w:rPr>
          <w:rFonts w:hint="eastAsia" w:ascii="宋体" w:hAnsi="宋体"/>
          <w:bCs/>
          <w:sz w:val="24"/>
        </w:rPr>
        <w:cr/>
      </w:r>
      <w:r>
        <w:rPr>
          <w:rFonts w:hint="eastAsia" w:ascii="宋体" w:hAnsi="宋体"/>
          <w:bCs/>
          <w:sz w:val="24"/>
        </w:rPr>
        <w:t>网址：bank.ecitic.com</w:t>
      </w:r>
      <w:r>
        <w:rPr>
          <w:rFonts w:hint="eastAsia" w:ascii="宋体" w:hAnsi="宋体"/>
          <w:bCs/>
          <w:sz w:val="24"/>
        </w:rPr>
        <w:cr/>
      </w:r>
      <w:r>
        <w:rPr>
          <w:rFonts w:hint="eastAsia" w:ascii="宋体" w:hAnsi="宋体"/>
          <w:bCs/>
          <w:sz w:val="24"/>
        </w:rPr>
        <w:t>（5）中国民生银行股份有限公司</w:t>
      </w:r>
      <w:r>
        <w:rPr>
          <w:rFonts w:hint="eastAsia" w:ascii="宋体" w:hAnsi="宋体"/>
          <w:bCs/>
          <w:sz w:val="24"/>
        </w:rPr>
        <w:cr/>
      </w:r>
      <w:r>
        <w:rPr>
          <w:rFonts w:hint="eastAsia" w:ascii="宋体" w:hAnsi="宋体"/>
          <w:bCs/>
          <w:sz w:val="24"/>
        </w:rPr>
        <w:t>注册地址：北京市西城区复兴门内大街2号</w:t>
      </w:r>
      <w:r>
        <w:rPr>
          <w:rFonts w:hint="eastAsia" w:ascii="宋体" w:hAnsi="宋体"/>
          <w:bCs/>
          <w:sz w:val="24"/>
        </w:rPr>
        <w:cr/>
      </w:r>
      <w:r>
        <w:rPr>
          <w:rFonts w:hint="eastAsia" w:ascii="宋体" w:hAnsi="宋体"/>
          <w:bCs/>
          <w:sz w:val="24"/>
        </w:rPr>
        <w:t>法定代表人：洪琦</w:t>
      </w:r>
      <w:r>
        <w:rPr>
          <w:rFonts w:hint="eastAsia" w:ascii="宋体" w:hAnsi="宋体"/>
          <w:bCs/>
          <w:sz w:val="24"/>
        </w:rPr>
        <w:cr/>
      </w:r>
      <w:r>
        <w:rPr>
          <w:rFonts w:hint="eastAsia" w:ascii="宋体" w:hAnsi="宋体"/>
          <w:bCs/>
          <w:sz w:val="24"/>
        </w:rPr>
        <w:t>传真：010-83914283</w:t>
      </w:r>
      <w:r>
        <w:rPr>
          <w:rFonts w:hint="eastAsia" w:ascii="宋体" w:hAnsi="宋体"/>
          <w:bCs/>
          <w:sz w:val="24"/>
        </w:rPr>
        <w:cr/>
      </w:r>
      <w:r>
        <w:rPr>
          <w:rFonts w:hint="eastAsia" w:ascii="宋体" w:hAnsi="宋体"/>
          <w:bCs/>
          <w:sz w:val="24"/>
        </w:rPr>
        <w:t>客户服务电话：95568</w:t>
      </w:r>
      <w:r>
        <w:rPr>
          <w:rFonts w:hint="eastAsia" w:ascii="宋体" w:hAnsi="宋体"/>
          <w:bCs/>
          <w:sz w:val="24"/>
        </w:rPr>
        <w:cr/>
      </w:r>
      <w:r>
        <w:rPr>
          <w:rFonts w:hint="eastAsia" w:ascii="宋体" w:hAnsi="宋体"/>
          <w:bCs/>
          <w:sz w:val="24"/>
        </w:rPr>
        <w:t>公司网站：</w:t>
      </w:r>
      <w:r>
        <w:rPr>
          <w:rFonts w:ascii="宋体" w:hAnsi="宋体"/>
          <w:bCs/>
          <w:sz w:val="24"/>
        </w:rPr>
        <w:fldChar w:fldCharType="begin"/>
      </w:r>
      <w:r>
        <w:rPr>
          <w:rFonts w:ascii="宋体" w:hAnsi="宋体"/>
          <w:bCs/>
          <w:sz w:val="24"/>
        </w:rPr>
        <w:instrText xml:space="preserve"> HYPERLINK "http://</w:instrText>
      </w:r>
      <w:r>
        <w:rPr>
          <w:rFonts w:hint="eastAsia" w:ascii="宋体" w:hAnsi="宋体"/>
          <w:bCs/>
          <w:sz w:val="24"/>
        </w:rPr>
        <w:instrText xml:space="preserve">www.cmbc.com.cn</w:instrText>
      </w:r>
      <w:r>
        <w:rPr>
          <w:rFonts w:ascii="宋体" w:hAnsi="宋体"/>
          <w:bCs/>
          <w:sz w:val="24"/>
        </w:rPr>
        <w:instrText xml:space="preserve">" </w:instrText>
      </w:r>
      <w:r>
        <w:rPr>
          <w:rFonts w:ascii="宋体" w:hAnsi="宋体"/>
          <w:bCs/>
          <w:sz w:val="24"/>
        </w:rPr>
        <w:fldChar w:fldCharType="separate"/>
      </w:r>
      <w:r>
        <w:rPr>
          <w:rFonts w:hint="eastAsia" w:ascii="宋体" w:hAnsi="宋体"/>
          <w:sz w:val="24"/>
        </w:rPr>
        <w:t>www.cmbc.com.cn</w:t>
      </w:r>
      <w:r>
        <w:rPr>
          <w:rFonts w:ascii="宋体" w:hAnsi="宋体"/>
          <w:bCs/>
          <w:sz w:val="24"/>
        </w:rPr>
        <w:fldChar w:fldCharType="end"/>
      </w:r>
    </w:p>
    <w:p>
      <w:pPr>
        <w:spacing w:line="360" w:lineRule="auto"/>
        <w:ind w:left="424" w:leftChars="202" w:firstLine="52" w:firstLineChars="22"/>
        <w:rPr>
          <w:rFonts w:hint="eastAsia" w:ascii="宋体" w:hAnsi="宋体"/>
          <w:bCs/>
          <w:sz w:val="24"/>
        </w:rPr>
      </w:pPr>
      <w:r>
        <w:rPr>
          <w:rFonts w:hint="eastAsia" w:ascii="宋体" w:hAnsi="宋体"/>
          <w:bCs/>
          <w:sz w:val="24"/>
        </w:rPr>
        <w:t>（6）招商银行股份有限公司</w:t>
      </w:r>
      <w:r>
        <w:rPr>
          <w:rFonts w:hint="eastAsia" w:ascii="宋体" w:hAnsi="宋体"/>
          <w:bCs/>
          <w:sz w:val="24"/>
        </w:rPr>
        <w:cr/>
      </w:r>
      <w:r>
        <w:rPr>
          <w:rFonts w:hint="eastAsia" w:ascii="宋体" w:hAnsi="宋体"/>
          <w:bCs/>
          <w:sz w:val="24"/>
        </w:rPr>
        <w:t>注册地址：深圳市深南大道7088号招商银行大厦</w:t>
      </w:r>
      <w:r>
        <w:rPr>
          <w:rFonts w:hint="eastAsia" w:ascii="宋体" w:hAnsi="宋体"/>
          <w:bCs/>
          <w:sz w:val="24"/>
        </w:rPr>
        <w:cr/>
      </w:r>
      <w:r>
        <w:rPr>
          <w:rFonts w:hint="eastAsia" w:ascii="宋体" w:hAnsi="宋体"/>
          <w:bCs/>
          <w:sz w:val="24"/>
        </w:rPr>
        <w:t>法定代表人：李建红</w:t>
      </w:r>
      <w:r>
        <w:rPr>
          <w:rFonts w:hint="eastAsia" w:ascii="宋体" w:hAnsi="宋体"/>
          <w:bCs/>
          <w:sz w:val="24"/>
        </w:rPr>
        <w:cr/>
      </w:r>
      <w:r>
        <w:rPr>
          <w:rFonts w:hint="eastAsia" w:ascii="宋体" w:hAnsi="宋体"/>
          <w:bCs/>
          <w:sz w:val="24"/>
        </w:rPr>
        <w:t>客户服务电话：95555</w:t>
      </w:r>
      <w:r>
        <w:rPr>
          <w:rFonts w:hint="eastAsia" w:ascii="宋体" w:hAnsi="宋体"/>
          <w:bCs/>
          <w:sz w:val="24"/>
        </w:rPr>
        <w:cr/>
      </w:r>
      <w:r>
        <w:rPr>
          <w:rFonts w:hint="eastAsia" w:ascii="宋体" w:hAnsi="宋体"/>
          <w:bCs/>
          <w:sz w:val="24"/>
        </w:rPr>
        <w:t>传真：0755-83195049</w:t>
      </w:r>
      <w:r>
        <w:rPr>
          <w:rFonts w:hint="eastAsia" w:ascii="宋体" w:hAnsi="宋体"/>
          <w:bCs/>
          <w:sz w:val="24"/>
        </w:rPr>
        <w:cr/>
      </w:r>
      <w:r>
        <w:rPr>
          <w:rFonts w:hint="eastAsia" w:ascii="宋体" w:hAnsi="宋体"/>
          <w:bCs/>
          <w:sz w:val="24"/>
        </w:rPr>
        <w:t>网址：www.cmbchina.com</w:t>
      </w:r>
      <w:r>
        <w:rPr>
          <w:rFonts w:hint="eastAsia" w:ascii="宋体" w:hAnsi="宋体"/>
          <w:bCs/>
          <w:sz w:val="24"/>
        </w:rPr>
        <w:cr/>
      </w:r>
      <w:r>
        <w:rPr>
          <w:rFonts w:hint="eastAsia" w:ascii="宋体" w:hAnsi="宋体"/>
          <w:bCs/>
          <w:sz w:val="24"/>
        </w:rPr>
        <w:t xml:space="preserve">（7）渤海银行股份有限公司 </w:t>
      </w:r>
    </w:p>
    <w:p>
      <w:pPr>
        <w:spacing w:line="360" w:lineRule="auto"/>
        <w:ind w:left="424" w:leftChars="202" w:firstLine="52" w:firstLineChars="22"/>
        <w:rPr>
          <w:rFonts w:hint="eastAsia" w:ascii="宋体" w:hAnsi="宋体"/>
          <w:bCs/>
          <w:sz w:val="24"/>
        </w:rPr>
      </w:pPr>
      <w:r>
        <w:rPr>
          <w:rFonts w:hint="eastAsia" w:ascii="宋体" w:hAnsi="宋体"/>
          <w:bCs/>
          <w:sz w:val="24"/>
        </w:rPr>
        <w:t>注册地址：天津市河西区马场道201-205号</w:t>
      </w:r>
    </w:p>
    <w:p>
      <w:pPr>
        <w:spacing w:line="360" w:lineRule="auto"/>
        <w:ind w:left="424" w:leftChars="202" w:firstLine="52" w:firstLineChars="22"/>
        <w:rPr>
          <w:rFonts w:hint="eastAsia" w:ascii="宋体" w:hAnsi="宋体"/>
          <w:bCs/>
          <w:sz w:val="24"/>
        </w:rPr>
      </w:pPr>
      <w:r>
        <w:rPr>
          <w:rFonts w:hint="eastAsia" w:ascii="宋体" w:hAnsi="宋体"/>
          <w:bCs/>
          <w:sz w:val="24"/>
        </w:rPr>
        <w:t xml:space="preserve">办公地址：天津市河东区海河东路218号 </w:t>
      </w:r>
    </w:p>
    <w:p>
      <w:pPr>
        <w:spacing w:line="360" w:lineRule="auto"/>
        <w:ind w:left="424" w:leftChars="202" w:firstLine="52" w:firstLineChars="22"/>
        <w:rPr>
          <w:rFonts w:hint="eastAsia" w:ascii="宋体" w:hAnsi="宋体"/>
          <w:bCs/>
          <w:sz w:val="24"/>
        </w:rPr>
      </w:pPr>
      <w:r>
        <w:rPr>
          <w:rFonts w:hint="eastAsia" w:ascii="宋体" w:hAnsi="宋体"/>
          <w:bCs/>
          <w:sz w:val="24"/>
        </w:rPr>
        <w:t>法定代表人： 李伏安</w:t>
      </w:r>
    </w:p>
    <w:p>
      <w:pPr>
        <w:spacing w:line="360" w:lineRule="auto"/>
        <w:ind w:left="424" w:leftChars="202" w:firstLine="52" w:firstLineChars="22"/>
        <w:rPr>
          <w:rFonts w:hint="eastAsia" w:ascii="宋体" w:hAnsi="宋体"/>
          <w:bCs/>
          <w:sz w:val="24"/>
        </w:rPr>
      </w:pPr>
      <w:r>
        <w:rPr>
          <w:rFonts w:hint="eastAsia" w:ascii="宋体" w:hAnsi="宋体"/>
          <w:bCs/>
          <w:sz w:val="24"/>
        </w:rPr>
        <w:t>客服电话：95541</w:t>
      </w:r>
    </w:p>
    <w:p>
      <w:pPr>
        <w:spacing w:line="360" w:lineRule="auto"/>
        <w:ind w:left="424" w:leftChars="202" w:firstLine="52" w:firstLineChars="22"/>
        <w:rPr>
          <w:rFonts w:hint="eastAsia" w:ascii="宋体" w:hAnsi="宋体"/>
          <w:bCs/>
          <w:sz w:val="24"/>
        </w:rPr>
      </w:pPr>
      <w:r>
        <w:rPr>
          <w:rFonts w:hint="eastAsia" w:ascii="宋体" w:hAnsi="宋体"/>
          <w:bCs/>
          <w:sz w:val="24"/>
        </w:rPr>
        <w:t>（8）宁波银行股份有限公司</w:t>
      </w:r>
    </w:p>
    <w:p>
      <w:pPr>
        <w:spacing w:line="360" w:lineRule="auto"/>
        <w:ind w:left="424" w:leftChars="202" w:firstLine="52" w:firstLineChars="22"/>
        <w:rPr>
          <w:rFonts w:hint="eastAsia" w:ascii="宋体" w:hAnsi="宋体"/>
          <w:bCs/>
          <w:sz w:val="24"/>
        </w:rPr>
      </w:pPr>
      <w:r>
        <w:rPr>
          <w:rFonts w:hint="eastAsia" w:ascii="宋体" w:hAnsi="宋体"/>
          <w:bCs/>
          <w:sz w:val="24"/>
        </w:rPr>
        <w:t>注册地址：宁波市鄞州区宁南南路700号</w:t>
      </w:r>
    </w:p>
    <w:p>
      <w:pPr>
        <w:spacing w:line="360" w:lineRule="auto"/>
        <w:ind w:left="424" w:leftChars="202" w:firstLine="52" w:firstLineChars="22"/>
        <w:rPr>
          <w:rFonts w:hint="eastAsia" w:ascii="宋体" w:hAnsi="宋体"/>
          <w:bCs/>
          <w:sz w:val="24"/>
        </w:rPr>
      </w:pPr>
      <w:r>
        <w:rPr>
          <w:rFonts w:hint="eastAsia" w:ascii="宋体" w:hAnsi="宋体"/>
          <w:bCs/>
          <w:sz w:val="24"/>
        </w:rPr>
        <w:t>法定代表人：陆华裕</w:t>
      </w:r>
    </w:p>
    <w:p>
      <w:pPr>
        <w:spacing w:line="360" w:lineRule="auto"/>
        <w:ind w:left="424" w:leftChars="202" w:firstLine="52" w:firstLineChars="22"/>
        <w:rPr>
          <w:rFonts w:hint="eastAsia" w:ascii="宋体" w:hAnsi="宋体"/>
          <w:bCs/>
          <w:sz w:val="24"/>
        </w:rPr>
      </w:pPr>
      <w:r>
        <w:rPr>
          <w:rFonts w:hint="eastAsia" w:ascii="宋体" w:hAnsi="宋体"/>
          <w:bCs/>
          <w:sz w:val="24"/>
        </w:rPr>
        <w:t>客户客服电话：95574</w:t>
      </w:r>
    </w:p>
    <w:p>
      <w:pPr>
        <w:spacing w:line="360" w:lineRule="auto"/>
        <w:ind w:left="424" w:leftChars="202" w:firstLine="52" w:firstLineChars="22"/>
        <w:rPr>
          <w:rFonts w:hint="eastAsia" w:ascii="宋体" w:hAnsi="宋体"/>
          <w:bCs/>
          <w:sz w:val="24"/>
        </w:rPr>
      </w:pPr>
      <w:r>
        <w:rPr>
          <w:rFonts w:hint="eastAsia" w:ascii="宋体" w:hAnsi="宋体"/>
          <w:bCs/>
          <w:sz w:val="24"/>
        </w:rPr>
        <w:t>网址：</w:t>
      </w:r>
      <w:r>
        <w:rPr>
          <w:rFonts w:ascii="宋体" w:hAnsi="宋体"/>
          <w:bCs/>
          <w:sz w:val="24"/>
        </w:rPr>
        <w:fldChar w:fldCharType="begin"/>
      </w:r>
      <w:r>
        <w:rPr>
          <w:rFonts w:ascii="宋体" w:hAnsi="宋体"/>
          <w:bCs/>
          <w:sz w:val="24"/>
        </w:rPr>
        <w:instrText xml:space="preserve"> HYPERLINK "http://</w:instrText>
      </w:r>
      <w:r>
        <w:rPr>
          <w:rFonts w:hint="eastAsia" w:ascii="宋体" w:hAnsi="宋体"/>
          <w:bCs/>
          <w:sz w:val="24"/>
        </w:rPr>
        <w:instrText xml:space="preserve">www.nbcb.com.cn</w:instrText>
      </w:r>
      <w:r>
        <w:rPr>
          <w:rFonts w:ascii="宋体" w:hAnsi="宋体"/>
          <w:bCs/>
          <w:sz w:val="24"/>
        </w:rPr>
        <w:instrText xml:space="preserve">" </w:instrText>
      </w:r>
      <w:r>
        <w:rPr>
          <w:rFonts w:ascii="宋体" w:hAnsi="宋体"/>
          <w:bCs/>
          <w:sz w:val="24"/>
        </w:rPr>
        <w:fldChar w:fldCharType="separate"/>
      </w:r>
      <w:r>
        <w:rPr>
          <w:rFonts w:hint="eastAsia" w:ascii="宋体" w:hAnsi="宋体"/>
          <w:sz w:val="24"/>
        </w:rPr>
        <w:t>www.nbcb.com.cn</w:t>
      </w:r>
      <w:r>
        <w:rPr>
          <w:rFonts w:ascii="宋体" w:hAnsi="宋体"/>
          <w:bCs/>
          <w:sz w:val="24"/>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深圳市新兰德证券投资咨询有限公司</w:t>
      </w:r>
    </w:p>
    <w:p>
      <w:pPr>
        <w:spacing w:line="360" w:lineRule="auto"/>
        <w:ind w:firstLine="540" w:firstLineChars="225"/>
        <w:rPr>
          <w:sz w:val="24"/>
          <w:szCs w:val="20"/>
        </w:rPr>
      </w:pPr>
      <w:r>
        <w:rPr>
          <w:rFonts w:hint="eastAsia"/>
          <w:sz w:val="24"/>
          <w:szCs w:val="20"/>
        </w:rPr>
        <w:t>注册地址：深圳市福田区华强北路赛格科技园4栋10层1006#</w:t>
      </w:r>
    </w:p>
    <w:p>
      <w:pPr>
        <w:spacing w:line="360" w:lineRule="auto"/>
        <w:ind w:firstLine="540" w:firstLineChars="225"/>
        <w:rPr>
          <w:sz w:val="24"/>
          <w:szCs w:val="20"/>
        </w:rPr>
      </w:pPr>
      <w:r>
        <w:rPr>
          <w:sz w:val="24"/>
          <w:szCs w:val="20"/>
        </w:rPr>
        <w:t>法定代表人：</w:t>
      </w:r>
      <w:r>
        <w:rPr>
          <w:rFonts w:hint="eastAsia"/>
          <w:sz w:val="24"/>
          <w:szCs w:val="20"/>
        </w:rPr>
        <w:t>马勇</w:t>
      </w:r>
    </w:p>
    <w:p>
      <w:pPr>
        <w:spacing w:line="360" w:lineRule="auto"/>
        <w:ind w:firstLine="540" w:firstLineChars="225"/>
        <w:rPr>
          <w:sz w:val="24"/>
          <w:szCs w:val="20"/>
        </w:rPr>
      </w:pPr>
      <w:r>
        <w:rPr>
          <w:rFonts w:hint="eastAsia"/>
          <w:sz w:val="24"/>
          <w:szCs w:val="20"/>
        </w:rPr>
        <w:t>客户服务热线：</w:t>
      </w:r>
      <w:r>
        <w:rPr>
          <w:sz w:val="24"/>
          <w:szCs w:val="20"/>
        </w:rPr>
        <w:t>400-166-1188</w:t>
      </w:r>
    </w:p>
    <w:p>
      <w:pPr>
        <w:spacing w:line="360" w:lineRule="auto"/>
        <w:ind w:firstLine="540" w:firstLineChars="225"/>
        <w:rPr>
          <w:sz w:val="24"/>
          <w:szCs w:val="20"/>
        </w:rPr>
      </w:pPr>
      <w:r>
        <w:rPr>
          <w:rFonts w:hint="eastAsia"/>
          <w:sz w:val="24"/>
          <w:szCs w:val="20"/>
        </w:rPr>
        <w:t>网址：</w:t>
      </w:r>
      <w:r>
        <w:rPr>
          <w:sz w:val="24"/>
          <w:szCs w:val="20"/>
        </w:rPr>
        <w:t>http://www.jrj.com.cn/</w:t>
      </w:r>
    </w:p>
    <w:p>
      <w:pPr>
        <w:pStyle w:val="52"/>
        <w:numPr>
          <w:ilvl w:val="0"/>
          <w:numId w:val="3"/>
        </w:numPr>
        <w:suppressAutoHyphens w:val="0"/>
        <w:spacing w:line="360" w:lineRule="auto"/>
        <w:ind w:firstLineChars="0"/>
        <w:rPr>
          <w:sz w:val="24"/>
          <w:szCs w:val="20"/>
        </w:rPr>
      </w:pPr>
      <w:r>
        <w:rPr>
          <w:rFonts w:hint="eastAsia"/>
          <w:sz w:val="24"/>
          <w:szCs w:val="20"/>
        </w:rPr>
        <w:t>和讯信息科技有限公司</w:t>
      </w:r>
    </w:p>
    <w:p>
      <w:pPr>
        <w:spacing w:line="360" w:lineRule="auto"/>
        <w:ind w:firstLine="540" w:firstLineChars="225"/>
        <w:rPr>
          <w:sz w:val="24"/>
          <w:szCs w:val="20"/>
        </w:rPr>
      </w:pPr>
      <w:r>
        <w:rPr>
          <w:rFonts w:hint="eastAsia"/>
          <w:sz w:val="24"/>
          <w:szCs w:val="20"/>
        </w:rPr>
        <w:t>注册地址：北京市朝阳区朝外大街</w:t>
      </w:r>
      <w:r>
        <w:rPr>
          <w:sz w:val="24"/>
          <w:szCs w:val="20"/>
        </w:rPr>
        <w:t>22</w:t>
      </w:r>
      <w:r>
        <w:rPr>
          <w:rFonts w:hint="eastAsia"/>
          <w:sz w:val="24"/>
          <w:szCs w:val="20"/>
        </w:rPr>
        <w:t>号泛利大厦</w:t>
      </w:r>
      <w:r>
        <w:rPr>
          <w:sz w:val="24"/>
          <w:szCs w:val="20"/>
        </w:rPr>
        <w:t>10</w:t>
      </w:r>
      <w:r>
        <w:rPr>
          <w:rFonts w:hint="eastAsia"/>
          <w:sz w:val="24"/>
          <w:szCs w:val="20"/>
        </w:rPr>
        <w:t>层</w:t>
      </w:r>
    </w:p>
    <w:p>
      <w:pPr>
        <w:spacing w:line="360" w:lineRule="auto"/>
        <w:ind w:firstLine="540" w:firstLineChars="225"/>
        <w:rPr>
          <w:sz w:val="24"/>
          <w:szCs w:val="20"/>
        </w:rPr>
      </w:pPr>
      <w:r>
        <w:rPr>
          <w:rFonts w:hint="eastAsia"/>
          <w:sz w:val="24"/>
          <w:szCs w:val="20"/>
        </w:rPr>
        <w:t>法定代表人：王莉</w:t>
      </w:r>
    </w:p>
    <w:p>
      <w:pPr>
        <w:spacing w:line="360" w:lineRule="auto"/>
        <w:ind w:firstLine="540" w:firstLineChars="225"/>
        <w:rPr>
          <w:sz w:val="24"/>
          <w:szCs w:val="20"/>
        </w:rPr>
      </w:pPr>
      <w:r>
        <w:rPr>
          <w:rFonts w:hint="eastAsia"/>
          <w:sz w:val="24"/>
          <w:szCs w:val="20"/>
        </w:rPr>
        <w:t>客户服务电话</w:t>
      </w:r>
      <w:r>
        <w:rPr>
          <w:sz w:val="24"/>
          <w:szCs w:val="20"/>
        </w:rPr>
        <w:t>: 4009200022</w:t>
      </w:r>
    </w:p>
    <w:p>
      <w:pPr>
        <w:spacing w:line="360" w:lineRule="auto"/>
        <w:ind w:firstLine="540" w:firstLineChars="225"/>
        <w:rPr>
          <w:sz w:val="24"/>
          <w:szCs w:val="20"/>
        </w:rPr>
      </w:pPr>
      <w:r>
        <w:rPr>
          <w:rFonts w:hint="eastAsia"/>
          <w:sz w:val="24"/>
          <w:szCs w:val="20"/>
        </w:rPr>
        <w:t>网址：www.</w:t>
      </w:r>
      <w:r>
        <w:rPr>
          <w:sz w:val="24"/>
          <w:szCs w:val="20"/>
        </w:rPr>
        <w:t xml:space="preserve"> Licaike.com</w:t>
      </w:r>
    </w:p>
    <w:p>
      <w:pPr>
        <w:pStyle w:val="52"/>
        <w:numPr>
          <w:ilvl w:val="0"/>
          <w:numId w:val="3"/>
        </w:numPr>
        <w:suppressAutoHyphens w:val="0"/>
        <w:spacing w:line="360" w:lineRule="auto"/>
        <w:ind w:firstLineChars="0"/>
        <w:rPr>
          <w:sz w:val="24"/>
          <w:szCs w:val="20"/>
        </w:rPr>
      </w:pPr>
      <w:r>
        <w:rPr>
          <w:rFonts w:hint="eastAsia"/>
          <w:sz w:val="24"/>
          <w:szCs w:val="20"/>
        </w:rPr>
        <w:t>上海挖财基金销售有限公司</w:t>
      </w:r>
    </w:p>
    <w:p>
      <w:pPr>
        <w:spacing w:line="360" w:lineRule="auto"/>
        <w:ind w:left="480"/>
        <w:rPr>
          <w:sz w:val="24"/>
          <w:szCs w:val="20"/>
        </w:rPr>
      </w:pPr>
      <w:r>
        <w:rPr>
          <w:rFonts w:hint="eastAsia"/>
          <w:sz w:val="24"/>
          <w:szCs w:val="20"/>
        </w:rPr>
        <w:t>注册地址：中国（上海）自由贸易试验区杨高南路799号5层01、02、03室</w:t>
      </w:r>
    </w:p>
    <w:p>
      <w:pPr>
        <w:spacing w:line="360" w:lineRule="auto"/>
        <w:ind w:firstLine="540" w:firstLineChars="225"/>
        <w:rPr>
          <w:sz w:val="24"/>
          <w:szCs w:val="20"/>
        </w:rPr>
      </w:pPr>
      <w:r>
        <w:rPr>
          <w:rFonts w:hint="eastAsia"/>
          <w:sz w:val="24"/>
          <w:szCs w:val="20"/>
        </w:rPr>
        <w:t>法定代表人：冷飞</w:t>
      </w:r>
      <w:r>
        <w:rPr>
          <w:sz w:val="24"/>
          <w:szCs w:val="20"/>
        </w:rPr>
        <w:t xml:space="preserve"> </w:t>
      </w:r>
    </w:p>
    <w:p>
      <w:pPr>
        <w:spacing w:line="360" w:lineRule="auto"/>
        <w:ind w:firstLine="540" w:firstLineChars="225"/>
        <w:rPr>
          <w:sz w:val="24"/>
          <w:szCs w:val="20"/>
        </w:rPr>
      </w:pPr>
      <w:r>
        <w:rPr>
          <w:rFonts w:hint="eastAsia"/>
          <w:sz w:val="24"/>
          <w:szCs w:val="20"/>
        </w:rPr>
        <w:t>客户服务热线：</w:t>
      </w:r>
      <w:r>
        <w:rPr>
          <w:sz w:val="24"/>
          <w:szCs w:val="20"/>
        </w:rPr>
        <w:t>021-50810673</w:t>
      </w:r>
    </w:p>
    <w:p>
      <w:pPr>
        <w:spacing w:line="360" w:lineRule="auto"/>
        <w:ind w:firstLine="540" w:firstLineChars="225"/>
        <w:rPr>
          <w:sz w:val="24"/>
          <w:szCs w:val="20"/>
        </w:rPr>
      </w:pPr>
      <w:r>
        <w:rPr>
          <w:rFonts w:hint="eastAsia"/>
          <w:sz w:val="24"/>
          <w:szCs w:val="20"/>
        </w:rPr>
        <w:t>网址：http:// www.wacaijijin.com</w:t>
      </w:r>
    </w:p>
    <w:p>
      <w:pPr>
        <w:pStyle w:val="52"/>
        <w:numPr>
          <w:ilvl w:val="0"/>
          <w:numId w:val="3"/>
        </w:numPr>
        <w:suppressAutoHyphens w:val="0"/>
        <w:spacing w:line="360" w:lineRule="auto"/>
        <w:ind w:firstLineChars="0"/>
        <w:rPr>
          <w:sz w:val="24"/>
          <w:szCs w:val="20"/>
        </w:rPr>
      </w:pPr>
      <w:r>
        <w:rPr>
          <w:rFonts w:hint="eastAsia"/>
          <w:sz w:val="24"/>
          <w:szCs w:val="20"/>
        </w:rPr>
        <w:t>北京百度百盈基金销售有限公司</w:t>
      </w:r>
    </w:p>
    <w:p>
      <w:pPr>
        <w:spacing w:line="360" w:lineRule="auto"/>
        <w:ind w:left="480"/>
        <w:rPr>
          <w:sz w:val="24"/>
          <w:szCs w:val="20"/>
        </w:rPr>
      </w:pPr>
      <w:r>
        <w:rPr>
          <w:rFonts w:hint="eastAsia"/>
          <w:sz w:val="24"/>
          <w:szCs w:val="20"/>
        </w:rPr>
        <w:t>注册地址：北京市海淀区上地十街10号1幢1层101</w:t>
      </w:r>
    </w:p>
    <w:p>
      <w:pPr>
        <w:spacing w:line="360" w:lineRule="auto"/>
        <w:ind w:left="480"/>
        <w:rPr>
          <w:sz w:val="24"/>
          <w:szCs w:val="20"/>
        </w:rPr>
      </w:pPr>
      <w:r>
        <w:rPr>
          <w:rFonts w:hint="eastAsia"/>
          <w:sz w:val="24"/>
          <w:szCs w:val="20"/>
        </w:rPr>
        <w:t>法定代表人：张旭阳</w:t>
      </w:r>
    </w:p>
    <w:p>
      <w:pPr>
        <w:spacing w:line="360" w:lineRule="auto"/>
        <w:ind w:left="480"/>
        <w:rPr>
          <w:sz w:val="24"/>
          <w:szCs w:val="20"/>
        </w:rPr>
      </w:pPr>
      <w:r>
        <w:rPr>
          <w:rFonts w:hint="eastAsia"/>
          <w:sz w:val="24"/>
          <w:szCs w:val="20"/>
        </w:rPr>
        <w:t>客户服务热线：95055-9</w:t>
      </w:r>
    </w:p>
    <w:p>
      <w:pPr>
        <w:spacing w:line="360" w:lineRule="auto"/>
        <w:ind w:left="480"/>
        <w:rPr>
          <w:sz w:val="24"/>
          <w:szCs w:val="20"/>
        </w:rPr>
      </w:pPr>
      <w:r>
        <w:rPr>
          <w:rFonts w:hint="eastAsia"/>
          <w:sz w:val="24"/>
          <w:szCs w:val="20"/>
        </w:rPr>
        <w:t>网址：https://www.baiyingfund.com/</w:t>
      </w:r>
    </w:p>
    <w:p>
      <w:pPr>
        <w:pStyle w:val="52"/>
        <w:numPr>
          <w:ilvl w:val="0"/>
          <w:numId w:val="3"/>
        </w:numPr>
        <w:suppressAutoHyphens w:val="0"/>
        <w:spacing w:line="360" w:lineRule="auto"/>
        <w:ind w:firstLineChars="0"/>
        <w:rPr>
          <w:sz w:val="24"/>
          <w:szCs w:val="20"/>
        </w:rPr>
      </w:pPr>
      <w:r>
        <w:rPr>
          <w:rFonts w:hint="eastAsia"/>
          <w:sz w:val="24"/>
          <w:szCs w:val="20"/>
        </w:rPr>
        <w:t>诺亚正行（上海）基金销售投资顾问有限公司</w:t>
      </w:r>
    </w:p>
    <w:p>
      <w:pPr>
        <w:spacing w:line="360" w:lineRule="auto"/>
        <w:ind w:firstLine="540" w:firstLineChars="225"/>
        <w:rPr>
          <w:sz w:val="24"/>
          <w:szCs w:val="20"/>
        </w:rPr>
      </w:pPr>
      <w:r>
        <w:rPr>
          <w:rFonts w:hint="eastAsia"/>
          <w:sz w:val="24"/>
          <w:szCs w:val="20"/>
        </w:rPr>
        <w:t>注册地址：上海市虹口区飞虹路360弄9号3724室</w:t>
      </w:r>
    </w:p>
    <w:p>
      <w:pPr>
        <w:spacing w:line="360" w:lineRule="auto"/>
        <w:ind w:firstLine="540" w:firstLineChars="225"/>
        <w:rPr>
          <w:sz w:val="24"/>
          <w:szCs w:val="20"/>
        </w:rPr>
      </w:pPr>
      <w:r>
        <w:rPr>
          <w:rFonts w:hint="eastAsia"/>
          <w:sz w:val="24"/>
          <w:szCs w:val="20"/>
        </w:rPr>
        <w:t>法定代表人：汪静波</w:t>
      </w:r>
    </w:p>
    <w:p>
      <w:pPr>
        <w:spacing w:line="360" w:lineRule="auto"/>
        <w:ind w:firstLine="540" w:firstLineChars="225"/>
        <w:rPr>
          <w:sz w:val="24"/>
          <w:szCs w:val="20"/>
        </w:rPr>
      </w:pPr>
      <w:r>
        <w:rPr>
          <w:rFonts w:hint="eastAsia"/>
          <w:sz w:val="24"/>
          <w:szCs w:val="20"/>
        </w:rPr>
        <w:t>客户服务电话：400-821-5399</w:t>
      </w:r>
    </w:p>
    <w:p>
      <w:pPr>
        <w:spacing w:line="360" w:lineRule="auto"/>
        <w:ind w:firstLine="540" w:firstLineChars="225"/>
        <w:rPr>
          <w:szCs w:val="20"/>
        </w:rPr>
      </w:pPr>
      <w:r>
        <w:rPr>
          <w:rFonts w:hint="eastAsia"/>
          <w:sz w:val="24"/>
          <w:szCs w:val="20"/>
        </w:rPr>
        <w:t>网址：</w:t>
      </w:r>
      <w:r>
        <w:fldChar w:fldCharType="begin"/>
      </w:r>
      <w:r>
        <w:instrText xml:space="preserve"> HYPERLINK "http://www.noah-fund.com/" </w:instrText>
      </w:r>
      <w:r>
        <w:fldChar w:fldCharType="separate"/>
      </w:r>
      <w:r>
        <w:rPr>
          <w:szCs w:val="20"/>
        </w:rPr>
        <w:t>www.noah-fund.com/</w:t>
      </w:r>
      <w:r>
        <w:rPr>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深圳众禄基金销售股份有限公司</w:t>
      </w:r>
    </w:p>
    <w:p>
      <w:pPr>
        <w:spacing w:line="360" w:lineRule="auto"/>
        <w:ind w:firstLine="540" w:firstLineChars="225"/>
        <w:rPr>
          <w:sz w:val="24"/>
          <w:szCs w:val="20"/>
        </w:rPr>
      </w:pPr>
      <w:r>
        <w:rPr>
          <w:rFonts w:hint="eastAsia"/>
          <w:sz w:val="24"/>
          <w:szCs w:val="20"/>
        </w:rPr>
        <w:t>注册地址：深圳市罗湖区深南东路</w:t>
      </w:r>
      <w:r>
        <w:rPr>
          <w:sz w:val="24"/>
          <w:szCs w:val="20"/>
        </w:rPr>
        <w:t>5047</w:t>
      </w:r>
      <w:r>
        <w:rPr>
          <w:rFonts w:hint="eastAsia"/>
          <w:sz w:val="24"/>
          <w:szCs w:val="20"/>
        </w:rPr>
        <w:t>号发展银行大厦</w:t>
      </w:r>
      <w:r>
        <w:rPr>
          <w:sz w:val="24"/>
          <w:szCs w:val="20"/>
        </w:rPr>
        <w:t>25</w:t>
      </w:r>
      <w:r>
        <w:rPr>
          <w:rFonts w:hint="eastAsia"/>
          <w:sz w:val="24"/>
          <w:szCs w:val="20"/>
        </w:rPr>
        <w:t>楼</w:t>
      </w:r>
      <w:r>
        <w:rPr>
          <w:sz w:val="24"/>
          <w:szCs w:val="20"/>
        </w:rPr>
        <w:t>I</w:t>
      </w:r>
      <w:r>
        <w:rPr>
          <w:rFonts w:hint="eastAsia"/>
          <w:sz w:val="24"/>
          <w:szCs w:val="20"/>
        </w:rPr>
        <w:t>、</w:t>
      </w:r>
      <w:r>
        <w:rPr>
          <w:sz w:val="24"/>
          <w:szCs w:val="20"/>
        </w:rPr>
        <w:t>J</w:t>
      </w:r>
      <w:r>
        <w:rPr>
          <w:rFonts w:hint="eastAsia"/>
          <w:sz w:val="24"/>
          <w:szCs w:val="20"/>
        </w:rPr>
        <w:t>单元</w:t>
      </w:r>
    </w:p>
    <w:p>
      <w:pPr>
        <w:spacing w:line="360" w:lineRule="auto"/>
        <w:ind w:firstLine="540" w:firstLineChars="225"/>
        <w:rPr>
          <w:sz w:val="24"/>
          <w:szCs w:val="20"/>
        </w:rPr>
      </w:pPr>
      <w:r>
        <w:rPr>
          <w:rFonts w:hint="eastAsia"/>
          <w:sz w:val="24"/>
          <w:szCs w:val="20"/>
        </w:rPr>
        <w:t>法定代表人：薛峰</w:t>
      </w:r>
    </w:p>
    <w:p>
      <w:pPr>
        <w:spacing w:line="360" w:lineRule="auto"/>
        <w:ind w:firstLine="540" w:firstLineChars="225"/>
        <w:rPr>
          <w:sz w:val="24"/>
          <w:szCs w:val="20"/>
        </w:rPr>
      </w:pPr>
      <w:r>
        <w:rPr>
          <w:rFonts w:hint="eastAsia"/>
          <w:sz w:val="24"/>
          <w:szCs w:val="20"/>
        </w:rPr>
        <w:t>客户服务电话</w:t>
      </w:r>
      <w:r>
        <w:rPr>
          <w:sz w:val="24"/>
          <w:szCs w:val="20"/>
        </w:rPr>
        <w:t>: 4006788887</w:t>
      </w:r>
    </w:p>
    <w:p>
      <w:pPr>
        <w:spacing w:line="360" w:lineRule="auto"/>
        <w:ind w:firstLine="540" w:firstLineChars="225"/>
        <w:rPr>
          <w:szCs w:val="20"/>
        </w:rPr>
      </w:pPr>
      <w:r>
        <w:rPr>
          <w:rFonts w:hint="eastAsia"/>
          <w:sz w:val="24"/>
          <w:szCs w:val="20"/>
        </w:rPr>
        <w:t>网址：</w:t>
      </w:r>
      <w:r>
        <w:fldChar w:fldCharType="begin"/>
      </w:r>
      <w:r>
        <w:instrText xml:space="preserve"> HYPERLINK "http://www.zlfund.cn，www.jjmmw.com" </w:instrText>
      </w:r>
      <w:r>
        <w:fldChar w:fldCharType="separate"/>
      </w:r>
      <w:r>
        <w:rPr>
          <w:szCs w:val="20"/>
        </w:rPr>
        <w:t>www.zlfund.cn</w:t>
      </w:r>
      <w:r>
        <w:rPr>
          <w:rFonts w:hint="eastAsia"/>
          <w:szCs w:val="20"/>
        </w:rPr>
        <w:t>，</w:t>
      </w:r>
      <w:r>
        <w:rPr>
          <w:szCs w:val="20"/>
        </w:rPr>
        <w:t>www.jjmmw.com</w:t>
      </w:r>
      <w:r>
        <w:rPr>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上海天天基金销售有限公司</w:t>
      </w:r>
    </w:p>
    <w:p>
      <w:pPr>
        <w:spacing w:line="360" w:lineRule="auto"/>
        <w:ind w:firstLine="540" w:firstLineChars="225"/>
        <w:rPr>
          <w:sz w:val="24"/>
          <w:szCs w:val="20"/>
        </w:rPr>
      </w:pPr>
      <w:r>
        <w:rPr>
          <w:rFonts w:hint="eastAsia"/>
          <w:sz w:val="24"/>
          <w:szCs w:val="20"/>
        </w:rPr>
        <w:t>注册地址：上海市徐汇区龙田路</w:t>
      </w:r>
      <w:r>
        <w:rPr>
          <w:sz w:val="24"/>
          <w:szCs w:val="20"/>
        </w:rPr>
        <w:t>190</w:t>
      </w:r>
      <w:r>
        <w:rPr>
          <w:rFonts w:hint="eastAsia"/>
          <w:sz w:val="24"/>
          <w:szCs w:val="20"/>
        </w:rPr>
        <w:t>号</w:t>
      </w:r>
      <w:r>
        <w:rPr>
          <w:sz w:val="24"/>
          <w:szCs w:val="20"/>
        </w:rPr>
        <w:t>2</w:t>
      </w:r>
      <w:r>
        <w:rPr>
          <w:rFonts w:hint="eastAsia"/>
          <w:sz w:val="24"/>
          <w:szCs w:val="20"/>
        </w:rPr>
        <w:t>号楼</w:t>
      </w:r>
      <w:r>
        <w:rPr>
          <w:sz w:val="24"/>
          <w:szCs w:val="20"/>
        </w:rPr>
        <w:t>2</w:t>
      </w:r>
      <w:r>
        <w:rPr>
          <w:rFonts w:hint="eastAsia"/>
          <w:sz w:val="24"/>
          <w:szCs w:val="20"/>
        </w:rPr>
        <w:t>层</w:t>
      </w:r>
    </w:p>
    <w:p>
      <w:pPr>
        <w:spacing w:line="360" w:lineRule="auto"/>
        <w:ind w:firstLine="540" w:firstLineChars="225"/>
        <w:rPr>
          <w:sz w:val="24"/>
          <w:szCs w:val="20"/>
        </w:rPr>
      </w:pPr>
      <w:r>
        <w:rPr>
          <w:rFonts w:hint="eastAsia"/>
          <w:sz w:val="24"/>
          <w:szCs w:val="20"/>
        </w:rPr>
        <w:t>法定代表人：其实</w:t>
      </w:r>
    </w:p>
    <w:p>
      <w:pPr>
        <w:spacing w:line="360" w:lineRule="auto"/>
        <w:ind w:firstLine="540" w:firstLineChars="225"/>
        <w:rPr>
          <w:sz w:val="24"/>
          <w:szCs w:val="20"/>
        </w:rPr>
      </w:pPr>
      <w:r>
        <w:rPr>
          <w:rFonts w:hint="eastAsia"/>
          <w:sz w:val="24"/>
          <w:szCs w:val="20"/>
        </w:rPr>
        <w:t>客户服务电话</w:t>
      </w:r>
      <w:r>
        <w:rPr>
          <w:sz w:val="24"/>
          <w:szCs w:val="20"/>
        </w:rPr>
        <w:t>: 4001818188</w:t>
      </w:r>
    </w:p>
    <w:p>
      <w:pPr>
        <w:spacing w:line="360" w:lineRule="auto"/>
        <w:ind w:firstLine="540" w:firstLineChars="225"/>
        <w:rPr>
          <w:sz w:val="24"/>
          <w:szCs w:val="20"/>
        </w:rPr>
      </w:pPr>
      <w:r>
        <w:rPr>
          <w:rFonts w:hint="eastAsia"/>
          <w:sz w:val="24"/>
          <w:szCs w:val="20"/>
        </w:rPr>
        <w:t>网址：</w:t>
      </w:r>
      <w:r>
        <w:fldChar w:fldCharType="begin"/>
      </w:r>
      <w:r>
        <w:instrText xml:space="preserve"> HYPERLINK "http://www.1234567.com.cn" </w:instrText>
      </w:r>
      <w:r>
        <w:fldChar w:fldCharType="separate"/>
      </w:r>
      <w:r>
        <w:rPr>
          <w:sz w:val="24"/>
          <w:szCs w:val="20"/>
        </w:rPr>
        <w:t>www.1234567.com.cn</w:t>
      </w:r>
      <w:r>
        <w:rPr>
          <w:sz w:val="24"/>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上海好买基金销售有限公司</w:t>
      </w:r>
    </w:p>
    <w:p>
      <w:pPr>
        <w:spacing w:line="360" w:lineRule="auto"/>
        <w:ind w:firstLine="540" w:firstLineChars="225"/>
        <w:rPr>
          <w:sz w:val="24"/>
          <w:szCs w:val="20"/>
        </w:rPr>
      </w:pPr>
      <w:r>
        <w:rPr>
          <w:rFonts w:hint="eastAsia"/>
          <w:sz w:val="24"/>
          <w:szCs w:val="20"/>
        </w:rPr>
        <w:t>注册地址：上海市虹口区场中路</w:t>
      </w:r>
      <w:r>
        <w:rPr>
          <w:sz w:val="24"/>
          <w:szCs w:val="20"/>
        </w:rPr>
        <w:t>685</w:t>
      </w:r>
      <w:r>
        <w:rPr>
          <w:rFonts w:hint="eastAsia"/>
          <w:sz w:val="24"/>
          <w:szCs w:val="20"/>
        </w:rPr>
        <w:t>弄</w:t>
      </w:r>
      <w:r>
        <w:rPr>
          <w:sz w:val="24"/>
          <w:szCs w:val="20"/>
        </w:rPr>
        <w:t>37</w:t>
      </w:r>
      <w:r>
        <w:rPr>
          <w:rFonts w:hint="eastAsia"/>
          <w:sz w:val="24"/>
          <w:szCs w:val="20"/>
        </w:rPr>
        <w:t>号</w:t>
      </w:r>
      <w:r>
        <w:rPr>
          <w:sz w:val="24"/>
          <w:szCs w:val="20"/>
        </w:rPr>
        <w:t>4</w:t>
      </w:r>
      <w:r>
        <w:rPr>
          <w:rFonts w:hint="eastAsia"/>
          <w:sz w:val="24"/>
          <w:szCs w:val="20"/>
        </w:rPr>
        <w:t>号楼</w:t>
      </w:r>
      <w:r>
        <w:rPr>
          <w:sz w:val="24"/>
          <w:szCs w:val="20"/>
        </w:rPr>
        <w:t>449</w:t>
      </w:r>
      <w:r>
        <w:rPr>
          <w:rFonts w:hint="eastAsia"/>
          <w:sz w:val="24"/>
          <w:szCs w:val="20"/>
        </w:rPr>
        <w:t>室</w:t>
      </w:r>
    </w:p>
    <w:p>
      <w:pPr>
        <w:spacing w:line="360" w:lineRule="auto"/>
        <w:ind w:firstLine="540" w:firstLineChars="225"/>
        <w:rPr>
          <w:sz w:val="24"/>
          <w:szCs w:val="20"/>
        </w:rPr>
      </w:pPr>
      <w:r>
        <w:rPr>
          <w:rFonts w:hint="eastAsia"/>
          <w:sz w:val="24"/>
          <w:szCs w:val="20"/>
        </w:rPr>
        <w:t>法定代表人：杨文斌</w:t>
      </w:r>
    </w:p>
    <w:p>
      <w:pPr>
        <w:spacing w:line="360" w:lineRule="auto"/>
        <w:ind w:firstLine="540" w:firstLineChars="225"/>
        <w:rPr>
          <w:sz w:val="24"/>
          <w:szCs w:val="20"/>
        </w:rPr>
      </w:pPr>
      <w:r>
        <w:rPr>
          <w:rFonts w:hint="eastAsia"/>
          <w:sz w:val="24"/>
          <w:szCs w:val="20"/>
        </w:rPr>
        <w:t>客户服务电话</w:t>
      </w:r>
      <w:r>
        <w:rPr>
          <w:sz w:val="24"/>
          <w:szCs w:val="20"/>
        </w:rPr>
        <w:t>: 400-700-9665</w:t>
      </w:r>
    </w:p>
    <w:p>
      <w:pPr>
        <w:spacing w:line="360" w:lineRule="auto"/>
        <w:ind w:firstLine="540" w:firstLineChars="225"/>
        <w:rPr>
          <w:sz w:val="24"/>
          <w:szCs w:val="20"/>
        </w:rPr>
      </w:pPr>
      <w:r>
        <w:rPr>
          <w:rFonts w:hint="eastAsia"/>
          <w:sz w:val="24"/>
          <w:szCs w:val="20"/>
        </w:rPr>
        <w:t>网址：</w:t>
      </w:r>
      <w:r>
        <w:fldChar w:fldCharType="begin"/>
      </w:r>
      <w:r>
        <w:instrText xml:space="preserve"> HYPERLINK "http://www.ehowbuy.com" </w:instrText>
      </w:r>
      <w:r>
        <w:fldChar w:fldCharType="separate"/>
      </w:r>
      <w:r>
        <w:rPr>
          <w:sz w:val="24"/>
          <w:szCs w:val="20"/>
        </w:rPr>
        <w:t>www.</w:t>
      </w:r>
      <w:r>
        <w:rPr>
          <w:rFonts w:hint="eastAsia"/>
          <w:sz w:val="24"/>
          <w:szCs w:val="20"/>
        </w:rPr>
        <w:t>e</w:t>
      </w:r>
      <w:r>
        <w:rPr>
          <w:sz w:val="24"/>
          <w:szCs w:val="20"/>
        </w:rPr>
        <w:t>howbuy.com</w:t>
      </w:r>
      <w:r>
        <w:rPr>
          <w:sz w:val="24"/>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蚂蚁（杭州）基金销售有限公司</w:t>
      </w:r>
    </w:p>
    <w:p>
      <w:pPr>
        <w:spacing w:line="360" w:lineRule="auto"/>
        <w:ind w:firstLine="540" w:firstLineChars="225"/>
        <w:rPr>
          <w:sz w:val="24"/>
          <w:szCs w:val="20"/>
        </w:rPr>
      </w:pPr>
      <w:r>
        <w:rPr>
          <w:rFonts w:hint="eastAsia"/>
          <w:sz w:val="24"/>
          <w:szCs w:val="20"/>
        </w:rPr>
        <w:t>注册地址：杭州市余杭区仓前街道文一西路1218号1栋202室</w:t>
      </w:r>
    </w:p>
    <w:p>
      <w:pPr>
        <w:spacing w:line="360" w:lineRule="auto"/>
        <w:ind w:firstLine="540" w:firstLineChars="225"/>
        <w:rPr>
          <w:sz w:val="24"/>
          <w:szCs w:val="20"/>
        </w:rPr>
      </w:pPr>
      <w:r>
        <w:rPr>
          <w:rFonts w:hint="eastAsia"/>
          <w:sz w:val="24"/>
          <w:szCs w:val="20"/>
        </w:rPr>
        <w:t>法定代表人：陈柏青</w:t>
      </w:r>
    </w:p>
    <w:p>
      <w:pPr>
        <w:spacing w:line="360" w:lineRule="auto"/>
        <w:ind w:firstLine="540" w:firstLineChars="225"/>
        <w:rPr>
          <w:sz w:val="24"/>
          <w:szCs w:val="20"/>
        </w:rPr>
      </w:pPr>
      <w:r>
        <w:rPr>
          <w:rFonts w:hint="eastAsia"/>
          <w:sz w:val="24"/>
          <w:szCs w:val="20"/>
        </w:rPr>
        <w:t>客户服务电话</w:t>
      </w:r>
      <w:r>
        <w:rPr>
          <w:sz w:val="24"/>
          <w:szCs w:val="20"/>
        </w:rPr>
        <w:t>: 4000766123</w:t>
      </w:r>
    </w:p>
    <w:p>
      <w:pPr>
        <w:spacing w:line="360" w:lineRule="auto"/>
        <w:ind w:firstLine="540" w:firstLineChars="225"/>
        <w:rPr>
          <w:sz w:val="24"/>
          <w:szCs w:val="20"/>
        </w:rPr>
      </w:pPr>
      <w:r>
        <w:rPr>
          <w:rFonts w:hint="eastAsia"/>
          <w:sz w:val="24"/>
          <w:szCs w:val="20"/>
        </w:rPr>
        <w:t>网址：</w:t>
      </w:r>
      <w:r>
        <w:rPr>
          <w:sz w:val="24"/>
          <w:szCs w:val="20"/>
        </w:rPr>
        <w:t>www.fund123.cn</w:t>
      </w:r>
    </w:p>
    <w:p>
      <w:pPr>
        <w:pStyle w:val="52"/>
        <w:numPr>
          <w:ilvl w:val="0"/>
          <w:numId w:val="3"/>
        </w:numPr>
        <w:suppressAutoHyphens w:val="0"/>
        <w:spacing w:line="360" w:lineRule="auto"/>
        <w:ind w:firstLineChars="0"/>
        <w:rPr>
          <w:sz w:val="24"/>
          <w:szCs w:val="20"/>
        </w:rPr>
      </w:pPr>
      <w:r>
        <w:rPr>
          <w:rFonts w:hint="eastAsia"/>
          <w:sz w:val="24"/>
          <w:szCs w:val="20"/>
        </w:rPr>
        <w:t>浙江同花顺基金销售有限公司</w:t>
      </w:r>
    </w:p>
    <w:p>
      <w:pPr>
        <w:spacing w:line="360" w:lineRule="auto"/>
        <w:ind w:firstLine="540" w:firstLineChars="225"/>
        <w:rPr>
          <w:sz w:val="24"/>
          <w:szCs w:val="20"/>
        </w:rPr>
      </w:pPr>
      <w:r>
        <w:rPr>
          <w:rFonts w:hint="eastAsia"/>
          <w:sz w:val="24"/>
          <w:szCs w:val="20"/>
        </w:rPr>
        <w:t>注册地址：浙江省杭州市文二西路一号元茂大厦903室</w:t>
      </w:r>
    </w:p>
    <w:p>
      <w:pPr>
        <w:spacing w:line="360" w:lineRule="auto"/>
        <w:ind w:firstLine="540" w:firstLineChars="225"/>
        <w:rPr>
          <w:sz w:val="24"/>
          <w:szCs w:val="20"/>
        </w:rPr>
      </w:pPr>
      <w:r>
        <w:rPr>
          <w:sz w:val="24"/>
          <w:szCs w:val="20"/>
        </w:rPr>
        <w:t>法定代表人：</w:t>
      </w:r>
      <w:r>
        <w:rPr>
          <w:rFonts w:hint="eastAsia"/>
          <w:sz w:val="24"/>
          <w:szCs w:val="20"/>
        </w:rPr>
        <w:t>凌顺平</w:t>
      </w:r>
    </w:p>
    <w:p>
      <w:pPr>
        <w:spacing w:line="360" w:lineRule="auto"/>
        <w:ind w:firstLine="540" w:firstLineChars="225"/>
        <w:rPr>
          <w:sz w:val="24"/>
          <w:szCs w:val="20"/>
        </w:rPr>
      </w:pPr>
      <w:r>
        <w:rPr>
          <w:rFonts w:hint="eastAsia"/>
          <w:sz w:val="24"/>
          <w:szCs w:val="20"/>
        </w:rPr>
        <w:t>客户服务电话：400-877-3772</w:t>
      </w:r>
    </w:p>
    <w:p>
      <w:pPr>
        <w:spacing w:line="360" w:lineRule="auto"/>
        <w:ind w:firstLine="540" w:firstLineChars="225"/>
        <w:rPr>
          <w:sz w:val="24"/>
          <w:szCs w:val="20"/>
        </w:rPr>
      </w:pPr>
      <w:r>
        <w:rPr>
          <w:rFonts w:hint="eastAsia"/>
          <w:sz w:val="24"/>
          <w:szCs w:val="20"/>
        </w:rPr>
        <w:t>网址：</w:t>
      </w:r>
      <w:r>
        <w:fldChar w:fldCharType="begin"/>
      </w:r>
      <w:r>
        <w:instrText xml:space="preserve"> HYPERLINK "http://www.5ifund.com" </w:instrText>
      </w:r>
      <w:r>
        <w:fldChar w:fldCharType="separate"/>
      </w:r>
      <w:r>
        <w:rPr>
          <w:szCs w:val="20"/>
        </w:rPr>
        <w:t>www.5ifund.com</w:t>
      </w:r>
      <w:r>
        <w:rPr>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上海利得基金销售有限公司</w:t>
      </w:r>
    </w:p>
    <w:p>
      <w:pPr>
        <w:spacing w:line="360" w:lineRule="auto"/>
        <w:ind w:firstLine="540" w:firstLineChars="225"/>
        <w:rPr>
          <w:sz w:val="24"/>
          <w:szCs w:val="20"/>
        </w:rPr>
      </w:pPr>
      <w:r>
        <w:rPr>
          <w:rFonts w:hint="eastAsia"/>
          <w:sz w:val="24"/>
          <w:szCs w:val="20"/>
        </w:rPr>
        <w:t>注册地址：上海浦东新区峨山路91弄61号10号楼12楼</w:t>
      </w:r>
    </w:p>
    <w:p>
      <w:pPr>
        <w:spacing w:line="360" w:lineRule="auto"/>
        <w:ind w:firstLine="540" w:firstLineChars="225"/>
        <w:rPr>
          <w:sz w:val="24"/>
          <w:szCs w:val="20"/>
        </w:rPr>
      </w:pPr>
      <w:r>
        <w:rPr>
          <w:rFonts w:hint="eastAsia"/>
          <w:sz w:val="24"/>
          <w:szCs w:val="20"/>
        </w:rPr>
        <w:t>法定代表人：李兴春</w:t>
      </w:r>
    </w:p>
    <w:p>
      <w:pPr>
        <w:spacing w:line="360" w:lineRule="auto"/>
        <w:ind w:firstLine="540" w:firstLineChars="225"/>
        <w:rPr>
          <w:sz w:val="24"/>
          <w:szCs w:val="20"/>
        </w:rPr>
      </w:pPr>
      <w:r>
        <w:rPr>
          <w:rFonts w:hint="eastAsia"/>
          <w:sz w:val="24"/>
          <w:szCs w:val="20"/>
        </w:rPr>
        <w:t>客户服务热线：400-921-7755</w:t>
      </w:r>
    </w:p>
    <w:p>
      <w:pPr>
        <w:spacing w:line="360" w:lineRule="auto"/>
        <w:ind w:firstLine="540" w:firstLineChars="225"/>
        <w:rPr>
          <w:sz w:val="24"/>
          <w:szCs w:val="20"/>
        </w:rPr>
      </w:pPr>
      <w:r>
        <w:rPr>
          <w:rFonts w:hint="eastAsia"/>
          <w:sz w:val="24"/>
          <w:szCs w:val="20"/>
        </w:rPr>
        <w:t>网址：www.leadbank.com.cn</w:t>
      </w:r>
      <w:r>
        <w:rPr>
          <w:sz w:val="24"/>
          <w:szCs w:val="20"/>
        </w:rPr>
        <w:t> </w:t>
      </w:r>
    </w:p>
    <w:p>
      <w:pPr>
        <w:pStyle w:val="52"/>
        <w:numPr>
          <w:ilvl w:val="0"/>
          <w:numId w:val="3"/>
        </w:numPr>
        <w:suppressAutoHyphens w:val="0"/>
        <w:spacing w:line="360" w:lineRule="auto"/>
        <w:ind w:firstLineChars="0"/>
        <w:rPr>
          <w:sz w:val="24"/>
          <w:szCs w:val="20"/>
        </w:rPr>
      </w:pPr>
      <w:r>
        <w:rPr>
          <w:rFonts w:hint="eastAsia"/>
          <w:sz w:val="24"/>
          <w:szCs w:val="20"/>
        </w:rPr>
        <w:t>嘉实财富管理有限公司</w:t>
      </w:r>
    </w:p>
    <w:p>
      <w:pPr>
        <w:spacing w:line="360" w:lineRule="auto"/>
        <w:ind w:firstLine="540" w:firstLineChars="225"/>
        <w:rPr>
          <w:sz w:val="24"/>
          <w:szCs w:val="20"/>
        </w:rPr>
      </w:pPr>
      <w:r>
        <w:rPr>
          <w:rFonts w:hint="eastAsia"/>
          <w:sz w:val="24"/>
          <w:szCs w:val="20"/>
        </w:rPr>
        <w:t>注册地址：上海市浦东新区世纪大道8号上海国金中心办公楼二期53层5312-15单元</w:t>
      </w:r>
    </w:p>
    <w:p>
      <w:pPr>
        <w:spacing w:line="360" w:lineRule="auto"/>
        <w:ind w:firstLine="540" w:firstLineChars="225"/>
        <w:rPr>
          <w:sz w:val="24"/>
          <w:szCs w:val="20"/>
        </w:rPr>
      </w:pPr>
      <w:r>
        <w:rPr>
          <w:rFonts w:hint="eastAsia"/>
          <w:sz w:val="24"/>
          <w:szCs w:val="20"/>
        </w:rPr>
        <w:t>法定代表人：赵学军</w:t>
      </w:r>
    </w:p>
    <w:p>
      <w:pPr>
        <w:spacing w:line="360" w:lineRule="auto"/>
        <w:ind w:firstLine="540" w:firstLineChars="225"/>
        <w:rPr>
          <w:sz w:val="24"/>
          <w:szCs w:val="20"/>
        </w:rPr>
      </w:pPr>
      <w:r>
        <w:rPr>
          <w:rFonts w:hint="eastAsia"/>
          <w:sz w:val="24"/>
          <w:szCs w:val="20"/>
        </w:rPr>
        <w:t>客户服务热线：400-021-8850</w:t>
      </w:r>
    </w:p>
    <w:p>
      <w:pPr>
        <w:spacing w:line="360" w:lineRule="auto"/>
        <w:ind w:firstLine="540" w:firstLineChars="225"/>
        <w:rPr>
          <w:sz w:val="24"/>
          <w:szCs w:val="20"/>
        </w:rPr>
      </w:pPr>
      <w:r>
        <w:rPr>
          <w:rFonts w:hint="eastAsia"/>
          <w:sz w:val="24"/>
          <w:szCs w:val="20"/>
        </w:rPr>
        <w:t>网址：https://www.harvestwm.cn</w:t>
      </w:r>
    </w:p>
    <w:p>
      <w:pPr>
        <w:pStyle w:val="52"/>
        <w:numPr>
          <w:ilvl w:val="0"/>
          <w:numId w:val="3"/>
        </w:numPr>
        <w:suppressAutoHyphens w:val="0"/>
        <w:spacing w:line="360" w:lineRule="auto"/>
        <w:ind w:firstLineChars="0"/>
        <w:rPr>
          <w:sz w:val="24"/>
          <w:szCs w:val="20"/>
        </w:rPr>
      </w:pPr>
      <w:r>
        <w:rPr>
          <w:rFonts w:hint="eastAsia"/>
          <w:sz w:val="24"/>
          <w:szCs w:val="20"/>
        </w:rPr>
        <w:t>南京苏宁基金销售有限公司</w:t>
      </w:r>
    </w:p>
    <w:p>
      <w:pPr>
        <w:spacing w:line="360" w:lineRule="auto"/>
        <w:ind w:firstLine="540" w:firstLineChars="225"/>
        <w:rPr>
          <w:sz w:val="24"/>
          <w:szCs w:val="20"/>
        </w:rPr>
      </w:pPr>
      <w:r>
        <w:rPr>
          <w:rFonts w:hint="eastAsia"/>
          <w:sz w:val="24"/>
          <w:szCs w:val="20"/>
        </w:rPr>
        <w:t>注册地址：南京市玄武区苏宁大道1-5号</w:t>
      </w:r>
    </w:p>
    <w:p>
      <w:pPr>
        <w:spacing w:line="360" w:lineRule="auto"/>
        <w:ind w:firstLine="540" w:firstLineChars="225"/>
        <w:rPr>
          <w:sz w:val="24"/>
          <w:szCs w:val="20"/>
        </w:rPr>
      </w:pPr>
      <w:r>
        <w:rPr>
          <w:rFonts w:hint="eastAsia"/>
          <w:sz w:val="24"/>
          <w:szCs w:val="20"/>
        </w:rPr>
        <w:t>法定代表人：刘汉青</w:t>
      </w:r>
    </w:p>
    <w:p>
      <w:pPr>
        <w:spacing w:line="360" w:lineRule="auto"/>
        <w:ind w:firstLine="540" w:firstLineChars="225"/>
        <w:rPr>
          <w:sz w:val="24"/>
          <w:szCs w:val="20"/>
        </w:rPr>
      </w:pPr>
      <w:r>
        <w:rPr>
          <w:rFonts w:hint="eastAsia"/>
          <w:sz w:val="24"/>
          <w:szCs w:val="20"/>
        </w:rPr>
        <w:t>客户服务热线：95177</w:t>
      </w:r>
    </w:p>
    <w:p>
      <w:pPr>
        <w:spacing w:line="360" w:lineRule="auto"/>
        <w:ind w:firstLine="540" w:firstLineChars="225"/>
        <w:rPr>
          <w:sz w:val="24"/>
          <w:szCs w:val="20"/>
        </w:rPr>
      </w:pPr>
      <w:r>
        <w:rPr>
          <w:rFonts w:hint="eastAsia"/>
          <w:sz w:val="24"/>
          <w:szCs w:val="20"/>
        </w:rPr>
        <w:t>网址：</w:t>
      </w:r>
      <w:r>
        <w:fldChar w:fldCharType="begin"/>
      </w:r>
      <w:r>
        <w:instrText xml:space="preserve"> HYPERLINK "http://www.snjijin.com" </w:instrText>
      </w:r>
      <w:r>
        <w:fldChar w:fldCharType="separate"/>
      </w:r>
      <w:r>
        <w:rPr>
          <w:rFonts w:hint="eastAsia"/>
        </w:rPr>
        <w:t>http://</w:t>
      </w:r>
      <w:r>
        <w:t>www.snjijin.com</w:t>
      </w:r>
      <w:r>
        <w:fldChar w:fldCharType="end"/>
      </w:r>
    </w:p>
    <w:p>
      <w:pPr>
        <w:pStyle w:val="52"/>
        <w:numPr>
          <w:ilvl w:val="0"/>
          <w:numId w:val="3"/>
        </w:numPr>
        <w:suppressAutoHyphens w:val="0"/>
        <w:spacing w:line="360" w:lineRule="auto"/>
        <w:ind w:firstLineChars="0"/>
        <w:rPr>
          <w:sz w:val="24"/>
          <w:szCs w:val="20"/>
        </w:rPr>
      </w:pPr>
      <w:r>
        <w:rPr>
          <w:rFonts w:hint="eastAsia"/>
          <w:sz w:val="24"/>
          <w:szCs w:val="20"/>
        </w:rPr>
        <w:t>北京恒天明泽基金销售有限公司</w:t>
      </w:r>
    </w:p>
    <w:p>
      <w:pPr>
        <w:spacing w:line="360" w:lineRule="auto"/>
        <w:ind w:firstLine="540" w:firstLineChars="225"/>
        <w:rPr>
          <w:sz w:val="24"/>
          <w:szCs w:val="20"/>
        </w:rPr>
      </w:pPr>
      <w:r>
        <w:rPr>
          <w:rFonts w:hint="eastAsia"/>
          <w:sz w:val="24"/>
          <w:szCs w:val="20"/>
        </w:rPr>
        <w:t>注册地址：北京市经济技术开发区宏达北路10号五层5122室</w:t>
      </w:r>
    </w:p>
    <w:p>
      <w:pPr>
        <w:spacing w:line="360" w:lineRule="auto"/>
        <w:ind w:firstLine="540" w:firstLineChars="225"/>
        <w:rPr>
          <w:sz w:val="24"/>
          <w:szCs w:val="20"/>
        </w:rPr>
      </w:pPr>
      <w:r>
        <w:rPr>
          <w:rFonts w:hint="eastAsia"/>
          <w:sz w:val="24"/>
          <w:szCs w:val="20"/>
        </w:rPr>
        <w:t>法定代表人：周斌</w:t>
      </w:r>
    </w:p>
    <w:p>
      <w:pPr>
        <w:spacing w:line="360" w:lineRule="auto"/>
        <w:ind w:firstLine="540" w:firstLineChars="225"/>
        <w:rPr>
          <w:sz w:val="24"/>
          <w:szCs w:val="20"/>
        </w:rPr>
      </w:pPr>
      <w:r>
        <w:rPr>
          <w:rFonts w:hint="eastAsia"/>
          <w:sz w:val="24"/>
          <w:szCs w:val="20"/>
        </w:rPr>
        <w:t>客户服务电话：4007868868</w:t>
      </w:r>
    </w:p>
    <w:p>
      <w:pPr>
        <w:spacing w:line="360" w:lineRule="auto"/>
        <w:ind w:firstLine="540" w:firstLineChars="225"/>
        <w:rPr>
          <w:sz w:val="24"/>
          <w:szCs w:val="20"/>
        </w:rPr>
      </w:pPr>
      <w:r>
        <w:rPr>
          <w:rFonts w:hint="eastAsia"/>
          <w:sz w:val="24"/>
          <w:szCs w:val="20"/>
        </w:rPr>
        <w:t>网址：</w:t>
      </w:r>
      <w:r>
        <w:fldChar w:fldCharType="begin"/>
      </w:r>
      <w:r>
        <w:instrText xml:space="preserve"> HYPERLINK "http://www.chtfund.com" </w:instrText>
      </w:r>
      <w:r>
        <w:fldChar w:fldCharType="separate"/>
      </w:r>
      <w:r>
        <w:rPr>
          <w:rFonts w:hint="eastAsia"/>
          <w:szCs w:val="20"/>
        </w:rPr>
        <w:t>www.chtfund.com</w:t>
      </w:r>
      <w:r>
        <w:rPr>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北京汇成基金销售有限公司</w:t>
      </w:r>
    </w:p>
    <w:p>
      <w:pPr>
        <w:spacing w:line="360" w:lineRule="auto"/>
        <w:ind w:firstLine="540" w:firstLineChars="225"/>
        <w:rPr>
          <w:sz w:val="24"/>
          <w:szCs w:val="20"/>
        </w:rPr>
      </w:pPr>
      <w:r>
        <w:rPr>
          <w:rFonts w:hint="eastAsia"/>
          <w:sz w:val="24"/>
          <w:szCs w:val="20"/>
        </w:rPr>
        <w:t>注册地址：北京市海淀区中关村大街11号11层1108</w:t>
      </w:r>
    </w:p>
    <w:p>
      <w:pPr>
        <w:spacing w:line="360" w:lineRule="auto"/>
        <w:ind w:firstLine="540" w:firstLineChars="225"/>
        <w:rPr>
          <w:sz w:val="24"/>
          <w:szCs w:val="20"/>
        </w:rPr>
      </w:pPr>
      <w:r>
        <w:rPr>
          <w:rFonts w:hint="eastAsia"/>
          <w:sz w:val="24"/>
          <w:szCs w:val="20"/>
        </w:rPr>
        <w:t>法定代表人：王伟刚</w:t>
      </w:r>
    </w:p>
    <w:p>
      <w:pPr>
        <w:spacing w:line="360" w:lineRule="auto"/>
        <w:ind w:firstLine="540" w:firstLineChars="225"/>
        <w:rPr>
          <w:sz w:val="24"/>
          <w:szCs w:val="20"/>
        </w:rPr>
      </w:pPr>
      <w:r>
        <w:rPr>
          <w:rFonts w:hint="eastAsia"/>
          <w:sz w:val="24"/>
          <w:szCs w:val="20"/>
        </w:rPr>
        <w:t>客户服务热线：010-56282140</w:t>
      </w:r>
    </w:p>
    <w:p>
      <w:pPr>
        <w:spacing w:line="360" w:lineRule="auto"/>
        <w:ind w:firstLine="540" w:firstLineChars="225"/>
        <w:rPr>
          <w:sz w:val="24"/>
          <w:szCs w:val="20"/>
        </w:rPr>
      </w:pPr>
      <w:r>
        <w:rPr>
          <w:rFonts w:hint="eastAsia"/>
          <w:sz w:val="24"/>
          <w:szCs w:val="20"/>
        </w:rPr>
        <w:t>网址：www.hcjijin.com</w:t>
      </w:r>
    </w:p>
    <w:p>
      <w:pPr>
        <w:pStyle w:val="52"/>
        <w:numPr>
          <w:ilvl w:val="0"/>
          <w:numId w:val="3"/>
        </w:numPr>
        <w:suppressAutoHyphens w:val="0"/>
        <w:spacing w:line="360" w:lineRule="auto"/>
        <w:ind w:firstLineChars="0"/>
        <w:rPr>
          <w:sz w:val="24"/>
          <w:szCs w:val="20"/>
        </w:rPr>
      </w:pPr>
      <w:r>
        <w:rPr>
          <w:rFonts w:hint="eastAsia"/>
          <w:sz w:val="24"/>
          <w:szCs w:val="20"/>
        </w:rPr>
        <w:t>北京唐鼎耀华基金销售有限公司</w:t>
      </w:r>
    </w:p>
    <w:p>
      <w:pPr>
        <w:spacing w:line="360" w:lineRule="auto"/>
        <w:ind w:firstLine="540" w:firstLineChars="225"/>
        <w:rPr>
          <w:sz w:val="24"/>
          <w:szCs w:val="20"/>
        </w:rPr>
      </w:pPr>
      <w:r>
        <w:rPr>
          <w:rFonts w:hint="eastAsia"/>
          <w:sz w:val="24"/>
          <w:szCs w:val="20"/>
        </w:rPr>
        <w:t>地址：北京市朝阳区建国门外大街19号国际大厦A座1504/1505室。</w:t>
      </w:r>
    </w:p>
    <w:p>
      <w:pPr>
        <w:spacing w:line="360" w:lineRule="auto"/>
        <w:ind w:firstLine="540" w:firstLineChars="225"/>
        <w:rPr>
          <w:sz w:val="24"/>
          <w:szCs w:val="20"/>
        </w:rPr>
      </w:pPr>
      <w:r>
        <w:rPr>
          <w:rFonts w:hint="eastAsia"/>
          <w:sz w:val="24"/>
          <w:szCs w:val="20"/>
        </w:rPr>
        <w:t>法定代表人：张冠宇</w:t>
      </w:r>
    </w:p>
    <w:p>
      <w:pPr>
        <w:spacing w:line="360" w:lineRule="auto"/>
        <w:ind w:firstLine="540" w:firstLineChars="225"/>
        <w:rPr>
          <w:sz w:val="24"/>
          <w:szCs w:val="20"/>
        </w:rPr>
      </w:pPr>
      <w:r>
        <w:rPr>
          <w:rFonts w:hint="eastAsia"/>
          <w:sz w:val="24"/>
          <w:szCs w:val="20"/>
        </w:rPr>
        <w:t>客户服务热线：400-819-9868</w:t>
      </w:r>
    </w:p>
    <w:p>
      <w:pPr>
        <w:spacing w:line="360" w:lineRule="auto"/>
        <w:ind w:firstLine="540" w:firstLineChars="225"/>
        <w:rPr>
          <w:szCs w:val="20"/>
        </w:rPr>
      </w:pPr>
      <w:r>
        <w:rPr>
          <w:rFonts w:hint="eastAsia"/>
          <w:sz w:val="24"/>
          <w:szCs w:val="20"/>
        </w:rPr>
        <w:t xml:space="preserve">网址： </w:t>
      </w:r>
      <w:r>
        <w:fldChar w:fldCharType="begin"/>
      </w:r>
      <w:r>
        <w:instrText xml:space="preserve"> HYPERLINK "http://www.tdyhfund.com/" </w:instrText>
      </w:r>
      <w:r>
        <w:fldChar w:fldCharType="separate"/>
      </w:r>
      <w:r>
        <w:rPr>
          <w:rFonts w:hint="eastAsia"/>
        </w:rPr>
        <w:t>http://www.tdyhfund.com/</w:t>
      </w:r>
      <w:r>
        <w:fldChar w:fldCharType="end"/>
      </w:r>
    </w:p>
    <w:p>
      <w:pPr>
        <w:pStyle w:val="52"/>
        <w:numPr>
          <w:ilvl w:val="0"/>
          <w:numId w:val="3"/>
        </w:numPr>
        <w:suppressAutoHyphens w:val="0"/>
        <w:spacing w:line="360" w:lineRule="auto"/>
        <w:ind w:firstLineChars="0"/>
        <w:rPr>
          <w:sz w:val="24"/>
          <w:szCs w:val="20"/>
        </w:rPr>
      </w:pPr>
      <w:r>
        <w:rPr>
          <w:rFonts w:hint="eastAsia"/>
          <w:sz w:val="24"/>
          <w:szCs w:val="20"/>
        </w:rPr>
        <w:t>天津国美基金销售有限公司</w:t>
      </w:r>
    </w:p>
    <w:p>
      <w:pPr>
        <w:spacing w:line="360" w:lineRule="auto"/>
        <w:ind w:firstLine="540" w:firstLineChars="225"/>
        <w:rPr>
          <w:sz w:val="24"/>
          <w:szCs w:val="20"/>
        </w:rPr>
      </w:pPr>
      <w:r>
        <w:rPr>
          <w:rFonts w:hint="eastAsia"/>
          <w:sz w:val="24"/>
          <w:szCs w:val="20"/>
        </w:rPr>
        <w:t>注册地址：北京市朝阳区霄云路26号鹏润大厦B座19层</w:t>
      </w:r>
    </w:p>
    <w:p>
      <w:pPr>
        <w:spacing w:line="360" w:lineRule="auto"/>
        <w:ind w:firstLine="540" w:firstLineChars="225"/>
        <w:rPr>
          <w:sz w:val="24"/>
          <w:szCs w:val="20"/>
        </w:rPr>
      </w:pPr>
      <w:r>
        <w:rPr>
          <w:rFonts w:hint="eastAsia"/>
          <w:sz w:val="24"/>
          <w:szCs w:val="20"/>
        </w:rPr>
        <w:t>法定代表人：丁东华</w:t>
      </w:r>
    </w:p>
    <w:p>
      <w:pPr>
        <w:spacing w:line="360" w:lineRule="auto"/>
        <w:ind w:firstLine="540" w:firstLineChars="225"/>
        <w:rPr>
          <w:sz w:val="24"/>
          <w:szCs w:val="20"/>
        </w:rPr>
      </w:pPr>
      <w:r>
        <w:rPr>
          <w:rFonts w:hint="eastAsia"/>
          <w:sz w:val="24"/>
          <w:szCs w:val="20"/>
        </w:rPr>
        <w:t>客户服务热线：400-111-0889</w:t>
      </w:r>
    </w:p>
    <w:p>
      <w:pPr>
        <w:spacing w:line="360" w:lineRule="auto"/>
        <w:ind w:firstLine="540" w:firstLineChars="225"/>
      </w:pPr>
      <w:r>
        <w:rPr>
          <w:rFonts w:hint="eastAsia"/>
          <w:sz w:val="24"/>
          <w:szCs w:val="20"/>
        </w:rPr>
        <w:t>网址：</w:t>
      </w:r>
      <w:r>
        <w:fldChar w:fldCharType="begin"/>
      </w:r>
      <w:r>
        <w:instrText xml:space="preserve"> HYPERLINK "http://www.gomefund.com" </w:instrText>
      </w:r>
      <w:r>
        <w:fldChar w:fldCharType="separate"/>
      </w:r>
      <w:r>
        <w:rPr>
          <w:rFonts w:hint="eastAsia"/>
        </w:rPr>
        <w:t>www.gomefund.com</w:t>
      </w:r>
      <w:r>
        <w:fldChar w:fldCharType="end"/>
      </w:r>
    </w:p>
    <w:p>
      <w:pPr>
        <w:pStyle w:val="52"/>
        <w:numPr>
          <w:ilvl w:val="0"/>
          <w:numId w:val="3"/>
        </w:numPr>
        <w:suppressAutoHyphens w:val="0"/>
        <w:spacing w:line="360" w:lineRule="auto"/>
        <w:ind w:firstLineChars="0"/>
        <w:rPr>
          <w:sz w:val="24"/>
          <w:szCs w:val="20"/>
        </w:rPr>
      </w:pPr>
      <w:r>
        <w:rPr>
          <w:rFonts w:hint="eastAsia"/>
          <w:sz w:val="24"/>
          <w:szCs w:val="20"/>
        </w:rPr>
        <w:t>北京新浪仓石基金销售有限公司</w:t>
      </w:r>
    </w:p>
    <w:p>
      <w:pPr>
        <w:spacing w:line="360" w:lineRule="auto"/>
        <w:ind w:left="480"/>
        <w:rPr>
          <w:sz w:val="24"/>
          <w:szCs w:val="20"/>
        </w:rPr>
      </w:pPr>
      <w:r>
        <w:rPr>
          <w:rFonts w:hint="eastAsia"/>
          <w:sz w:val="24"/>
          <w:szCs w:val="20"/>
        </w:rPr>
        <w:t>注册地址：北京市海淀区东北旺西路中关村软件园二期(西扩)N-1、N-2地块新浪总部科研楼5层518室</w:t>
      </w:r>
    </w:p>
    <w:p>
      <w:pPr>
        <w:spacing w:line="360" w:lineRule="auto"/>
        <w:ind w:left="480"/>
        <w:rPr>
          <w:sz w:val="24"/>
          <w:szCs w:val="20"/>
        </w:rPr>
      </w:pPr>
      <w:r>
        <w:rPr>
          <w:rFonts w:hint="eastAsia"/>
          <w:sz w:val="24"/>
          <w:szCs w:val="20"/>
        </w:rPr>
        <w:t>法定代表人： 李昭琛</w:t>
      </w:r>
    </w:p>
    <w:p>
      <w:pPr>
        <w:spacing w:line="360" w:lineRule="auto"/>
        <w:ind w:left="480"/>
        <w:rPr>
          <w:sz w:val="24"/>
          <w:szCs w:val="20"/>
        </w:rPr>
      </w:pPr>
      <w:r>
        <w:rPr>
          <w:rFonts w:hint="eastAsia"/>
          <w:sz w:val="24"/>
          <w:szCs w:val="20"/>
        </w:rPr>
        <w:t>客户服务热线：010-62675369</w:t>
      </w:r>
    </w:p>
    <w:p>
      <w:pPr>
        <w:spacing w:line="360" w:lineRule="auto"/>
        <w:ind w:left="480"/>
        <w:rPr>
          <w:sz w:val="24"/>
          <w:szCs w:val="20"/>
        </w:rPr>
      </w:pPr>
      <w:r>
        <w:rPr>
          <w:rFonts w:hint="eastAsia"/>
          <w:sz w:val="24"/>
          <w:szCs w:val="20"/>
        </w:rPr>
        <w:t>网址：https://trade.xincai.com/web/promote</w:t>
      </w:r>
    </w:p>
    <w:p>
      <w:pPr>
        <w:pStyle w:val="52"/>
        <w:numPr>
          <w:ilvl w:val="0"/>
          <w:numId w:val="3"/>
        </w:numPr>
        <w:suppressAutoHyphens w:val="0"/>
        <w:spacing w:line="360" w:lineRule="auto"/>
        <w:ind w:firstLineChars="0"/>
        <w:rPr>
          <w:sz w:val="24"/>
          <w:szCs w:val="20"/>
        </w:rPr>
      </w:pPr>
      <w:r>
        <w:rPr>
          <w:rFonts w:hint="eastAsia"/>
          <w:sz w:val="24"/>
          <w:szCs w:val="20"/>
        </w:rPr>
        <w:t>上海万得基金销售有限公司</w:t>
      </w:r>
    </w:p>
    <w:p>
      <w:pPr>
        <w:spacing w:line="360" w:lineRule="auto"/>
        <w:ind w:firstLine="540" w:firstLineChars="225"/>
        <w:rPr>
          <w:sz w:val="24"/>
          <w:szCs w:val="20"/>
        </w:rPr>
      </w:pPr>
      <w:r>
        <w:rPr>
          <w:rFonts w:hint="eastAsia"/>
          <w:sz w:val="24"/>
          <w:szCs w:val="20"/>
        </w:rPr>
        <w:t>注册地址：上海市浦东新区浦明路1500号万得大厦11楼</w:t>
      </w:r>
    </w:p>
    <w:p>
      <w:pPr>
        <w:spacing w:line="360" w:lineRule="auto"/>
        <w:ind w:firstLine="540" w:firstLineChars="225"/>
        <w:rPr>
          <w:sz w:val="24"/>
          <w:szCs w:val="20"/>
        </w:rPr>
      </w:pPr>
      <w:r>
        <w:rPr>
          <w:sz w:val="24"/>
          <w:szCs w:val="20"/>
        </w:rPr>
        <w:t>法定代表人：</w:t>
      </w:r>
      <w:r>
        <w:rPr>
          <w:rFonts w:hint="eastAsia"/>
          <w:sz w:val="24"/>
          <w:szCs w:val="20"/>
        </w:rPr>
        <w:t xml:space="preserve"> 王廷富</w:t>
      </w:r>
    </w:p>
    <w:p>
      <w:pPr>
        <w:spacing w:line="360" w:lineRule="auto"/>
        <w:ind w:firstLine="540" w:firstLineChars="225"/>
        <w:rPr>
          <w:sz w:val="24"/>
          <w:szCs w:val="20"/>
        </w:rPr>
      </w:pPr>
      <w:r>
        <w:rPr>
          <w:rFonts w:hint="eastAsia"/>
          <w:sz w:val="24"/>
          <w:szCs w:val="20"/>
        </w:rPr>
        <w:t>客户服务热线：</w:t>
      </w:r>
      <w:r>
        <w:rPr>
          <w:sz w:val="24"/>
          <w:szCs w:val="20"/>
        </w:rPr>
        <w:t>400-821-0203</w:t>
      </w:r>
    </w:p>
    <w:p>
      <w:pPr>
        <w:spacing w:line="360" w:lineRule="auto"/>
        <w:ind w:firstLine="540" w:firstLineChars="225"/>
        <w:rPr>
          <w:sz w:val="24"/>
          <w:szCs w:val="20"/>
        </w:rPr>
      </w:pPr>
      <w:r>
        <w:rPr>
          <w:rFonts w:hint="eastAsia"/>
          <w:sz w:val="24"/>
          <w:szCs w:val="20"/>
        </w:rPr>
        <w:t>网址：</w:t>
      </w:r>
      <w:r>
        <w:fldChar w:fldCharType="begin"/>
      </w:r>
      <w:r>
        <w:instrText xml:space="preserve"> HYPERLINK "http://www.windmoney.com.cn" </w:instrText>
      </w:r>
      <w:r>
        <w:fldChar w:fldCharType="separate"/>
      </w:r>
      <w:r>
        <w:rPr>
          <w:sz w:val="24"/>
          <w:szCs w:val="20"/>
        </w:rPr>
        <w:t>www.windmoney.com.cn</w:t>
      </w:r>
      <w:r>
        <w:rPr>
          <w:sz w:val="24"/>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上海汇付金融服务有限公司</w:t>
      </w:r>
      <w:r>
        <w:rPr>
          <w:sz w:val="24"/>
          <w:szCs w:val="20"/>
        </w:rPr>
        <w:t xml:space="preserve"> </w:t>
      </w:r>
    </w:p>
    <w:p>
      <w:pPr>
        <w:spacing w:line="360" w:lineRule="auto"/>
        <w:ind w:firstLine="540" w:firstLineChars="225"/>
        <w:rPr>
          <w:sz w:val="24"/>
          <w:szCs w:val="20"/>
        </w:rPr>
      </w:pPr>
      <w:r>
        <w:rPr>
          <w:rFonts w:hint="eastAsia"/>
          <w:sz w:val="24"/>
          <w:szCs w:val="20"/>
        </w:rPr>
        <w:t>注册地址：上海市黄浦区西藏中路</w:t>
      </w:r>
      <w:r>
        <w:rPr>
          <w:sz w:val="24"/>
          <w:szCs w:val="20"/>
        </w:rPr>
        <w:t>336</w:t>
      </w:r>
      <w:r>
        <w:rPr>
          <w:rFonts w:hint="eastAsia"/>
          <w:sz w:val="24"/>
          <w:szCs w:val="20"/>
        </w:rPr>
        <w:t>号</w:t>
      </w:r>
      <w:r>
        <w:rPr>
          <w:sz w:val="24"/>
          <w:szCs w:val="20"/>
        </w:rPr>
        <w:t>1807-5</w:t>
      </w:r>
      <w:r>
        <w:rPr>
          <w:rFonts w:hint="eastAsia"/>
          <w:sz w:val="24"/>
          <w:szCs w:val="20"/>
        </w:rPr>
        <w:t>室</w:t>
      </w:r>
      <w:r>
        <w:rPr>
          <w:sz w:val="24"/>
          <w:szCs w:val="20"/>
        </w:rPr>
        <w:t xml:space="preserve"> </w:t>
      </w:r>
    </w:p>
    <w:p>
      <w:pPr>
        <w:spacing w:line="360" w:lineRule="auto"/>
        <w:ind w:firstLine="540" w:firstLineChars="225"/>
        <w:rPr>
          <w:sz w:val="24"/>
          <w:szCs w:val="20"/>
        </w:rPr>
      </w:pPr>
      <w:r>
        <w:rPr>
          <w:rFonts w:hint="eastAsia"/>
          <w:sz w:val="24"/>
          <w:szCs w:val="20"/>
        </w:rPr>
        <w:t>法定代表人：张皛</w:t>
      </w:r>
      <w:r>
        <w:rPr>
          <w:sz w:val="24"/>
          <w:szCs w:val="20"/>
        </w:rPr>
        <w:t xml:space="preserve"> </w:t>
      </w:r>
    </w:p>
    <w:p>
      <w:pPr>
        <w:spacing w:line="360" w:lineRule="auto"/>
        <w:ind w:firstLine="540" w:firstLineChars="225"/>
        <w:rPr>
          <w:sz w:val="24"/>
          <w:szCs w:val="20"/>
        </w:rPr>
      </w:pPr>
      <w:r>
        <w:rPr>
          <w:rFonts w:hint="eastAsia"/>
          <w:sz w:val="24"/>
          <w:szCs w:val="20"/>
        </w:rPr>
        <w:t>客户服务电话：</w:t>
      </w:r>
      <w:r>
        <w:rPr>
          <w:sz w:val="24"/>
          <w:szCs w:val="20"/>
        </w:rPr>
        <w:t xml:space="preserve">400-820-2819 </w:t>
      </w:r>
    </w:p>
    <w:p>
      <w:pPr>
        <w:spacing w:line="360" w:lineRule="auto"/>
        <w:ind w:firstLine="540" w:firstLineChars="225"/>
        <w:rPr>
          <w:szCs w:val="20"/>
        </w:rPr>
      </w:pPr>
      <w:r>
        <w:rPr>
          <w:rFonts w:hint="eastAsia"/>
          <w:sz w:val="24"/>
          <w:szCs w:val="20"/>
        </w:rPr>
        <w:t>网址：</w:t>
      </w:r>
      <w:r>
        <w:fldChar w:fldCharType="begin"/>
      </w:r>
      <w:r>
        <w:instrText xml:space="preserve"> HYPERLINK "http://www.chinapnr.com" </w:instrText>
      </w:r>
      <w:r>
        <w:fldChar w:fldCharType="separate"/>
      </w:r>
      <w:r>
        <w:rPr>
          <w:szCs w:val="20"/>
        </w:rPr>
        <w:t>www.chinapnr.com</w:t>
      </w:r>
      <w:r>
        <w:rPr>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北京微动利基金销售有限公司</w:t>
      </w:r>
    </w:p>
    <w:p>
      <w:pPr>
        <w:spacing w:line="360" w:lineRule="auto"/>
        <w:ind w:firstLine="540" w:firstLineChars="225"/>
        <w:rPr>
          <w:sz w:val="24"/>
          <w:szCs w:val="20"/>
        </w:rPr>
      </w:pPr>
      <w:r>
        <w:rPr>
          <w:rFonts w:hint="eastAsia"/>
          <w:sz w:val="24"/>
          <w:szCs w:val="20"/>
        </w:rPr>
        <w:t>注册地址：北京市石景山区古城西路</w:t>
      </w:r>
      <w:r>
        <w:rPr>
          <w:sz w:val="24"/>
          <w:szCs w:val="20"/>
        </w:rPr>
        <w:t>113</w:t>
      </w:r>
      <w:r>
        <w:rPr>
          <w:rFonts w:hint="eastAsia"/>
          <w:sz w:val="24"/>
          <w:szCs w:val="20"/>
        </w:rPr>
        <w:t>号景山财富中心</w:t>
      </w:r>
      <w:r>
        <w:rPr>
          <w:sz w:val="24"/>
          <w:szCs w:val="20"/>
        </w:rPr>
        <w:t>341</w:t>
      </w:r>
    </w:p>
    <w:p>
      <w:pPr>
        <w:spacing w:line="360" w:lineRule="auto"/>
        <w:ind w:firstLine="540" w:firstLineChars="225"/>
        <w:rPr>
          <w:sz w:val="24"/>
          <w:szCs w:val="20"/>
        </w:rPr>
      </w:pPr>
      <w:r>
        <w:rPr>
          <w:rFonts w:hint="eastAsia"/>
          <w:sz w:val="24"/>
          <w:szCs w:val="20"/>
        </w:rPr>
        <w:t>法定代表人：季长军</w:t>
      </w:r>
    </w:p>
    <w:p>
      <w:pPr>
        <w:spacing w:line="360" w:lineRule="auto"/>
        <w:ind w:firstLine="540" w:firstLineChars="225"/>
        <w:rPr>
          <w:sz w:val="24"/>
          <w:szCs w:val="20"/>
        </w:rPr>
      </w:pPr>
      <w:r>
        <w:rPr>
          <w:rFonts w:hint="eastAsia"/>
          <w:sz w:val="24"/>
          <w:szCs w:val="20"/>
        </w:rPr>
        <w:t>客户服务电话：400-819-6665</w:t>
      </w:r>
    </w:p>
    <w:p>
      <w:pPr>
        <w:spacing w:line="360" w:lineRule="auto"/>
        <w:ind w:firstLine="540" w:firstLineChars="225"/>
        <w:rPr>
          <w:szCs w:val="20"/>
        </w:rPr>
      </w:pPr>
      <w:r>
        <w:rPr>
          <w:rFonts w:hint="eastAsia"/>
          <w:sz w:val="24"/>
          <w:szCs w:val="20"/>
        </w:rPr>
        <w:t>网址：</w:t>
      </w:r>
      <w:r>
        <w:rPr>
          <w:szCs w:val="20"/>
        </w:rPr>
        <w:t xml:space="preserve"> </w:t>
      </w:r>
      <w:r>
        <w:fldChar w:fldCharType="begin"/>
      </w:r>
      <w:r>
        <w:instrText xml:space="preserve"> HYPERLINK "http://www.buyforyou.com.cn" </w:instrText>
      </w:r>
      <w:r>
        <w:fldChar w:fldCharType="separate"/>
      </w:r>
      <w:r>
        <w:t>www.buyforyou.com.cn</w:t>
      </w:r>
      <w:r>
        <w:fldChar w:fldCharType="end"/>
      </w:r>
    </w:p>
    <w:p>
      <w:pPr>
        <w:pStyle w:val="52"/>
        <w:numPr>
          <w:ilvl w:val="0"/>
          <w:numId w:val="3"/>
        </w:numPr>
        <w:suppressAutoHyphens w:val="0"/>
        <w:spacing w:line="360" w:lineRule="auto"/>
        <w:ind w:firstLineChars="0"/>
        <w:rPr>
          <w:sz w:val="24"/>
          <w:szCs w:val="20"/>
        </w:rPr>
      </w:pPr>
      <w:r>
        <w:rPr>
          <w:rFonts w:hint="eastAsia"/>
          <w:sz w:val="24"/>
          <w:szCs w:val="20"/>
        </w:rPr>
        <w:t>北京虹点基金销售有限公司</w:t>
      </w:r>
    </w:p>
    <w:p>
      <w:pPr>
        <w:spacing w:line="360" w:lineRule="auto"/>
        <w:ind w:firstLine="540" w:firstLineChars="225"/>
        <w:rPr>
          <w:sz w:val="24"/>
          <w:szCs w:val="20"/>
        </w:rPr>
      </w:pPr>
      <w:r>
        <w:rPr>
          <w:rFonts w:hint="eastAsia"/>
          <w:sz w:val="24"/>
          <w:szCs w:val="20"/>
        </w:rPr>
        <w:t>注册地址：北京市朝阳区工人体育场北路甲2号裙房2层222单元</w:t>
      </w:r>
    </w:p>
    <w:p>
      <w:pPr>
        <w:spacing w:line="360" w:lineRule="auto"/>
        <w:ind w:firstLine="540" w:firstLineChars="225"/>
        <w:rPr>
          <w:sz w:val="24"/>
          <w:szCs w:val="20"/>
        </w:rPr>
      </w:pPr>
      <w:r>
        <w:rPr>
          <w:rFonts w:hint="eastAsia"/>
          <w:sz w:val="24"/>
          <w:szCs w:val="20"/>
        </w:rPr>
        <w:t>法定代表人：郑毓栋</w:t>
      </w:r>
    </w:p>
    <w:p>
      <w:pPr>
        <w:spacing w:line="360" w:lineRule="auto"/>
        <w:ind w:firstLine="540" w:firstLineChars="225"/>
        <w:rPr>
          <w:sz w:val="24"/>
          <w:szCs w:val="20"/>
        </w:rPr>
      </w:pPr>
      <w:r>
        <w:rPr>
          <w:rFonts w:hint="eastAsia"/>
          <w:sz w:val="24"/>
          <w:szCs w:val="20"/>
        </w:rPr>
        <w:t>客户服务电话：</w:t>
      </w:r>
      <w:r>
        <w:rPr>
          <w:sz w:val="24"/>
          <w:szCs w:val="20"/>
        </w:rPr>
        <w:t>400-618-0707</w:t>
      </w:r>
    </w:p>
    <w:p>
      <w:pPr>
        <w:spacing w:line="360" w:lineRule="auto"/>
        <w:ind w:firstLine="540" w:firstLineChars="225"/>
        <w:rPr>
          <w:sz w:val="24"/>
          <w:szCs w:val="20"/>
        </w:rPr>
      </w:pPr>
      <w:r>
        <w:rPr>
          <w:rFonts w:hint="eastAsia"/>
          <w:sz w:val="24"/>
          <w:szCs w:val="20"/>
        </w:rPr>
        <w:t>网址：</w:t>
      </w:r>
      <w:r>
        <w:rPr>
          <w:sz w:val="24"/>
          <w:szCs w:val="20"/>
        </w:rPr>
        <w:t>http://www.hongdianfund.com/</w:t>
      </w:r>
    </w:p>
    <w:p>
      <w:pPr>
        <w:pStyle w:val="52"/>
        <w:numPr>
          <w:ilvl w:val="0"/>
          <w:numId w:val="3"/>
        </w:numPr>
        <w:suppressAutoHyphens w:val="0"/>
        <w:spacing w:line="360" w:lineRule="auto"/>
        <w:ind w:firstLineChars="0"/>
        <w:rPr>
          <w:sz w:val="24"/>
          <w:szCs w:val="20"/>
        </w:rPr>
      </w:pPr>
      <w:r>
        <w:rPr>
          <w:rFonts w:hint="eastAsia"/>
          <w:sz w:val="24"/>
          <w:szCs w:val="20"/>
        </w:rPr>
        <w:t>深圳富济财富管理有限公司</w:t>
      </w:r>
    </w:p>
    <w:p>
      <w:pPr>
        <w:spacing w:line="360" w:lineRule="auto"/>
        <w:ind w:firstLine="540" w:firstLineChars="225"/>
        <w:rPr>
          <w:sz w:val="24"/>
          <w:szCs w:val="20"/>
        </w:rPr>
      </w:pPr>
      <w:r>
        <w:rPr>
          <w:rFonts w:hint="eastAsia"/>
          <w:sz w:val="24"/>
          <w:szCs w:val="20"/>
        </w:rPr>
        <w:t>注册地址：深圳市福田区福田街道金田路中洲大厦35层01B、02、03、04单位</w:t>
      </w:r>
    </w:p>
    <w:p>
      <w:pPr>
        <w:spacing w:line="360" w:lineRule="auto"/>
        <w:ind w:firstLine="540" w:firstLineChars="225"/>
        <w:rPr>
          <w:sz w:val="24"/>
          <w:szCs w:val="20"/>
        </w:rPr>
      </w:pPr>
      <w:r>
        <w:rPr>
          <w:rFonts w:hint="eastAsia"/>
          <w:sz w:val="24"/>
          <w:szCs w:val="20"/>
        </w:rPr>
        <w:t>法定代表人：刘鹏宇</w:t>
      </w:r>
    </w:p>
    <w:p>
      <w:pPr>
        <w:spacing w:line="360" w:lineRule="auto"/>
        <w:ind w:firstLine="540" w:firstLineChars="225"/>
        <w:rPr>
          <w:sz w:val="24"/>
          <w:szCs w:val="20"/>
        </w:rPr>
      </w:pPr>
      <w:r>
        <w:rPr>
          <w:rFonts w:hint="eastAsia"/>
          <w:sz w:val="24"/>
          <w:szCs w:val="20"/>
        </w:rPr>
        <w:t>客户服务电话：</w:t>
      </w:r>
      <w:r>
        <w:rPr>
          <w:sz w:val="24"/>
          <w:szCs w:val="20"/>
        </w:rPr>
        <w:t xml:space="preserve">0755-83999913 </w:t>
      </w:r>
    </w:p>
    <w:p>
      <w:pPr>
        <w:spacing w:line="360" w:lineRule="auto"/>
        <w:ind w:firstLine="540" w:firstLineChars="225"/>
        <w:rPr>
          <w:sz w:val="24"/>
          <w:szCs w:val="20"/>
        </w:rPr>
      </w:pPr>
      <w:r>
        <w:rPr>
          <w:rFonts w:hint="eastAsia"/>
          <w:sz w:val="24"/>
          <w:szCs w:val="20"/>
        </w:rPr>
        <w:t>网址：</w:t>
      </w:r>
      <w:r>
        <w:rPr>
          <w:sz w:val="24"/>
          <w:szCs w:val="20"/>
        </w:rPr>
        <w:t>http://www.fujiwealth.cn/</w:t>
      </w:r>
    </w:p>
    <w:p>
      <w:pPr>
        <w:pStyle w:val="52"/>
        <w:numPr>
          <w:ilvl w:val="0"/>
          <w:numId w:val="3"/>
        </w:numPr>
        <w:suppressAutoHyphens w:val="0"/>
        <w:spacing w:line="360" w:lineRule="auto"/>
        <w:ind w:firstLineChars="0"/>
        <w:rPr>
          <w:sz w:val="24"/>
          <w:szCs w:val="20"/>
        </w:rPr>
      </w:pPr>
      <w:r>
        <w:rPr>
          <w:rFonts w:hint="eastAsia"/>
          <w:sz w:val="24"/>
          <w:szCs w:val="20"/>
        </w:rPr>
        <w:t>上海陆金所基金销售有限公司</w:t>
      </w:r>
    </w:p>
    <w:p>
      <w:pPr>
        <w:spacing w:line="360" w:lineRule="auto"/>
        <w:ind w:firstLine="540" w:firstLineChars="225"/>
        <w:rPr>
          <w:sz w:val="24"/>
          <w:szCs w:val="20"/>
        </w:rPr>
      </w:pPr>
      <w:r>
        <w:rPr>
          <w:rFonts w:hint="eastAsia"/>
          <w:sz w:val="24"/>
          <w:szCs w:val="20"/>
        </w:rPr>
        <w:t>注册地址：上海市浦东新区陆家嘴环路1333号14楼09单元</w:t>
      </w:r>
    </w:p>
    <w:p>
      <w:pPr>
        <w:spacing w:line="360" w:lineRule="auto"/>
        <w:ind w:firstLine="540" w:firstLineChars="225"/>
        <w:rPr>
          <w:sz w:val="24"/>
          <w:szCs w:val="20"/>
        </w:rPr>
      </w:pPr>
      <w:r>
        <w:rPr>
          <w:rFonts w:hint="eastAsia"/>
          <w:sz w:val="24"/>
          <w:szCs w:val="20"/>
        </w:rPr>
        <w:t>法定代表人：王之光</w:t>
      </w:r>
    </w:p>
    <w:p>
      <w:pPr>
        <w:spacing w:line="360" w:lineRule="auto"/>
        <w:ind w:firstLine="540" w:firstLineChars="225"/>
        <w:rPr>
          <w:sz w:val="24"/>
          <w:szCs w:val="20"/>
        </w:rPr>
      </w:pPr>
      <w:r>
        <w:rPr>
          <w:rFonts w:hint="eastAsia"/>
          <w:sz w:val="24"/>
          <w:szCs w:val="20"/>
        </w:rPr>
        <w:t>客户服务电话：</w:t>
      </w:r>
      <w:r>
        <w:rPr>
          <w:sz w:val="24"/>
          <w:szCs w:val="20"/>
        </w:rPr>
        <w:t>400</w:t>
      </w:r>
      <w:r>
        <w:rPr>
          <w:rFonts w:hint="eastAsia"/>
          <w:sz w:val="24"/>
          <w:szCs w:val="20"/>
        </w:rPr>
        <w:t>-</w:t>
      </w:r>
      <w:r>
        <w:rPr>
          <w:sz w:val="24"/>
          <w:szCs w:val="20"/>
        </w:rPr>
        <w:t>821</w:t>
      </w:r>
      <w:r>
        <w:rPr>
          <w:rFonts w:hint="eastAsia"/>
          <w:sz w:val="24"/>
          <w:szCs w:val="20"/>
        </w:rPr>
        <w:t>-</w:t>
      </w:r>
      <w:r>
        <w:rPr>
          <w:sz w:val="24"/>
          <w:szCs w:val="20"/>
        </w:rPr>
        <w:t>9031</w:t>
      </w:r>
    </w:p>
    <w:p>
      <w:pPr>
        <w:spacing w:line="360" w:lineRule="auto"/>
        <w:ind w:firstLine="540" w:firstLineChars="225"/>
        <w:rPr>
          <w:sz w:val="24"/>
          <w:szCs w:val="20"/>
        </w:rPr>
      </w:pPr>
      <w:r>
        <w:rPr>
          <w:rFonts w:hint="eastAsia"/>
          <w:sz w:val="24"/>
          <w:szCs w:val="20"/>
        </w:rPr>
        <w:t>网址：</w:t>
      </w:r>
      <w:r>
        <w:rPr>
          <w:sz w:val="24"/>
          <w:szCs w:val="20"/>
        </w:rPr>
        <w:t xml:space="preserve"> www.lufunds.com /</w:t>
      </w:r>
    </w:p>
    <w:p>
      <w:pPr>
        <w:pStyle w:val="52"/>
        <w:numPr>
          <w:ilvl w:val="0"/>
          <w:numId w:val="3"/>
        </w:numPr>
        <w:suppressAutoHyphens w:val="0"/>
        <w:spacing w:line="360" w:lineRule="auto"/>
        <w:ind w:firstLineChars="0"/>
        <w:rPr>
          <w:sz w:val="24"/>
          <w:szCs w:val="20"/>
        </w:rPr>
      </w:pPr>
      <w:r>
        <w:rPr>
          <w:rFonts w:hint="eastAsia"/>
          <w:sz w:val="24"/>
          <w:szCs w:val="20"/>
        </w:rPr>
        <w:t>大泰金石基金销售有限公司</w:t>
      </w:r>
    </w:p>
    <w:p>
      <w:pPr>
        <w:spacing w:line="360" w:lineRule="auto"/>
        <w:ind w:firstLine="540" w:firstLineChars="225"/>
        <w:rPr>
          <w:sz w:val="24"/>
          <w:szCs w:val="20"/>
        </w:rPr>
      </w:pPr>
      <w:r>
        <w:rPr>
          <w:rFonts w:hint="eastAsia"/>
          <w:sz w:val="24"/>
          <w:szCs w:val="20"/>
        </w:rPr>
        <w:t>注册地址：南京市建邺区江东中路222号南京奥体中心现代五项馆2105室</w:t>
      </w:r>
    </w:p>
    <w:p>
      <w:pPr>
        <w:spacing w:line="360" w:lineRule="auto"/>
        <w:ind w:firstLine="540" w:firstLineChars="225"/>
        <w:rPr>
          <w:sz w:val="24"/>
          <w:szCs w:val="20"/>
        </w:rPr>
      </w:pPr>
      <w:r>
        <w:rPr>
          <w:sz w:val="24"/>
          <w:szCs w:val="20"/>
        </w:rPr>
        <w:t>法定代表人</w:t>
      </w:r>
      <w:r>
        <w:rPr>
          <w:rFonts w:hint="eastAsia"/>
          <w:sz w:val="24"/>
          <w:szCs w:val="20"/>
        </w:rPr>
        <w:t>：姚杨</w:t>
      </w:r>
    </w:p>
    <w:p>
      <w:pPr>
        <w:spacing w:line="360" w:lineRule="auto"/>
        <w:ind w:firstLine="540" w:firstLineChars="225"/>
        <w:rPr>
          <w:sz w:val="24"/>
          <w:szCs w:val="20"/>
        </w:rPr>
      </w:pPr>
      <w:r>
        <w:rPr>
          <w:rFonts w:hint="eastAsia"/>
          <w:sz w:val="24"/>
          <w:szCs w:val="20"/>
        </w:rPr>
        <w:t>客户服务热线：</w:t>
      </w:r>
      <w:r>
        <w:rPr>
          <w:sz w:val="24"/>
          <w:szCs w:val="20"/>
        </w:rPr>
        <w:t>400-928-2266</w:t>
      </w:r>
    </w:p>
    <w:p>
      <w:pPr>
        <w:spacing w:line="360" w:lineRule="auto"/>
        <w:ind w:firstLine="540" w:firstLineChars="225"/>
        <w:rPr>
          <w:sz w:val="24"/>
          <w:szCs w:val="20"/>
        </w:rPr>
      </w:pPr>
      <w:r>
        <w:rPr>
          <w:rFonts w:hint="eastAsia"/>
          <w:sz w:val="24"/>
          <w:szCs w:val="20"/>
        </w:rPr>
        <w:t>网址：</w:t>
      </w:r>
      <w:r>
        <w:fldChar w:fldCharType="begin"/>
      </w:r>
      <w:r>
        <w:instrText xml:space="preserve"> HYPERLINK "https://www.dtfunds.com/" </w:instrText>
      </w:r>
      <w:r>
        <w:fldChar w:fldCharType="separate"/>
      </w:r>
      <w:r>
        <w:rPr>
          <w:szCs w:val="20"/>
        </w:rPr>
        <w:t>https://www.dtfunds.com/</w:t>
      </w:r>
      <w:r>
        <w:rPr>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珠海盈米基金销售有限公司</w:t>
      </w:r>
    </w:p>
    <w:p>
      <w:pPr>
        <w:spacing w:line="360" w:lineRule="auto"/>
        <w:ind w:firstLine="540" w:firstLineChars="225"/>
        <w:rPr>
          <w:sz w:val="24"/>
          <w:szCs w:val="20"/>
        </w:rPr>
      </w:pPr>
      <w:r>
        <w:rPr>
          <w:rFonts w:hint="eastAsia"/>
          <w:sz w:val="24"/>
          <w:szCs w:val="20"/>
        </w:rPr>
        <w:t>注册地址：珠海市横琴新区宝华路6号105室-3491</w:t>
      </w:r>
    </w:p>
    <w:p>
      <w:pPr>
        <w:spacing w:line="360" w:lineRule="auto"/>
        <w:ind w:firstLine="540" w:firstLineChars="225"/>
        <w:rPr>
          <w:sz w:val="24"/>
          <w:szCs w:val="20"/>
        </w:rPr>
      </w:pPr>
      <w:r>
        <w:rPr>
          <w:rFonts w:hint="eastAsia"/>
          <w:sz w:val="24"/>
          <w:szCs w:val="20"/>
        </w:rPr>
        <w:t>法定代表人：肖雯</w:t>
      </w:r>
    </w:p>
    <w:p>
      <w:pPr>
        <w:spacing w:line="360" w:lineRule="auto"/>
        <w:ind w:firstLine="540" w:firstLineChars="225"/>
        <w:rPr>
          <w:sz w:val="24"/>
          <w:szCs w:val="20"/>
        </w:rPr>
      </w:pPr>
      <w:r>
        <w:rPr>
          <w:rFonts w:hint="eastAsia"/>
          <w:sz w:val="24"/>
          <w:szCs w:val="20"/>
        </w:rPr>
        <w:t>客户服务热线：</w:t>
      </w:r>
      <w:r>
        <w:rPr>
          <w:sz w:val="24"/>
          <w:szCs w:val="20"/>
        </w:rPr>
        <w:t>020-89629066</w:t>
      </w:r>
    </w:p>
    <w:p>
      <w:pPr>
        <w:spacing w:line="360" w:lineRule="auto"/>
        <w:ind w:firstLine="540" w:firstLineChars="225"/>
        <w:rPr>
          <w:szCs w:val="20"/>
        </w:rPr>
      </w:pPr>
      <w:r>
        <w:rPr>
          <w:rFonts w:hint="eastAsia"/>
          <w:sz w:val="24"/>
          <w:szCs w:val="20"/>
        </w:rPr>
        <w:t>网址：</w:t>
      </w:r>
      <w:r>
        <w:fldChar w:fldCharType="begin"/>
      </w:r>
      <w:r>
        <w:instrText xml:space="preserve"> HYPERLINK "http://www.yingmi.cn/" </w:instrText>
      </w:r>
      <w:r>
        <w:fldChar w:fldCharType="separate"/>
      </w:r>
      <w:r>
        <w:rPr>
          <w:szCs w:val="20"/>
        </w:rPr>
        <w:t>http://www.yingmi.cn/</w:t>
      </w:r>
      <w:r>
        <w:rPr>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奕丰金融基金销售有限公司</w:t>
      </w:r>
    </w:p>
    <w:p>
      <w:pPr>
        <w:spacing w:line="360" w:lineRule="auto"/>
        <w:ind w:firstLine="540" w:firstLineChars="225"/>
        <w:rPr>
          <w:sz w:val="24"/>
          <w:szCs w:val="20"/>
        </w:rPr>
      </w:pPr>
      <w:r>
        <w:rPr>
          <w:rFonts w:hint="eastAsia"/>
          <w:sz w:val="24"/>
          <w:szCs w:val="20"/>
        </w:rPr>
        <w:t>注册地址：深圳市前海深港合作区前湾一路1号A 栋 201 室（入驻深圳市前海商务秘书有限公司）</w:t>
      </w:r>
    </w:p>
    <w:p>
      <w:pPr>
        <w:spacing w:line="360" w:lineRule="auto"/>
        <w:ind w:firstLine="540" w:firstLineChars="225"/>
        <w:rPr>
          <w:sz w:val="24"/>
          <w:szCs w:val="20"/>
        </w:rPr>
      </w:pPr>
      <w:r>
        <w:rPr>
          <w:sz w:val="24"/>
          <w:szCs w:val="20"/>
        </w:rPr>
        <w:t>法定代表人：TEO WEE HOWE</w:t>
      </w:r>
    </w:p>
    <w:p>
      <w:pPr>
        <w:spacing w:line="360" w:lineRule="auto"/>
        <w:ind w:firstLine="540" w:firstLineChars="225"/>
        <w:rPr>
          <w:sz w:val="24"/>
          <w:szCs w:val="20"/>
        </w:rPr>
      </w:pPr>
      <w:r>
        <w:rPr>
          <w:rFonts w:hint="eastAsia"/>
          <w:sz w:val="24"/>
          <w:szCs w:val="20"/>
        </w:rPr>
        <w:t>客户服务热线：</w:t>
      </w:r>
      <w:r>
        <w:rPr>
          <w:sz w:val="24"/>
          <w:szCs w:val="20"/>
        </w:rPr>
        <w:t>400-684-0500</w:t>
      </w:r>
    </w:p>
    <w:p>
      <w:pPr>
        <w:spacing w:line="360" w:lineRule="auto"/>
        <w:ind w:firstLine="540" w:firstLineChars="225"/>
        <w:rPr>
          <w:sz w:val="24"/>
          <w:szCs w:val="20"/>
        </w:rPr>
      </w:pPr>
      <w:r>
        <w:rPr>
          <w:rFonts w:hint="eastAsia"/>
          <w:sz w:val="24"/>
          <w:szCs w:val="20"/>
        </w:rPr>
        <w:t>网址：</w:t>
      </w:r>
      <w:r>
        <w:rPr>
          <w:sz w:val="24"/>
          <w:szCs w:val="20"/>
        </w:rPr>
        <w:t>https:// www.ifastps.com.cn</w:t>
      </w:r>
    </w:p>
    <w:p>
      <w:pPr>
        <w:pStyle w:val="52"/>
        <w:numPr>
          <w:ilvl w:val="0"/>
          <w:numId w:val="3"/>
        </w:numPr>
        <w:suppressAutoHyphens w:val="0"/>
        <w:spacing w:line="360" w:lineRule="auto"/>
        <w:ind w:firstLineChars="0"/>
        <w:rPr>
          <w:sz w:val="24"/>
          <w:szCs w:val="20"/>
        </w:rPr>
      </w:pPr>
      <w:r>
        <w:rPr>
          <w:rFonts w:hint="eastAsia"/>
          <w:sz w:val="24"/>
          <w:szCs w:val="20"/>
        </w:rPr>
        <w:t>北京蛋卷基金销售有限公司</w:t>
      </w:r>
    </w:p>
    <w:p>
      <w:pPr>
        <w:spacing w:line="360" w:lineRule="auto"/>
        <w:ind w:firstLine="540" w:firstLineChars="225"/>
        <w:rPr>
          <w:sz w:val="24"/>
          <w:szCs w:val="20"/>
        </w:rPr>
      </w:pPr>
      <w:r>
        <w:rPr>
          <w:rFonts w:hint="eastAsia"/>
          <w:sz w:val="24"/>
          <w:szCs w:val="20"/>
        </w:rPr>
        <w:t>注册地址：北京市朝阳区阜通东大街1号院6号楼2单元21层222507</w:t>
      </w:r>
    </w:p>
    <w:p>
      <w:pPr>
        <w:spacing w:line="360" w:lineRule="auto"/>
        <w:ind w:firstLine="540" w:firstLineChars="225"/>
        <w:rPr>
          <w:sz w:val="24"/>
          <w:szCs w:val="20"/>
        </w:rPr>
      </w:pPr>
      <w:r>
        <w:rPr>
          <w:rFonts w:hint="eastAsia"/>
          <w:sz w:val="24"/>
          <w:szCs w:val="20"/>
        </w:rPr>
        <w:t>法定代表人：钟斐斐</w:t>
      </w:r>
      <w:r>
        <w:rPr>
          <w:sz w:val="24"/>
          <w:szCs w:val="20"/>
        </w:rPr>
        <w:t xml:space="preserve"> </w:t>
      </w:r>
    </w:p>
    <w:p>
      <w:pPr>
        <w:spacing w:line="360" w:lineRule="auto"/>
        <w:ind w:firstLine="540" w:firstLineChars="225"/>
        <w:rPr>
          <w:sz w:val="24"/>
          <w:szCs w:val="20"/>
        </w:rPr>
      </w:pPr>
      <w:r>
        <w:rPr>
          <w:rFonts w:hint="eastAsia"/>
          <w:sz w:val="24"/>
          <w:szCs w:val="20"/>
        </w:rPr>
        <w:t xml:space="preserve">客户服务热线：4000-618-518     </w:t>
      </w:r>
    </w:p>
    <w:p>
      <w:pPr>
        <w:spacing w:line="360" w:lineRule="auto"/>
        <w:ind w:firstLine="540" w:firstLineChars="225"/>
        <w:rPr>
          <w:sz w:val="24"/>
          <w:szCs w:val="20"/>
        </w:rPr>
      </w:pPr>
      <w:r>
        <w:rPr>
          <w:rFonts w:hint="eastAsia"/>
          <w:sz w:val="24"/>
          <w:szCs w:val="20"/>
        </w:rPr>
        <w:t>网址：</w:t>
      </w:r>
      <w:r>
        <w:fldChar w:fldCharType="begin"/>
      </w:r>
      <w:r>
        <w:instrText xml:space="preserve"> HYPERLINK "https://danjuanapp.com/" </w:instrText>
      </w:r>
      <w:r>
        <w:fldChar w:fldCharType="separate"/>
      </w:r>
      <w:r>
        <w:rPr>
          <w:rFonts w:hint="eastAsia"/>
          <w:sz w:val="24"/>
          <w:szCs w:val="20"/>
        </w:rPr>
        <w:t>https://danjuanapp.com/</w:t>
      </w:r>
      <w:r>
        <w:rPr>
          <w:sz w:val="24"/>
          <w:szCs w:val="20"/>
        </w:rPr>
        <w:fldChar w:fldCharType="end"/>
      </w:r>
    </w:p>
    <w:p>
      <w:pPr>
        <w:pStyle w:val="52"/>
        <w:numPr>
          <w:ilvl w:val="0"/>
          <w:numId w:val="3"/>
        </w:numPr>
        <w:suppressAutoHyphens w:val="0"/>
        <w:spacing w:line="360" w:lineRule="auto"/>
        <w:ind w:firstLineChars="0"/>
        <w:rPr>
          <w:sz w:val="24"/>
          <w:szCs w:val="20"/>
        </w:rPr>
      </w:pPr>
      <w:r>
        <w:rPr>
          <w:rFonts w:hint="eastAsia"/>
          <w:sz w:val="24"/>
          <w:szCs w:val="20"/>
        </w:rPr>
        <w:t>上海华夏财富投资管理有限公司</w:t>
      </w:r>
    </w:p>
    <w:p>
      <w:pPr>
        <w:spacing w:line="360" w:lineRule="auto"/>
        <w:ind w:firstLine="540" w:firstLineChars="225"/>
        <w:rPr>
          <w:sz w:val="24"/>
          <w:szCs w:val="20"/>
        </w:rPr>
      </w:pPr>
      <w:r>
        <w:rPr>
          <w:rFonts w:hint="eastAsia"/>
          <w:sz w:val="24"/>
          <w:szCs w:val="20"/>
        </w:rPr>
        <w:t>注册地址：上海市虹口区东大名路687号1幢2楼268室</w:t>
      </w:r>
    </w:p>
    <w:p>
      <w:pPr>
        <w:spacing w:line="360" w:lineRule="auto"/>
        <w:ind w:firstLine="540" w:firstLineChars="225"/>
        <w:rPr>
          <w:sz w:val="24"/>
          <w:szCs w:val="20"/>
        </w:rPr>
      </w:pPr>
      <w:r>
        <w:rPr>
          <w:rFonts w:hint="eastAsia"/>
          <w:sz w:val="24"/>
          <w:szCs w:val="20"/>
        </w:rPr>
        <w:t>法定代表人：毛淮平</w:t>
      </w:r>
    </w:p>
    <w:p>
      <w:pPr>
        <w:spacing w:line="360" w:lineRule="auto"/>
        <w:ind w:firstLine="540" w:firstLineChars="225"/>
        <w:rPr>
          <w:sz w:val="24"/>
          <w:szCs w:val="20"/>
        </w:rPr>
      </w:pPr>
      <w:r>
        <w:rPr>
          <w:rFonts w:hint="eastAsia"/>
          <w:sz w:val="24"/>
          <w:szCs w:val="20"/>
        </w:rPr>
        <w:t>客户服务热线：</w:t>
      </w:r>
      <w:r>
        <w:rPr>
          <w:sz w:val="24"/>
          <w:szCs w:val="20"/>
        </w:rPr>
        <w:t>400-817-5666</w:t>
      </w:r>
    </w:p>
    <w:p>
      <w:pPr>
        <w:spacing w:line="360" w:lineRule="auto"/>
        <w:ind w:firstLine="540" w:firstLineChars="225"/>
        <w:rPr>
          <w:sz w:val="24"/>
          <w:szCs w:val="20"/>
        </w:rPr>
      </w:pPr>
      <w:r>
        <w:rPr>
          <w:rFonts w:hint="eastAsia"/>
          <w:sz w:val="24"/>
          <w:szCs w:val="20"/>
        </w:rPr>
        <w:t>网址：https://</w:t>
      </w:r>
      <w:r>
        <w:rPr>
          <w:sz w:val="24"/>
          <w:szCs w:val="20"/>
        </w:rPr>
        <w:t>www.amcfortune.com</w:t>
      </w:r>
    </w:p>
    <w:p>
      <w:pPr>
        <w:numPr>
          <w:ilvl w:val="0"/>
          <w:numId w:val="4"/>
        </w:numPr>
        <w:suppressAutoHyphens w:val="0"/>
        <w:spacing w:line="360" w:lineRule="auto"/>
        <w:rPr>
          <w:rFonts w:hint="eastAsia" w:ascii="宋体" w:hAnsi="宋体"/>
          <w:bCs/>
          <w:sz w:val="24"/>
        </w:rPr>
      </w:pPr>
      <w:r>
        <w:rPr>
          <w:rFonts w:hint="eastAsia" w:ascii="宋体" w:hAnsi="宋体"/>
          <w:sz w:val="24"/>
        </w:rPr>
        <w:t>中国国际金融股份有限公司</w:t>
      </w:r>
    </w:p>
    <w:p>
      <w:pPr>
        <w:spacing w:line="360" w:lineRule="auto"/>
        <w:ind w:left="480"/>
        <w:rPr>
          <w:rFonts w:hint="eastAsia" w:ascii="宋体" w:hAnsi="宋体"/>
          <w:bCs/>
          <w:sz w:val="24"/>
        </w:rPr>
      </w:pPr>
      <w:r>
        <w:rPr>
          <w:rFonts w:hint="eastAsia" w:ascii="宋体" w:hAnsi="宋体"/>
          <w:bCs/>
          <w:sz w:val="24"/>
        </w:rPr>
        <w:t>注册地址：北京市建国门外大街1号国贸大厦2座27层及28层</w:t>
      </w:r>
      <w:r>
        <w:rPr>
          <w:rFonts w:hint="eastAsia" w:ascii="宋体" w:hAnsi="宋体"/>
          <w:bCs/>
          <w:sz w:val="24"/>
        </w:rPr>
        <w:cr/>
      </w:r>
      <w:r>
        <w:rPr>
          <w:rFonts w:hint="eastAsia" w:ascii="宋体" w:hAnsi="宋体"/>
          <w:bCs/>
          <w:sz w:val="24"/>
        </w:rPr>
        <w:t>法定代表人： 丁学东</w:t>
      </w:r>
      <w:r>
        <w:rPr>
          <w:rFonts w:hint="eastAsia" w:ascii="宋体" w:hAnsi="宋体"/>
          <w:bCs/>
          <w:sz w:val="24"/>
        </w:rPr>
        <w:cr/>
      </w:r>
      <w:r>
        <w:rPr>
          <w:rFonts w:hint="eastAsia" w:ascii="宋体" w:hAnsi="宋体"/>
          <w:bCs/>
          <w:sz w:val="24"/>
        </w:rPr>
        <w:t>客户服务热线：400-910-1166</w:t>
      </w:r>
      <w:r>
        <w:rPr>
          <w:rFonts w:hint="eastAsia" w:ascii="宋体" w:hAnsi="宋体"/>
          <w:bCs/>
          <w:sz w:val="24"/>
        </w:rPr>
        <w:cr/>
      </w:r>
      <w:r>
        <w:rPr>
          <w:rFonts w:hint="eastAsia" w:ascii="宋体" w:hAnsi="宋体"/>
          <w:bCs/>
          <w:sz w:val="24"/>
        </w:rPr>
        <w:t>网址：</w:t>
      </w:r>
      <w:r>
        <w:rPr>
          <w:rFonts w:ascii="宋体" w:hAnsi="宋体"/>
          <w:bCs/>
          <w:sz w:val="24"/>
        </w:rPr>
        <w:fldChar w:fldCharType="begin"/>
      </w:r>
      <w:r>
        <w:rPr>
          <w:rFonts w:ascii="宋体" w:hAnsi="宋体"/>
          <w:bCs/>
          <w:sz w:val="24"/>
        </w:rPr>
        <w:instrText xml:space="preserve"> HYPERLINK "http://</w:instrText>
      </w:r>
      <w:r>
        <w:rPr>
          <w:rFonts w:hint="eastAsia" w:ascii="宋体" w:hAnsi="宋体"/>
          <w:bCs/>
          <w:sz w:val="24"/>
        </w:rPr>
        <w:instrText xml:space="preserve">www.cicc.com.cn</w:instrText>
      </w:r>
      <w:r>
        <w:rPr>
          <w:rFonts w:ascii="宋体" w:hAnsi="宋体"/>
          <w:bCs/>
          <w:sz w:val="24"/>
        </w:rPr>
        <w:instrText xml:space="preserve">" </w:instrText>
      </w:r>
      <w:r>
        <w:rPr>
          <w:rFonts w:ascii="宋体" w:hAnsi="宋体"/>
          <w:bCs/>
          <w:sz w:val="24"/>
        </w:rPr>
        <w:fldChar w:fldCharType="separate"/>
      </w:r>
      <w:r>
        <w:rPr>
          <w:rFonts w:hint="eastAsia" w:ascii="宋体" w:hAnsi="宋体"/>
          <w:bCs/>
          <w:sz w:val="24"/>
        </w:rPr>
        <w:t>www.cicc.com.cn</w:t>
      </w:r>
      <w:r>
        <w:rPr>
          <w:rFonts w:ascii="宋体" w:hAnsi="宋体"/>
          <w:bCs/>
          <w:sz w:val="24"/>
        </w:rPr>
        <w:fldChar w:fldCharType="end"/>
      </w:r>
    </w:p>
    <w:p>
      <w:pPr>
        <w:numPr>
          <w:ilvl w:val="0"/>
          <w:numId w:val="4"/>
        </w:numPr>
        <w:suppressAutoHyphens w:val="0"/>
        <w:spacing w:line="360" w:lineRule="auto"/>
        <w:rPr>
          <w:rFonts w:hint="eastAsia" w:ascii="宋体" w:hAnsi="宋体"/>
          <w:bCs/>
          <w:sz w:val="24"/>
        </w:rPr>
      </w:pPr>
      <w:r>
        <w:rPr>
          <w:rFonts w:hint="eastAsia" w:ascii="宋体" w:hAnsi="宋体"/>
          <w:bCs/>
          <w:sz w:val="24"/>
        </w:rPr>
        <w:t>中信期货有限公司</w:t>
      </w:r>
    </w:p>
    <w:p>
      <w:pPr>
        <w:spacing w:line="360" w:lineRule="auto"/>
        <w:ind w:left="480"/>
        <w:rPr>
          <w:rFonts w:hint="eastAsia" w:ascii="宋体" w:hAnsi="宋体"/>
          <w:bCs/>
          <w:sz w:val="24"/>
        </w:rPr>
      </w:pPr>
      <w:r>
        <w:rPr>
          <w:rFonts w:hint="eastAsia" w:ascii="宋体" w:hAnsi="宋体"/>
          <w:bCs/>
          <w:sz w:val="24"/>
        </w:rPr>
        <w:t>地址：深圳市福田区中心三路8号卓越时代广场（二期）北座13层1301-1305、14层</w:t>
      </w:r>
      <w:r>
        <w:rPr>
          <w:rFonts w:hint="eastAsia" w:ascii="宋体" w:hAnsi="宋体"/>
          <w:bCs/>
          <w:sz w:val="24"/>
        </w:rPr>
        <w:cr/>
      </w:r>
      <w:r>
        <w:rPr>
          <w:rFonts w:hint="eastAsia" w:ascii="宋体" w:hAnsi="宋体"/>
          <w:bCs/>
          <w:sz w:val="24"/>
        </w:rPr>
        <w:t>法定代表人：张皓</w:t>
      </w:r>
      <w:r>
        <w:rPr>
          <w:rFonts w:hint="eastAsia" w:ascii="宋体" w:hAnsi="宋体"/>
          <w:bCs/>
          <w:sz w:val="24"/>
        </w:rPr>
        <w:cr/>
      </w:r>
      <w:r>
        <w:rPr>
          <w:rFonts w:hint="eastAsia" w:ascii="宋体" w:hAnsi="宋体"/>
          <w:bCs/>
          <w:sz w:val="24"/>
        </w:rPr>
        <w:t>客服电话：400 9908 826</w:t>
      </w:r>
      <w:r>
        <w:rPr>
          <w:rFonts w:hint="eastAsia" w:ascii="宋体" w:hAnsi="宋体"/>
          <w:bCs/>
          <w:sz w:val="24"/>
        </w:rPr>
        <w:cr/>
      </w:r>
      <w:r>
        <w:rPr>
          <w:rFonts w:hint="eastAsia" w:ascii="宋体" w:hAnsi="宋体"/>
          <w:bCs/>
          <w:sz w:val="24"/>
        </w:rPr>
        <w:t>网址：</w:t>
      </w:r>
      <w:r>
        <w:rPr>
          <w:rFonts w:ascii="宋体" w:hAnsi="宋体"/>
          <w:bCs/>
          <w:sz w:val="24"/>
        </w:rPr>
        <w:fldChar w:fldCharType="begin"/>
      </w:r>
      <w:r>
        <w:rPr>
          <w:rFonts w:ascii="宋体" w:hAnsi="宋体"/>
          <w:bCs/>
          <w:sz w:val="24"/>
        </w:rPr>
        <w:instrText xml:space="preserve"> HYPERLINK "</w:instrText>
      </w:r>
      <w:r>
        <w:rPr>
          <w:rFonts w:hint="eastAsia" w:ascii="宋体" w:hAnsi="宋体"/>
          <w:bCs/>
          <w:sz w:val="24"/>
        </w:rPr>
        <w:instrText xml:space="preserve">http://www.citicsf.com</w:instrText>
      </w:r>
      <w:r>
        <w:rPr>
          <w:rFonts w:ascii="宋体" w:hAnsi="宋体"/>
          <w:bCs/>
          <w:sz w:val="24"/>
        </w:rPr>
        <w:instrText xml:space="preserve">" </w:instrText>
      </w:r>
      <w:r>
        <w:rPr>
          <w:rFonts w:ascii="宋体" w:hAnsi="宋体"/>
          <w:bCs/>
          <w:sz w:val="24"/>
        </w:rPr>
        <w:fldChar w:fldCharType="separate"/>
      </w:r>
      <w:r>
        <w:rPr>
          <w:rFonts w:hint="eastAsia" w:ascii="宋体" w:hAnsi="宋体"/>
          <w:bCs/>
          <w:sz w:val="24"/>
        </w:rPr>
        <w:t>http://www.citicsf.com</w:t>
      </w:r>
      <w:r>
        <w:rPr>
          <w:rFonts w:ascii="宋体" w:hAnsi="宋体"/>
          <w:bCs/>
          <w:sz w:val="24"/>
        </w:rPr>
        <w:fldChar w:fldCharType="end"/>
      </w:r>
    </w:p>
    <w:p>
      <w:pPr>
        <w:numPr>
          <w:ilvl w:val="0"/>
          <w:numId w:val="4"/>
        </w:numPr>
        <w:suppressAutoHyphens w:val="0"/>
        <w:spacing w:line="360" w:lineRule="auto"/>
        <w:rPr>
          <w:rFonts w:hint="eastAsia" w:ascii="宋体" w:hAnsi="宋体"/>
          <w:bCs/>
          <w:sz w:val="24"/>
        </w:rPr>
      </w:pPr>
      <w:r>
        <w:rPr>
          <w:rFonts w:hint="eastAsia" w:ascii="宋体" w:hAnsi="宋体"/>
          <w:bCs/>
          <w:sz w:val="24"/>
        </w:rPr>
        <w:t>北京植信基金销售有限公司联系方式</w:t>
      </w:r>
    </w:p>
    <w:p>
      <w:pPr>
        <w:spacing w:line="360" w:lineRule="auto"/>
        <w:ind w:firstLine="600" w:firstLineChars="250"/>
        <w:rPr>
          <w:rFonts w:hint="eastAsia" w:ascii="宋体" w:hAnsi="宋体"/>
          <w:bCs/>
          <w:sz w:val="24"/>
        </w:rPr>
      </w:pPr>
      <w:r>
        <w:rPr>
          <w:rFonts w:hint="eastAsia" w:ascii="宋体" w:hAnsi="宋体"/>
          <w:bCs/>
          <w:sz w:val="24"/>
        </w:rPr>
        <w:t>法定代表人：于龙</w:t>
      </w:r>
    </w:p>
    <w:p>
      <w:pPr>
        <w:spacing w:line="360" w:lineRule="auto"/>
        <w:ind w:firstLine="600" w:firstLineChars="250"/>
        <w:rPr>
          <w:rFonts w:ascii="宋体" w:hAnsi="宋体"/>
          <w:bCs/>
          <w:sz w:val="24"/>
        </w:rPr>
      </w:pPr>
      <w:r>
        <w:rPr>
          <w:rFonts w:hint="eastAsia" w:ascii="宋体" w:hAnsi="宋体"/>
          <w:bCs/>
          <w:sz w:val="24"/>
        </w:rPr>
        <w:t>地址：</w:t>
      </w:r>
      <w:r>
        <w:rPr>
          <w:rFonts w:ascii="宋体" w:hAnsi="宋体"/>
          <w:bCs/>
          <w:sz w:val="24"/>
        </w:rPr>
        <w:t>北京朝阳区四惠盛世龙源国食苑10号楼</w:t>
      </w:r>
    </w:p>
    <w:p>
      <w:pPr>
        <w:spacing w:line="360" w:lineRule="auto"/>
        <w:ind w:firstLine="600" w:firstLineChars="250"/>
        <w:rPr>
          <w:rFonts w:ascii="宋体" w:hAnsi="宋体"/>
          <w:bCs/>
          <w:sz w:val="24"/>
        </w:rPr>
      </w:pPr>
      <w:r>
        <w:rPr>
          <w:rFonts w:hint="eastAsia" w:ascii="宋体" w:hAnsi="宋体"/>
          <w:bCs/>
          <w:sz w:val="24"/>
        </w:rPr>
        <w:t>客户服务电话</w:t>
      </w:r>
      <w:r>
        <w:rPr>
          <w:rFonts w:ascii="宋体" w:hAnsi="宋体"/>
          <w:bCs/>
          <w:sz w:val="24"/>
        </w:rPr>
        <w:t xml:space="preserve">: 4006-802-123 </w:t>
      </w:r>
    </w:p>
    <w:p>
      <w:pPr>
        <w:numPr>
          <w:ilvl w:val="0"/>
          <w:numId w:val="4"/>
        </w:numPr>
        <w:suppressAutoHyphens w:val="0"/>
        <w:spacing w:line="360" w:lineRule="auto"/>
        <w:rPr>
          <w:rFonts w:hint="eastAsia" w:ascii="宋体" w:hAnsi="宋体"/>
          <w:bCs/>
          <w:sz w:val="24"/>
        </w:rPr>
      </w:pPr>
      <w:r>
        <w:rPr>
          <w:rFonts w:hint="eastAsia" w:ascii="宋体" w:hAnsi="宋体"/>
          <w:bCs/>
          <w:sz w:val="24"/>
        </w:rPr>
        <w:t>网址：</w:t>
      </w:r>
      <w:r>
        <w:rPr>
          <w:rFonts w:ascii="宋体" w:hAnsi="宋体"/>
          <w:bCs/>
          <w:sz w:val="24"/>
        </w:rPr>
        <w:fldChar w:fldCharType="begin"/>
      </w:r>
      <w:r>
        <w:rPr>
          <w:rFonts w:ascii="宋体" w:hAnsi="宋体"/>
          <w:bCs/>
          <w:sz w:val="24"/>
        </w:rPr>
        <w:instrText xml:space="preserve"> HYPERLINK "http://www</w:instrText>
      </w:r>
      <w:r>
        <w:rPr>
          <w:rFonts w:hint="eastAsia" w:ascii="宋体" w:hAnsi="宋体"/>
          <w:bCs/>
          <w:sz w:val="24"/>
        </w:rPr>
        <w:instrText xml:space="preserve">.zhixin-inv</w:instrText>
      </w:r>
      <w:r>
        <w:rPr>
          <w:rFonts w:ascii="宋体" w:hAnsi="宋体"/>
          <w:bCs/>
          <w:sz w:val="24"/>
        </w:rPr>
        <w:instrText xml:space="preserve">.com" </w:instrText>
      </w:r>
      <w:r>
        <w:rPr>
          <w:rFonts w:ascii="宋体" w:hAnsi="宋体"/>
          <w:bCs/>
          <w:sz w:val="24"/>
        </w:rPr>
        <w:fldChar w:fldCharType="separate"/>
      </w:r>
      <w:r>
        <w:rPr>
          <w:rFonts w:ascii="宋体" w:hAnsi="宋体"/>
          <w:bCs/>
          <w:sz w:val="24"/>
        </w:rPr>
        <w:t>www</w:t>
      </w:r>
      <w:r>
        <w:rPr>
          <w:rFonts w:hint="eastAsia" w:ascii="宋体" w:hAnsi="宋体"/>
          <w:bCs/>
          <w:sz w:val="24"/>
        </w:rPr>
        <w:t>.zhixin-inv</w:t>
      </w:r>
      <w:r>
        <w:rPr>
          <w:rFonts w:ascii="宋体" w:hAnsi="宋体"/>
          <w:bCs/>
          <w:sz w:val="24"/>
        </w:rPr>
        <w:t>.com</w:t>
      </w:r>
      <w:r>
        <w:rPr>
          <w:rFonts w:ascii="宋体" w:hAnsi="宋体"/>
          <w:bCs/>
          <w:sz w:val="24"/>
        </w:rPr>
        <w:fldChar w:fldCharType="end"/>
      </w:r>
      <w:r>
        <w:rPr>
          <w:rFonts w:hint="eastAsia" w:ascii="宋体" w:hAnsi="宋体"/>
          <w:bCs/>
          <w:sz w:val="24"/>
        </w:rPr>
        <w:t>平安证券股份有限公司</w:t>
      </w:r>
    </w:p>
    <w:p>
      <w:pPr>
        <w:spacing w:line="360" w:lineRule="auto"/>
        <w:ind w:left="480"/>
        <w:rPr>
          <w:rFonts w:hint="eastAsia" w:ascii="宋体" w:hAnsi="宋体"/>
          <w:bCs/>
          <w:sz w:val="24"/>
        </w:rPr>
      </w:pPr>
      <w:r>
        <w:rPr>
          <w:rFonts w:hint="eastAsia" w:ascii="宋体" w:hAnsi="宋体"/>
          <w:bCs/>
          <w:sz w:val="24"/>
        </w:rPr>
        <w:t>注册地址：深圳市金田路大中华国际交易广场8楼</w:t>
      </w:r>
      <w:r>
        <w:rPr>
          <w:rFonts w:hint="eastAsia" w:ascii="宋体" w:hAnsi="宋体"/>
          <w:bCs/>
          <w:sz w:val="24"/>
        </w:rPr>
        <w:cr/>
      </w:r>
      <w:r>
        <w:rPr>
          <w:rFonts w:hint="eastAsia" w:ascii="宋体" w:hAnsi="宋体"/>
          <w:bCs/>
          <w:sz w:val="24"/>
        </w:rPr>
        <w:t>法定代表人：何之江</w:t>
      </w:r>
      <w:r>
        <w:rPr>
          <w:rFonts w:hint="eastAsia" w:ascii="宋体" w:hAnsi="宋体"/>
          <w:bCs/>
          <w:sz w:val="24"/>
        </w:rPr>
        <w:cr/>
      </w:r>
      <w:r>
        <w:rPr>
          <w:rFonts w:hint="eastAsia" w:ascii="宋体" w:hAnsi="宋体"/>
          <w:bCs/>
          <w:sz w:val="24"/>
        </w:rPr>
        <w:t>客服热线：4008866338</w:t>
      </w:r>
      <w:r>
        <w:rPr>
          <w:rFonts w:hint="eastAsia" w:ascii="宋体" w:hAnsi="宋体"/>
          <w:bCs/>
          <w:sz w:val="24"/>
        </w:rPr>
        <w:cr/>
      </w:r>
      <w:r>
        <w:rPr>
          <w:rFonts w:hint="eastAsia" w:ascii="宋体" w:hAnsi="宋体"/>
          <w:bCs/>
          <w:sz w:val="24"/>
        </w:rPr>
        <w:t xml:space="preserve">网址：stock.pingan.com </w:t>
      </w:r>
    </w:p>
    <w:p>
      <w:pPr>
        <w:numPr>
          <w:ilvl w:val="0"/>
          <w:numId w:val="4"/>
        </w:numPr>
        <w:suppressAutoHyphens w:val="0"/>
        <w:spacing w:line="360" w:lineRule="auto"/>
        <w:rPr>
          <w:rFonts w:hint="eastAsia" w:ascii="宋体" w:hAnsi="宋体"/>
          <w:bCs/>
          <w:sz w:val="24"/>
        </w:rPr>
      </w:pPr>
      <w:r>
        <w:rPr>
          <w:rFonts w:hint="eastAsia" w:ascii="宋体" w:hAnsi="宋体"/>
          <w:bCs/>
          <w:sz w:val="24"/>
        </w:rPr>
        <w:t>上海长量基金销售投资顾问有限公司</w:t>
      </w:r>
    </w:p>
    <w:p>
      <w:pPr>
        <w:spacing w:line="360" w:lineRule="auto"/>
        <w:ind w:left="480"/>
        <w:rPr>
          <w:rFonts w:hint="eastAsia" w:ascii="宋体" w:hAnsi="宋体"/>
          <w:bCs/>
          <w:sz w:val="24"/>
        </w:rPr>
      </w:pPr>
      <w:r>
        <w:rPr>
          <w:rFonts w:hint="eastAsia" w:ascii="宋体" w:hAnsi="宋体"/>
          <w:bCs/>
          <w:sz w:val="24"/>
        </w:rPr>
        <w:t>地址：上海浦东新区浦东大道555号裕景国际B座16层</w:t>
      </w:r>
      <w:r>
        <w:rPr>
          <w:rFonts w:hint="eastAsia" w:ascii="宋体" w:hAnsi="宋体"/>
          <w:bCs/>
          <w:sz w:val="24"/>
        </w:rPr>
        <w:cr/>
      </w:r>
      <w:r>
        <w:rPr>
          <w:rFonts w:hint="eastAsia" w:ascii="宋体" w:hAnsi="宋体"/>
          <w:bCs/>
          <w:sz w:val="24"/>
        </w:rPr>
        <w:t>法定代表人：张跃伟</w:t>
      </w:r>
      <w:r>
        <w:rPr>
          <w:rFonts w:hint="eastAsia" w:ascii="宋体" w:hAnsi="宋体"/>
          <w:bCs/>
          <w:sz w:val="24"/>
        </w:rPr>
        <w:cr/>
      </w:r>
      <w:r>
        <w:rPr>
          <w:rFonts w:hint="eastAsia" w:ascii="宋体" w:hAnsi="宋体"/>
          <w:bCs/>
          <w:sz w:val="24"/>
        </w:rPr>
        <w:t>电话：400-820-2899</w:t>
      </w:r>
      <w:r>
        <w:rPr>
          <w:rFonts w:hint="eastAsia" w:ascii="宋体" w:hAnsi="宋体"/>
          <w:bCs/>
          <w:sz w:val="24"/>
        </w:rPr>
        <w:cr/>
      </w:r>
      <w:r>
        <w:rPr>
          <w:rFonts w:hint="eastAsia" w:ascii="宋体" w:hAnsi="宋体"/>
          <w:bCs/>
          <w:sz w:val="24"/>
        </w:rPr>
        <w:t>网址：</w:t>
      </w:r>
      <w:r>
        <w:rPr>
          <w:rFonts w:ascii="宋体" w:hAnsi="宋体"/>
          <w:bCs/>
          <w:sz w:val="24"/>
        </w:rPr>
        <w:fldChar w:fldCharType="begin"/>
      </w:r>
      <w:r>
        <w:rPr>
          <w:rFonts w:ascii="宋体" w:hAnsi="宋体"/>
          <w:bCs/>
          <w:sz w:val="24"/>
        </w:rPr>
        <w:instrText xml:space="preserve"> HYPERLINK "</w:instrText>
      </w:r>
      <w:r>
        <w:rPr>
          <w:rFonts w:hint="eastAsia" w:ascii="宋体" w:hAnsi="宋体"/>
          <w:bCs/>
          <w:sz w:val="24"/>
        </w:rPr>
        <w:instrText xml:space="preserve">http://www.erichfund.com/websiteII/html/index.html</w:instrText>
      </w:r>
      <w:r>
        <w:rPr>
          <w:rFonts w:ascii="宋体" w:hAnsi="宋体"/>
          <w:bCs/>
          <w:sz w:val="24"/>
        </w:rPr>
        <w:instrText xml:space="preserve">" </w:instrText>
      </w:r>
      <w:r>
        <w:rPr>
          <w:rFonts w:ascii="宋体" w:hAnsi="宋体"/>
          <w:bCs/>
          <w:sz w:val="24"/>
        </w:rPr>
        <w:fldChar w:fldCharType="separate"/>
      </w:r>
      <w:r>
        <w:rPr>
          <w:rFonts w:hint="eastAsia" w:ascii="宋体" w:hAnsi="宋体"/>
          <w:bCs/>
          <w:sz w:val="24"/>
        </w:rPr>
        <w:t>http://www.erichfund.com/websiteII/html/index.html</w:t>
      </w:r>
      <w:r>
        <w:rPr>
          <w:rFonts w:ascii="宋体" w:hAnsi="宋体"/>
          <w:bCs/>
          <w:sz w:val="24"/>
        </w:rPr>
        <w:fldChar w:fldCharType="end"/>
      </w:r>
    </w:p>
    <w:p>
      <w:pPr>
        <w:numPr>
          <w:ilvl w:val="0"/>
          <w:numId w:val="4"/>
        </w:numPr>
        <w:suppressAutoHyphens w:val="0"/>
        <w:spacing w:line="360" w:lineRule="auto"/>
        <w:rPr>
          <w:rFonts w:hint="eastAsia" w:ascii="宋体" w:hAnsi="宋体"/>
          <w:bCs/>
          <w:sz w:val="24"/>
        </w:rPr>
      </w:pPr>
      <w:r>
        <w:rPr>
          <w:rFonts w:hint="eastAsia" w:ascii="宋体" w:hAnsi="宋体"/>
          <w:bCs/>
          <w:sz w:val="24"/>
        </w:rPr>
        <w:t>中信期货有限公司</w:t>
      </w:r>
    </w:p>
    <w:p>
      <w:pPr>
        <w:spacing w:line="360" w:lineRule="auto"/>
        <w:ind w:left="480"/>
        <w:rPr>
          <w:rFonts w:hint="eastAsia" w:ascii="宋体" w:hAnsi="宋体"/>
          <w:bCs/>
          <w:sz w:val="24"/>
        </w:rPr>
      </w:pPr>
      <w:r>
        <w:rPr>
          <w:rFonts w:hint="eastAsia" w:ascii="宋体" w:hAnsi="宋体"/>
          <w:bCs/>
          <w:sz w:val="24"/>
        </w:rPr>
        <w:t>地址：深圳市福田区中心三路8号卓越时代广场（二期）北座13层1301-1305、14层</w:t>
      </w:r>
      <w:r>
        <w:rPr>
          <w:rFonts w:hint="eastAsia" w:ascii="宋体" w:hAnsi="宋体"/>
          <w:bCs/>
          <w:sz w:val="24"/>
        </w:rPr>
        <w:cr/>
      </w:r>
      <w:r>
        <w:rPr>
          <w:rFonts w:hint="eastAsia" w:ascii="宋体" w:hAnsi="宋体"/>
          <w:bCs/>
          <w:sz w:val="24"/>
        </w:rPr>
        <w:t>法定代表人：张皓</w:t>
      </w:r>
      <w:r>
        <w:rPr>
          <w:rFonts w:hint="eastAsia" w:ascii="宋体" w:hAnsi="宋体"/>
          <w:bCs/>
          <w:sz w:val="24"/>
        </w:rPr>
        <w:cr/>
      </w:r>
      <w:r>
        <w:rPr>
          <w:rFonts w:hint="eastAsia" w:ascii="宋体" w:hAnsi="宋体"/>
          <w:bCs/>
          <w:sz w:val="24"/>
        </w:rPr>
        <w:t>客服电话：400 9908 826</w:t>
      </w:r>
      <w:r>
        <w:rPr>
          <w:rFonts w:hint="eastAsia" w:ascii="宋体" w:hAnsi="宋体"/>
          <w:bCs/>
          <w:sz w:val="24"/>
        </w:rPr>
        <w:cr/>
      </w:r>
      <w:r>
        <w:rPr>
          <w:rFonts w:hint="eastAsia" w:ascii="宋体" w:hAnsi="宋体"/>
          <w:bCs/>
          <w:sz w:val="24"/>
        </w:rPr>
        <w:t>网址：</w:t>
      </w:r>
      <w:r>
        <w:rPr>
          <w:rFonts w:ascii="宋体" w:hAnsi="宋体"/>
          <w:bCs/>
          <w:sz w:val="24"/>
        </w:rPr>
        <w:fldChar w:fldCharType="begin"/>
      </w:r>
      <w:r>
        <w:rPr>
          <w:rFonts w:ascii="宋体" w:hAnsi="宋体"/>
          <w:bCs/>
          <w:sz w:val="24"/>
        </w:rPr>
        <w:instrText xml:space="preserve"> HYPERLINK "</w:instrText>
      </w:r>
      <w:r>
        <w:rPr>
          <w:rFonts w:hint="eastAsia" w:ascii="宋体" w:hAnsi="宋体"/>
          <w:bCs/>
          <w:sz w:val="24"/>
        </w:rPr>
        <w:instrText xml:space="preserve">http://www.citicsf.com</w:instrText>
      </w:r>
      <w:r>
        <w:rPr>
          <w:rFonts w:ascii="宋体" w:hAnsi="宋体"/>
          <w:bCs/>
          <w:sz w:val="24"/>
        </w:rPr>
        <w:instrText xml:space="preserve">" </w:instrText>
      </w:r>
      <w:r>
        <w:rPr>
          <w:rFonts w:ascii="宋体" w:hAnsi="宋体"/>
          <w:bCs/>
          <w:sz w:val="24"/>
        </w:rPr>
        <w:fldChar w:fldCharType="separate"/>
      </w:r>
      <w:r>
        <w:rPr>
          <w:rFonts w:hint="eastAsia" w:ascii="宋体" w:hAnsi="宋体"/>
          <w:bCs/>
          <w:sz w:val="24"/>
        </w:rPr>
        <w:t>http://www.citicsf.com</w:t>
      </w:r>
      <w:r>
        <w:rPr>
          <w:rFonts w:ascii="宋体" w:hAnsi="宋体"/>
          <w:bCs/>
          <w:sz w:val="24"/>
        </w:rPr>
        <w:fldChar w:fldCharType="end"/>
      </w:r>
    </w:p>
    <w:p>
      <w:pPr>
        <w:numPr>
          <w:ilvl w:val="0"/>
          <w:numId w:val="4"/>
        </w:numPr>
        <w:suppressAutoHyphens w:val="0"/>
        <w:spacing w:line="360" w:lineRule="auto"/>
        <w:rPr>
          <w:rFonts w:hint="eastAsia" w:ascii="宋体" w:hAnsi="宋体"/>
          <w:bCs/>
          <w:sz w:val="24"/>
        </w:rPr>
      </w:pPr>
      <w:r>
        <w:rPr>
          <w:rFonts w:hint="eastAsia" w:ascii="宋体" w:hAnsi="宋体"/>
          <w:bCs/>
          <w:sz w:val="24"/>
        </w:rPr>
        <w:t>华融证券股份有限公司</w:t>
      </w:r>
    </w:p>
    <w:p>
      <w:pPr>
        <w:spacing w:line="360" w:lineRule="auto"/>
        <w:ind w:left="480"/>
        <w:rPr>
          <w:rFonts w:hint="eastAsia" w:ascii="宋体" w:hAnsi="宋体"/>
          <w:bCs/>
          <w:sz w:val="24"/>
        </w:rPr>
      </w:pPr>
      <w:r>
        <w:rPr>
          <w:rFonts w:hint="eastAsia" w:ascii="宋体" w:hAnsi="宋体"/>
          <w:bCs/>
          <w:sz w:val="24"/>
        </w:rPr>
        <w:t>法定代表人：</w:t>
      </w:r>
      <w:r>
        <w:rPr>
          <w:rFonts w:ascii="宋体" w:hAnsi="宋体"/>
          <w:bCs/>
          <w:sz w:val="24"/>
        </w:rPr>
        <w:t>祝献忠</w:t>
      </w:r>
    </w:p>
    <w:p>
      <w:pPr>
        <w:spacing w:line="360" w:lineRule="auto"/>
        <w:rPr>
          <w:rFonts w:hint="eastAsia" w:ascii="宋体" w:hAnsi="宋体"/>
          <w:bCs/>
          <w:sz w:val="24"/>
        </w:rPr>
      </w:pPr>
      <w:r>
        <w:rPr>
          <w:rFonts w:hint="eastAsia" w:ascii="宋体" w:hAnsi="宋体"/>
          <w:bCs/>
          <w:sz w:val="24"/>
        </w:rPr>
        <w:t xml:space="preserve">    地址：北京市朝阳区朝阳门北大街18号中国人保寿险大厦11至18层</w:t>
      </w:r>
    </w:p>
    <w:p>
      <w:pPr>
        <w:spacing w:line="360" w:lineRule="auto"/>
        <w:rPr>
          <w:rFonts w:hint="eastAsia" w:ascii="宋体" w:hAnsi="宋体"/>
          <w:bCs/>
          <w:sz w:val="24"/>
        </w:rPr>
      </w:pPr>
      <w:r>
        <w:rPr>
          <w:rFonts w:hint="eastAsia" w:ascii="宋体" w:hAnsi="宋体"/>
          <w:bCs/>
          <w:sz w:val="24"/>
        </w:rPr>
        <w:t xml:space="preserve">    客服电话：95390</w:t>
      </w:r>
    </w:p>
    <w:p>
      <w:pPr>
        <w:spacing w:line="360" w:lineRule="auto"/>
        <w:ind w:firstLine="480"/>
        <w:rPr>
          <w:rFonts w:hint="eastAsia" w:ascii="宋体" w:hAnsi="宋体"/>
          <w:bCs/>
          <w:sz w:val="24"/>
        </w:rPr>
      </w:pPr>
      <w:r>
        <w:rPr>
          <w:rFonts w:hint="eastAsia" w:ascii="宋体" w:hAnsi="宋体"/>
          <w:bCs/>
          <w:sz w:val="24"/>
        </w:rPr>
        <w:t>网址：</w:t>
      </w:r>
      <w:r>
        <w:rPr>
          <w:rFonts w:ascii="宋体" w:hAnsi="宋体"/>
          <w:bCs/>
          <w:sz w:val="24"/>
        </w:rPr>
        <w:fldChar w:fldCharType="begin"/>
      </w:r>
      <w:r>
        <w:rPr>
          <w:rFonts w:ascii="宋体" w:hAnsi="宋体"/>
          <w:bCs/>
          <w:sz w:val="24"/>
        </w:rPr>
        <w:instrText xml:space="preserve"> HYPERLINK "http://www.hrsec.com.cn/main/index/index.shtml?0" </w:instrText>
      </w:r>
      <w:r>
        <w:rPr>
          <w:rFonts w:ascii="宋体" w:hAnsi="宋体"/>
          <w:bCs/>
          <w:sz w:val="24"/>
        </w:rPr>
        <w:fldChar w:fldCharType="separate"/>
      </w:r>
      <w:r>
        <w:rPr>
          <w:rFonts w:ascii="宋体" w:hAnsi="宋体"/>
          <w:bCs/>
          <w:sz w:val="24"/>
        </w:rPr>
        <w:t>http://www.hrsec.com.cn/main/index/index.shtml?0</w:t>
      </w:r>
      <w:r>
        <w:rPr>
          <w:rFonts w:ascii="宋体" w:hAnsi="宋体"/>
          <w:bCs/>
          <w:sz w:val="24"/>
        </w:rPr>
        <w:fldChar w:fldCharType="end"/>
      </w:r>
    </w:p>
    <w:p>
      <w:pPr>
        <w:numPr>
          <w:ilvl w:val="0"/>
          <w:numId w:val="4"/>
        </w:numPr>
        <w:suppressAutoHyphens w:val="0"/>
        <w:spacing w:line="360" w:lineRule="auto"/>
        <w:rPr>
          <w:rFonts w:hint="eastAsia" w:ascii="宋体" w:hAnsi="宋体"/>
          <w:bCs/>
          <w:sz w:val="24"/>
        </w:rPr>
      </w:pPr>
      <w:r>
        <w:rPr>
          <w:rFonts w:hint="eastAsia" w:ascii="宋体" w:hAnsi="宋体"/>
          <w:bCs/>
          <w:sz w:val="24"/>
        </w:rPr>
        <w:t>华泰证券股份有限公司</w:t>
      </w:r>
    </w:p>
    <w:p>
      <w:pPr>
        <w:spacing w:line="360" w:lineRule="auto"/>
        <w:ind w:left="480"/>
        <w:rPr>
          <w:rFonts w:hint="eastAsia" w:ascii="宋体" w:hAnsi="宋体"/>
          <w:bCs/>
          <w:sz w:val="24"/>
        </w:rPr>
      </w:pPr>
      <w:r>
        <w:rPr>
          <w:rFonts w:hint="eastAsia" w:ascii="宋体" w:hAnsi="宋体"/>
          <w:bCs/>
          <w:sz w:val="24"/>
        </w:rPr>
        <w:t>地址：南京市江东中路228号</w:t>
      </w:r>
      <w:r>
        <w:rPr>
          <w:rFonts w:hint="eastAsia" w:ascii="宋体" w:hAnsi="宋体"/>
          <w:bCs/>
          <w:sz w:val="24"/>
        </w:rPr>
        <w:cr/>
      </w:r>
      <w:r>
        <w:rPr>
          <w:rFonts w:hint="eastAsia" w:ascii="宋体" w:hAnsi="宋体"/>
          <w:bCs/>
          <w:sz w:val="24"/>
        </w:rPr>
        <w:t>法定代表人：周易</w:t>
      </w:r>
      <w:r>
        <w:rPr>
          <w:rFonts w:hint="eastAsia" w:ascii="宋体" w:hAnsi="宋体"/>
          <w:bCs/>
          <w:sz w:val="24"/>
        </w:rPr>
        <w:cr/>
      </w:r>
      <w:r>
        <w:rPr>
          <w:rFonts w:hint="eastAsia" w:ascii="宋体" w:hAnsi="宋体"/>
          <w:bCs/>
          <w:sz w:val="24"/>
        </w:rPr>
        <w:t>客户咨询电话：0755-82492193</w:t>
      </w:r>
      <w:r>
        <w:rPr>
          <w:rFonts w:hint="eastAsia" w:ascii="宋体" w:hAnsi="宋体"/>
          <w:bCs/>
          <w:sz w:val="24"/>
        </w:rPr>
        <w:cr/>
      </w:r>
      <w:r>
        <w:rPr>
          <w:rFonts w:hint="eastAsia" w:ascii="宋体" w:hAnsi="宋体"/>
          <w:bCs/>
          <w:sz w:val="24"/>
        </w:rPr>
        <w:t>网址：www.htsc.com.cn</w:t>
      </w:r>
    </w:p>
    <w:p>
      <w:pPr>
        <w:numPr>
          <w:ilvl w:val="0"/>
          <w:numId w:val="4"/>
        </w:numPr>
        <w:spacing w:line="360" w:lineRule="auto"/>
        <w:rPr>
          <w:rFonts w:ascii="宋体" w:hAnsi="宋体" w:cs="宋体"/>
          <w:bCs/>
          <w:sz w:val="24"/>
        </w:rPr>
      </w:pPr>
      <w:r>
        <w:rPr>
          <w:rFonts w:hint="eastAsia" w:ascii="宋体" w:hAnsi="宋体" w:cs="宋体"/>
          <w:bCs/>
          <w:sz w:val="24"/>
        </w:rPr>
        <w:t>中信建投证券股份有限公司</w:t>
      </w:r>
    </w:p>
    <w:p>
      <w:pPr>
        <w:spacing w:line="360" w:lineRule="auto"/>
        <w:ind w:firstLine="480"/>
        <w:rPr>
          <w:rFonts w:ascii="宋体" w:hAnsi="宋体" w:cs="宋体"/>
          <w:bCs/>
          <w:sz w:val="24"/>
        </w:rPr>
      </w:pPr>
      <w:r>
        <w:rPr>
          <w:rFonts w:hint="eastAsia" w:ascii="宋体" w:hAnsi="宋体" w:cs="宋体"/>
          <w:bCs/>
          <w:sz w:val="24"/>
        </w:rPr>
        <w:t>住所：北京市朝阳区安立路</w:t>
      </w:r>
      <w:r>
        <w:rPr>
          <w:rFonts w:ascii="宋体" w:hAnsi="宋体" w:cs="宋体"/>
          <w:bCs/>
          <w:sz w:val="24"/>
        </w:rPr>
        <w:t>66</w:t>
      </w:r>
      <w:r>
        <w:rPr>
          <w:rFonts w:hint="eastAsia" w:ascii="宋体" w:hAnsi="宋体" w:cs="宋体"/>
          <w:bCs/>
          <w:sz w:val="24"/>
        </w:rPr>
        <w:t>号</w:t>
      </w:r>
      <w:r>
        <w:rPr>
          <w:rFonts w:ascii="宋体" w:hAnsi="宋体" w:cs="宋体"/>
          <w:bCs/>
          <w:sz w:val="24"/>
        </w:rPr>
        <w:t>4</w:t>
      </w:r>
      <w:r>
        <w:rPr>
          <w:rFonts w:hint="eastAsia" w:ascii="宋体" w:hAnsi="宋体" w:cs="宋体"/>
          <w:bCs/>
          <w:sz w:val="24"/>
        </w:rPr>
        <w:t>号楼</w:t>
      </w:r>
    </w:p>
    <w:p>
      <w:pPr>
        <w:spacing w:line="360" w:lineRule="auto"/>
        <w:ind w:firstLine="480"/>
        <w:rPr>
          <w:rFonts w:ascii="宋体" w:hAnsi="宋体" w:cs="宋体"/>
          <w:bCs/>
          <w:sz w:val="24"/>
        </w:rPr>
      </w:pPr>
      <w:r>
        <w:rPr>
          <w:rFonts w:hint="eastAsia" w:ascii="宋体" w:hAnsi="宋体" w:cs="宋体"/>
          <w:bCs/>
          <w:sz w:val="24"/>
        </w:rPr>
        <w:t>办公地址：北京市朝阳门内大街</w:t>
      </w:r>
      <w:r>
        <w:rPr>
          <w:rFonts w:ascii="宋体" w:hAnsi="宋体" w:cs="宋体"/>
          <w:bCs/>
          <w:sz w:val="24"/>
        </w:rPr>
        <w:t>188</w:t>
      </w:r>
      <w:r>
        <w:rPr>
          <w:rFonts w:hint="eastAsia" w:ascii="宋体" w:hAnsi="宋体" w:cs="宋体"/>
          <w:bCs/>
          <w:sz w:val="24"/>
        </w:rPr>
        <w:t>号</w:t>
      </w:r>
    </w:p>
    <w:p>
      <w:pPr>
        <w:spacing w:line="360" w:lineRule="auto"/>
        <w:ind w:firstLine="480"/>
        <w:rPr>
          <w:rFonts w:ascii="宋体" w:hAnsi="宋体" w:cs="宋体"/>
          <w:bCs/>
          <w:sz w:val="24"/>
        </w:rPr>
      </w:pPr>
      <w:r>
        <w:rPr>
          <w:rFonts w:hint="eastAsia" w:ascii="宋体" w:hAnsi="宋体" w:cs="宋体"/>
          <w:bCs/>
          <w:sz w:val="24"/>
        </w:rPr>
        <w:t>法定代表人：王常青</w:t>
      </w:r>
    </w:p>
    <w:p>
      <w:pPr>
        <w:spacing w:line="360" w:lineRule="auto"/>
        <w:ind w:firstLine="480"/>
        <w:rPr>
          <w:rFonts w:ascii="宋体" w:hAnsi="宋体" w:cs="宋体"/>
          <w:bCs/>
          <w:sz w:val="24"/>
        </w:rPr>
      </w:pPr>
      <w:r>
        <w:rPr>
          <w:rFonts w:hint="eastAsia" w:ascii="宋体" w:hAnsi="宋体" w:cs="宋体"/>
          <w:bCs/>
          <w:sz w:val="24"/>
        </w:rPr>
        <w:t>客户服务电话：</w:t>
      </w:r>
      <w:r>
        <w:rPr>
          <w:rFonts w:ascii="宋体" w:hAnsi="宋体" w:cs="宋体"/>
          <w:bCs/>
          <w:sz w:val="24"/>
        </w:rPr>
        <w:t>400-8888-108</w:t>
      </w:r>
    </w:p>
    <w:p>
      <w:pPr>
        <w:spacing w:line="360" w:lineRule="auto"/>
        <w:ind w:firstLine="480"/>
        <w:rPr>
          <w:rFonts w:ascii="宋体" w:hAnsi="宋体" w:cs="宋体"/>
          <w:bCs/>
          <w:sz w:val="24"/>
        </w:rPr>
      </w:pPr>
      <w:r>
        <w:rPr>
          <w:rFonts w:hint="eastAsia" w:ascii="宋体" w:hAnsi="宋体" w:cs="宋体"/>
          <w:bCs/>
          <w:sz w:val="24"/>
        </w:rPr>
        <w:t>公司网址：</w:t>
      </w:r>
      <w:r>
        <w:rPr>
          <w:rFonts w:ascii="宋体" w:hAnsi="宋体" w:cs="宋体"/>
          <w:bCs/>
          <w:sz w:val="24"/>
        </w:rPr>
        <w:t>www.csc108.com</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基金管理人可以根据相关法律法规要求，选择其他符合要求的机构代理销售本基金，并及时公告。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二、注册登记机构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名称：建信基金管理有限责任公司</w:t>
      </w:r>
      <w:r>
        <w:rPr>
          <w:rFonts w:ascii="宋体" w:hAnsi="宋体" w:cs="宋体"/>
          <w:bCs/>
          <w:color w:val="000000"/>
          <w:sz w:val="24"/>
        </w:rPr>
        <w:t xml:space="preserve">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住所：北京市西城区金融大街7号英蓝国际金融中心16层</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法定代表人：孙志晨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联系人：郑文广</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电话：010-66228888</w:t>
      </w:r>
    </w:p>
    <w:p>
      <w:pPr>
        <w:spacing w:line="360" w:lineRule="auto"/>
        <w:ind w:firstLine="480"/>
        <w:rPr>
          <w:rFonts w:ascii="宋体" w:hAnsi="宋体" w:cs="宋体"/>
          <w:bCs/>
          <w:color w:val="000000"/>
          <w:sz w:val="24"/>
        </w:rPr>
      </w:pPr>
      <w:r>
        <w:rPr>
          <w:rFonts w:hint="eastAsia" w:ascii="宋体" w:hAnsi="宋体" w:cs="宋体"/>
          <w:bCs/>
          <w:color w:val="000000"/>
          <w:sz w:val="24"/>
        </w:rPr>
        <w:t>三、出具法律意见书的律师事务所</w:t>
      </w:r>
    </w:p>
    <w:p>
      <w:pPr>
        <w:spacing w:line="360" w:lineRule="auto"/>
        <w:ind w:firstLine="480"/>
        <w:rPr>
          <w:rFonts w:ascii="宋体" w:hAnsi="宋体" w:cs="宋体"/>
          <w:bCs/>
          <w:color w:val="000000"/>
          <w:sz w:val="24"/>
        </w:rPr>
      </w:pPr>
      <w:r>
        <w:rPr>
          <w:rFonts w:ascii="宋体" w:hAnsi="宋体" w:cs="宋体"/>
          <w:bCs/>
          <w:color w:val="000000"/>
          <w:sz w:val="24"/>
        </w:rPr>
        <w:t>名称：</w:t>
      </w:r>
      <w:r>
        <w:rPr>
          <w:rFonts w:hint="eastAsia" w:ascii="宋体" w:hAnsi="宋体" w:cs="宋体"/>
          <w:bCs/>
          <w:color w:val="000000"/>
          <w:sz w:val="24"/>
        </w:rPr>
        <w:t>北京德恒律师事务所</w:t>
      </w:r>
    </w:p>
    <w:p>
      <w:pPr>
        <w:spacing w:line="360" w:lineRule="auto"/>
        <w:ind w:firstLine="480"/>
        <w:rPr>
          <w:rFonts w:ascii="宋体" w:hAnsi="宋体" w:cs="宋体"/>
          <w:bCs/>
          <w:color w:val="000000"/>
          <w:sz w:val="24"/>
        </w:rPr>
      </w:pPr>
      <w:r>
        <w:rPr>
          <w:rFonts w:ascii="宋体" w:hAnsi="宋体" w:cs="宋体"/>
          <w:bCs/>
          <w:color w:val="000000"/>
          <w:sz w:val="24"/>
        </w:rPr>
        <w:t>住所：</w:t>
      </w:r>
      <w:r>
        <w:rPr>
          <w:rFonts w:hint="eastAsia" w:ascii="宋体" w:hAnsi="宋体" w:cs="宋体"/>
          <w:bCs/>
          <w:color w:val="000000"/>
          <w:sz w:val="24"/>
        </w:rPr>
        <w:t>北京市西城区金融大街19号富凯大厦B座12层</w:t>
      </w:r>
    </w:p>
    <w:p>
      <w:pPr>
        <w:spacing w:line="360" w:lineRule="auto"/>
        <w:ind w:firstLine="480"/>
        <w:rPr>
          <w:rFonts w:ascii="宋体" w:hAnsi="宋体" w:cs="宋体"/>
          <w:bCs/>
          <w:color w:val="000000"/>
          <w:sz w:val="24"/>
        </w:rPr>
      </w:pPr>
      <w:r>
        <w:rPr>
          <w:rFonts w:ascii="宋体" w:hAnsi="宋体" w:cs="宋体"/>
          <w:bCs/>
          <w:color w:val="000000"/>
          <w:sz w:val="24"/>
        </w:rPr>
        <w:t>负责人：</w:t>
      </w:r>
      <w:r>
        <w:rPr>
          <w:rFonts w:hint="eastAsia" w:ascii="宋体" w:hAnsi="宋体" w:cs="宋体"/>
          <w:bCs/>
          <w:color w:val="000000"/>
          <w:sz w:val="24"/>
        </w:rPr>
        <w:t>王丽</w:t>
      </w:r>
    </w:p>
    <w:p>
      <w:pPr>
        <w:spacing w:line="360" w:lineRule="auto"/>
        <w:ind w:firstLine="480"/>
        <w:rPr>
          <w:rFonts w:ascii="宋体" w:hAnsi="宋体" w:cs="宋体"/>
          <w:bCs/>
          <w:color w:val="000000"/>
          <w:sz w:val="24"/>
        </w:rPr>
      </w:pPr>
      <w:r>
        <w:rPr>
          <w:rFonts w:ascii="宋体" w:hAnsi="宋体" w:cs="宋体"/>
          <w:bCs/>
          <w:color w:val="000000"/>
          <w:sz w:val="24"/>
        </w:rPr>
        <w:t>联系人：</w:t>
      </w:r>
      <w:r>
        <w:rPr>
          <w:rFonts w:hint="eastAsia" w:ascii="宋体" w:hAnsi="宋体" w:cs="宋体"/>
          <w:bCs/>
          <w:color w:val="000000"/>
          <w:sz w:val="24"/>
        </w:rPr>
        <w:t>徐建军</w:t>
      </w:r>
    </w:p>
    <w:p>
      <w:pPr>
        <w:spacing w:line="360" w:lineRule="auto"/>
        <w:ind w:firstLine="480"/>
        <w:rPr>
          <w:rFonts w:ascii="宋体" w:hAnsi="宋体" w:cs="宋体"/>
          <w:bCs/>
          <w:color w:val="000000"/>
          <w:sz w:val="24"/>
        </w:rPr>
      </w:pPr>
      <w:r>
        <w:rPr>
          <w:rFonts w:ascii="宋体" w:hAnsi="宋体" w:cs="宋体"/>
          <w:bCs/>
          <w:color w:val="000000"/>
          <w:sz w:val="24"/>
        </w:rPr>
        <w:t>电话：</w:t>
      </w:r>
      <w:r>
        <w:rPr>
          <w:rFonts w:hint="eastAsia" w:ascii="宋体" w:hAnsi="宋体" w:cs="宋体"/>
          <w:bCs/>
          <w:color w:val="000000"/>
          <w:sz w:val="24"/>
        </w:rPr>
        <w:t>010－66575888</w:t>
      </w:r>
    </w:p>
    <w:p>
      <w:pPr>
        <w:spacing w:line="360" w:lineRule="auto"/>
        <w:ind w:firstLine="480"/>
        <w:rPr>
          <w:rFonts w:ascii="宋体" w:hAnsi="宋体" w:cs="宋体"/>
          <w:bCs/>
          <w:color w:val="000000"/>
          <w:sz w:val="24"/>
        </w:rPr>
      </w:pPr>
      <w:r>
        <w:rPr>
          <w:rFonts w:ascii="宋体" w:hAnsi="宋体" w:cs="宋体"/>
          <w:bCs/>
          <w:color w:val="000000"/>
          <w:sz w:val="24"/>
        </w:rPr>
        <w:t>传真</w:t>
      </w:r>
      <w:r>
        <w:rPr>
          <w:rFonts w:hint="eastAsia" w:ascii="宋体" w:hAnsi="宋体" w:cs="宋体"/>
          <w:bCs/>
          <w:color w:val="000000"/>
          <w:sz w:val="24"/>
        </w:rPr>
        <w:t>：010－65232181</w:t>
      </w:r>
    </w:p>
    <w:p>
      <w:pPr>
        <w:spacing w:line="360" w:lineRule="auto"/>
        <w:ind w:firstLine="480"/>
        <w:rPr>
          <w:rFonts w:hint="eastAsia" w:ascii="宋体" w:hAnsi="宋体" w:cs="宋体"/>
          <w:bCs/>
          <w:color w:val="000000"/>
          <w:sz w:val="24"/>
        </w:rPr>
      </w:pPr>
      <w:r>
        <w:rPr>
          <w:rFonts w:ascii="宋体" w:hAnsi="宋体" w:cs="宋体"/>
          <w:bCs/>
          <w:color w:val="000000"/>
          <w:sz w:val="24"/>
        </w:rPr>
        <w:t>经办律师：</w:t>
      </w:r>
      <w:r>
        <w:rPr>
          <w:rFonts w:hint="eastAsia" w:ascii="宋体" w:hAnsi="宋体" w:cs="宋体"/>
          <w:bCs/>
          <w:color w:val="000000"/>
          <w:sz w:val="24"/>
        </w:rPr>
        <w:t>徐建军、刘焕志</w:t>
      </w:r>
    </w:p>
    <w:p>
      <w:pPr>
        <w:spacing w:line="360" w:lineRule="auto"/>
        <w:ind w:firstLine="480"/>
        <w:rPr>
          <w:rFonts w:hint="eastAsia" w:ascii="宋体" w:hAnsi="宋体" w:cs="宋体"/>
          <w:bCs/>
          <w:color w:val="000000"/>
          <w:sz w:val="24"/>
          <w:szCs w:val="20"/>
        </w:rPr>
      </w:pPr>
      <w:r>
        <w:rPr>
          <w:rFonts w:hint="eastAsia" w:ascii="宋体" w:hAnsi="宋体" w:cs="宋体"/>
          <w:bCs/>
          <w:color w:val="000000"/>
          <w:sz w:val="24"/>
        </w:rPr>
        <w:t>四、审计基金资产的会计师事务所</w:t>
      </w:r>
    </w:p>
    <w:p>
      <w:pPr>
        <w:spacing w:line="360" w:lineRule="auto"/>
        <w:ind w:firstLine="480"/>
        <w:rPr>
          <w:rFonts w:hint="eastAsia" w:ascii="宋体" w:hAnsi="宋体" w:cs="宋体"/>
          <w:bCs/>
          <w:color w:val="000000"/>
          <w:sz w:val="24"/>
          <w:szCs w:val="20"/>
        </w:rPr>
      </w:pPr>
      <w:r>
        <w:rPr>
          <w:rFonts w:hint="eastAsia" w:ascii="宋体" w:hAnsi="宋体" w:cs="宋体"/>
          <w:bCs/>
          <w:color w:val="000000"/>
          <w:sz w:val="24"/>
          <w:szCs w:val="20"/>
        </w:rPr>
        <w:t xml:space="preserve">普华永道中天会计师事务所（特殊普通合伙） </w:t>
      </w:r>
    </w:p>
    <w:p>
      <w:pPr>
        <w:spacing w:line="360" w:lineRule="auto"/>
        <w:ind w:firstLine="480"/>
        <w:rPr>
          <w:rFonts w:hint="eastAsia" w:ascii="宋体" w:hAnsi="宋体" w:cs="宋体"/>
          <w:bCs/>
          <w:color w:val="000000"/>
          <w:sz w:val="24"/>
          <w:szCs w:val="20"/>
        </w:rPr>
      </w:pPr>
      <w:r>
        <w:rPr>
          <w:rFonts w:hint="eastAsia" w:ascii="宋体" w:hAnsi="宋体" w:cs="宋体"/>
          <w:bCs/>
          <w:color w:val="000000"/>
          <w:sz w:val="24"/>
          <w:szCs w:val="20"/>
        </w:rPr>
        <w:t xml:space="preserve">注册地址：中国（上海）自由贸易试验区陆家嘴环路1318号星展银行大厦507单元01室 </w:t>
      </w:r>
    </w:p>
    <w:p>
      <w:pPr>
        <w:spacing w:line="360" w:lineRule="auto"/>
        <w:ind w:firstLine="480"/>
        <w:rPr>
          <w:rFonts w:hint="eastAsia" w:ascii="宋体" w:hAnsi="宋体" w:cs="宋体"/>
          <w:bCs/>
          <w:color w:val="000000"/>
          <w:sz w:val="24"/>
          <w:szCs w:val="20"/>
        </w:rPr>
      </w:pPr>
      <w:r>
        <w:rPr>
          <w:rFonts w:hint="eastAsia" w:ascii="宋体" w:hAnsi="宋体" w:cs="宋体"/>
          <w:bCs/>
          <w:color w:val="000000"/>
          <w:sz w:val="24"/>
          <w:szCs w:val="20"/>
        </w:rPr>
        <w:t xml:space="preserve">办公地址：上海市黄浦区湖滨路202号领展企业广场2座11楼 </w:t>
      </w:r>
    </w:p>
    <w:p>
      <w:pPr>
        <w:spacing w:line="360" w:lineRule="auto"/>
        <w:ind w:firstLine="480"/>
        <w:rPr>
          <w:rFonts w:hint="eastAsia" w:ascii="宋体" w:hAnsi="宋体" w:cs="宋体"/>
          <w:bCs/>
          <w:color w:val="000000"/>
          <w:sz w:val="24"/>
          <w:szCs w:val="20"/>
        </w:rPr>
      </w:pPr>
      <w:r>
        <w:rPr>
          <w:rFonts w:hint="eastAsia" w:ascii="宋体" w:hAnsi="宋体" w:cs="宋体"/>
          <w:bCs/>
          <w:color w:val="000000"/>
          <w:sz w:val="24"/>
          <w:szCs w:val="20"/>
        </w:rPr>
        <w:t>电话：021-2323 8888</w:t>
      </w:r>
    </w:p>
    <w:p>
      <w:pPr>
        <w:spacing w:line="360" w:lineRule="auto"/>
        <w:ind w:firstLine="480"/>
        <w:rPr>
          <w:rFonts w:hint="eastAsia" w:ascii="宋体" w:hAnsi="宋体" w:cs="宋体"/>
          <w:bCs/>
          <w:color w:val="000000"/>
          <w:sz w:val="24"/>
          <w:szCs w:val="20"/>
        </w:rPr>
      </w:pPr>
      <w:r>
        <w:rPr>
          <w:rFonts w:hint="eastAsia" w:ascii="宋体" w:hAnsi="宋体" w:cs="宋体"/>
          <w:bCs/>
          <w:color w:val="000000"/>
          <w:sz w:val="24"/>
          <w:szCs w:val="20"/>
        </w:rPr>
        <w:t xml:space="preserve">执行事务合伙人：李丹 </w:t>
      </w:r>
    </w:p>
    <w:p>
      <w:pPr>
        <w:spacing w:line="360" w:lineRule="auto"/>
        <w:ind w:firstLine="480"/>
        <w:rPr>
          <w:rFonts w:hint="eastAsia" w:ascii="宋体" w:hAnsi="宋体" w:cs="宋体"/>
          <w:bCs/>
          <w:color w:val="000000"/>
          <w:sz w:val="24"/>
          <w:szCs w:val="20"/>
        </w:rPr>
      </w:pPr>
      <w:r>
        <w:rPr>
          <w:rFonts w:hint="eastAsia" w:ascii="宋体" w:hAnsi="宋体" w:cs="宋体"/>
          <w:bCs/>
          <w:color w:val="000000"/>
          <w:sz w:val="24"/>
          <w:szCs w:val="20"/>
        </w:rPr>
        <w:t xml:space="preserve">经办注册会计师：许康玮、沈兆杰 </w:t>
      </w:r>
    </w:p>
    <w:p>
      <w:pPr>
        <w:spacing w:line="360" w:lineRule="auto"/>
        <w:ind w:firstLine="480"/>
        <w:rPr>
          <w:rFonts w:hint="eastAsia"/>
          <w:sz w:val="30"/>
        </w:rPr>
      </w:pPr>
      <w:r>
        <w:rPr>
          <w:rFonts w:hint="eastAsia" w:ascii="宋体" w:hAnsi="宋体" w:cs="宋体"/>
          <w:bCs/>
          <w:color w:val="000000"/>
          <w:sz w:val="24"/>
          <w:szCs w:val="20"/>
        </w:rPr>
        <w:t>联系人：沈兆杰</w:t>
      </w:r>
    </w:p>
    <w:p>
      <w:pPr>
        <w:pStyle w:val="2"/>
        <w:pageBreakBefore/>
        <w:spacing w:before="0" w:after="0"/>
        <w:jc w:val="center"/>
        <w:rPr>
          <w:rFonts w:hint="eastAsia" w:cs="宋体"/>
          <w:bCs/>
        </w:rPr>
      </w:pPr>
      <w:bookmarkStart w:id="7" w:name="_Toc521587218"/>
      <w:r>
        <w:rPr>
          <w:rFonts w:hint="eastAsia" w:ascii="Times New Roman" w:hAnsi="Times New Roman"/>
          <w:color w:val="auto"/>
          <w:sz w:val="30"/>
        </w:rPr>
        <w:t>第六部分 基金的募集</w:t>
      </w:r>
      <w:bookmarkEnd w:id="7"/>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一、基金募集的依据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本基金由基金管理人依照《基金法》、《运作办法》、《销售办法》、《基金合同》及其他法律法规的有关规定募集。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本基金募集申请已经中国证监会2013年5月28日证监许可[2013]698号文核准。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二、基金类型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债券型证券投资基金</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三、基金的运作方式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契约型、开放式。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四、基金存续期间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不定期。</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五、基金的面值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本基金每份基金份额的发售面值为人民币1.00元。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六、募集方式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本基金通过各销售机构的基金销售网点向投资人公开发售。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七、募集期限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本基金募集期限自基金份额发售之日起不超过三个月。</w:t>
      </w:r>
    </w:p>
    <w:p>
      <w:pPr>
        <w:spacing w:line="360" w:lineRule="auto"/>
        <w:ind w:firstLine="480"/>
        <w:rPr>
          <w:rFonts w:ascii="宋体" w:hAnsi="宋体" w:cs="宋体"/>
          <w:bCs/>
          <w:color w:val="000000"/>
          <w:sz w:val="24"/>
        </w:rPr>
      </w:pPr>
      <w:r>
        <w:rPr>
          <w:rFonts w:hint="eastAsia" w:ascii="宋体" w:hAnsi="宋体" w:cs="宋体"/>
          <w:bCs/>
          <w:color w:val="000000"/>
          <w:sz w:val="24"/>
        </w:rPr>
        <w:t>本基金自2013年6月26日至2013年7月23日进行发售。如果在此期间届满时未达到本招募说明书第七章第（一）条规定的基金备案条件，基金可在募集期限内继续销售。基金管理人也可根据基金销售情况在募集期限内适当延长或缩短基金发售时间，并及时公告。</w:t>
      </w:r>
    </w:p>
    <w:p>
      <w:pPr>
        <w:spacing w:line="360" w:lineRule="auto"/>
        <w:ind w:firstLine="480"/>
        <w:rPr>
          <w:rFonts w:hint="eastAsia" w:ascii="宋体" w:hAnsi="宋体" w:cs="宋体"/>
          <w:bCs/>
          <w:color w:val="000000"/>
          <w:sz w:val="24"/>
        </w:rPr>
      </w:pPr>
      <w:r>
        <w:rPr>
          <w:rFonts w:ascii="宋体" w:hAnsi="宋体" w:cs="宋体"/>
          <w:bCs/>
          <w:color w:val="000000"/>
          <w:sz w:val="24"/>
        </w:rPr>
        <w:t>本基金的基金合同于20</w:t>
      </w:r>
      <w:r>
        <w:rPr>
          <w:rFonts w:hint="eastAsia" w:ascii="宋体" w:hAnsi="宋体" w:cs="宋体"/>
          <w:bCs/>
          <w:color w:val="000000"/>
          <w:sz w:val="24"/>
        </w:rPr>
        <w:t>13</w:t>
      </w:r>
      <w:r>
        <w:rPr>
          <w:rFonts w:ascii="宋体" w:hAnsi="宋体" w:cs="宋体"/>
          <w:bCs/>
          <w:color w:val="000000"/>
          <w:sz w:val="24"/>
        </w:rPr>
        <w:t>年</w:t>
      </w:r>
      <w:r>
        <w:rPr>
          <w:rFonts w:hint="eastAsia" w:ascii="宋体" w:hAnsi="宋体" w:cs="宋体"/>
          <w:bCs/>
          <w:color w:val="000000"/>
          <w:sz w:val="24"/>
        </w:rPr>
        <w:t>7</w:t>
      </w:r>
      <w:r>
        <w:rPr>
          <w:rFonts w:ascii="宋体" w:hAnsi="宋体" w:cs="宋体"/>
          <w:bCs/>
          <w:color w:val="000000"/>
          <w:sz w:val="24"/>
        </w:rPr>
        <w:t>月</w:t>
      </w:r>
      <w:r>
        <w:rPr>
          <w:rFonts w:hint="eastAsia" w:ascii="宋体" w:hAnsi="宋体" w:cs="宋体"/>
          <w:bCs/>
          <w:color w:val="000000"/>
          <w:sz w:val="24"/>
        </w:rPr>
        <w:t>25</w:t>
      </w:r>
      <w:r>
        <w:rPr>
          <w:rFonts w:ascii="宋体" w:hAnsi="宋体" w:cs="宋体"/>
          <w:bCs/>
          <w:color w:val="000000"/>
          <w:sz w:val="24"/>
        </w:rPr>
        <w:t>日正式生效。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八、基金份额类别</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本基金根据认购</w:t>
      </w:r>
      <w:r>
        <w:rPr>
          <w:rFonts w:ascii="宋体" w:hAnsi="宋体" w:cs="宋体"/>
          <w:bCs/>
          <w:color w:val="000000"/>
          <w:sz w:val="24"/>
        </w:rPr>
        <w:t>/</w:t>
      </w:r>
      <w:r>
        <w:rPr>
          <w:rFonts w:hint="eastAsia" w:ascii="宋体" w:hAnsi="宋体" w:cs="宋体"/>
          <w:bCs/>
          <w:color w:val="000000"/>
          <w:sz w:val="24"/>
        </w:rPr>
        <w:t>申购费用、赎回费用收取方式的不同，将基金份额分为不同的类别。在投资人认购</w:t>
      </w:r>
      <w:r>
        <w:rPr>
          <w:rFonts w:ascii="宋体" w:hAnsi="宋体" w:cs="宋体"/>
          <w:bCs/>
          <w:color w:val="000000"/>
          <w:sz w:val="24"/>
        </w:rPr>
        <w:t>/</w:t>
      </w:r>
      <w:r>
        <w:rPr>
          <w:rFonts w:hint="eastAsia" w:ascii="宋体" w:hAnsi="宋体" w:cs="宋体"/>
          <w:bCs/>
          <w:color w:val="000000"/>
          <w:sz w:val="24"/>
        </w:rPr>
        <w:t>申购时收取认购</w:t>
      </w:r>
      <w:r>
        <w:rPr>
          <w:rFonts w:ascii="宋体" w:hAnsi="宋体" w:cs="宋体"/>
          <w:bCs/>
          <w:color w:val="000000"/>
          <w:sz w:val="24"/>
        </w:rPr>
        <w:t>/</w:t>
      </w:r>
      <w:r>
        <w:rPr>
          <w:rFonts w:hint="eastAsia" w:ascii="宋体" w:hAnsi="宋体" w:cs="宋体"/>
          <w:bCs/>
          <w:color w:val="000000"/>
          <w:sz w:val="24"/>
        </w:rPr>
        <w:t>申购费用、赎回时根据持有期限收取赎回费用的，称为</w:t>
      </w:r>
      <w:r>
        <w:rPr>
          <w:rFonts w:ascii="宋体" w:hAnsi="宋体" w:cs="宋体"/>
          <w:bCs/>
          <w:color w:val="000000"/>
          <w:sz w:val="24"/>
        </w:rPr>
        <w:t xml:space="preserve">A </w:t>
      </w:r>
      <w:r>
        <w:rPr>
          <w:rFonts w:hint="eastAsia" w:ascii="宋体" w:hAnsi="宋体" w:cs="宋体"/>
          <w:bCs/>
          <w:color w:val="000000"/>
          <w:sz w:val="24"/>
        </w:rPr>
        <w:t>类基金份额；从本类别基金资产中计提销售服务费而不收取认购</w:t>
      </w:r>
      <w:r>
        <w:rPr>
          <w:rFonts w:ascii="宋体" w:hAnsi="宋体" w:cs="宋体"/>
          <w:bCs/>
          <w:color w:val="000000"/>
          <w:sz w:val="24"/>
        </w:rPr>
        <w:t>/</w:t>
      </w:r>
      <w:r>
        <w:rPr>
          <w:rFonts w:hint="eastAsia" w:ascii="宋体" w:hAnsi="宋体" w:cs="宋体"/>
          <w:bCs/>
          <w:color w:val="000000"/>
          <w:sz w:val="24"/>
        </w:rPr>
        <w:t>申购费用、赎回时根据持有期限收取赎回费用的，称为C</w:t>
      </w:r>
      <w:r>
        <w:rPr>
          <w:rFonts w:ascii="宋体" w:hAnsi="宋体" w:cs="宋体"/>
          <w:bCs/>
          <w:color w:val="000000"/>
          <w:sz w:val="24"/>
        </w:rPr>
        <w:t xml:space="preserve"> </w:t>
      </w:r>
      <w:r>
        <w:rPr>
          <w:rFonts w:hint="eastAsia" w:ascii="宋体" w:hAnsi="宋体" w:cs="宋体"/>
          <w:bCs/>
          <w:color w:val="000000"/>
          <w:sz w:val="24"/>
        </w:rPr>
        <w:t>类基金份额。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w:t>
      </w:r>
      <w:r>
        <w:rPr>
          <w:rFonts w:ascii="宋体" w:hAnsi="宋体" w:cs="宋体"/>
          <w:bCs/>
          <w:color w:val="000000"/>
          <w:sz w:val="24"/>
        </w:rPr>
        <w:t xml:space="preserve">A </w:t>
      </w:r>
      <w:r>
        <w:rPr>
          <w:rFonts w:hint="eastAsia" w:ascii="宋体" w:hAnsi="宋体" w:cs="宋体"/>
          <w:bCs/>
          <w:color w:val="000000"/>
          <w:sz w:val="24"/>
        </w:rPr>
        <w:t>类和C类基金份额分别设置代码。由于基金费用的不同，本基金</w:t>
      </w:r>
      <w:r>
        <w:rPr>
          <w:rFonts w:ascii="宋体" w:hAnsi="宋体" w:cs="宋体"/>
          <w:bCs/>
          <w:color w:val="000000"/>
          <w:sz w:val="24"/>
        </w:rPr>
        <w:t xml:space="preserve">A </w:t>
      </w:r>
      <w:r>
        <w:rPr>
          <w:rFonts w:hint="eastAsia" w:ascii="宋体" w:hAnsi="宋体" w:cs="宋体"/>
          <w:bCs/>
          <w:color w:val="000000"/>
          <w:sz w:val="24"/>
        </w:rPr>
        <w:t>类和C</w:t>
      </w:r>
      <w:r>
        <w:rPr>
          <w:rFonts w:ascii="宋体" w:hAnsi="宋体" w:cs="宋体"/>
          <w:bCs/>
          <w:color w:val="000000"/>
          <w:sz w:val="24"/>
        </w:rPr>
        <w:t xml:space="preserve"> </w:t>
      </w:r>
      <w:r>
        <w:rPr>
          <w:rFonts w:hint="eastAsia" w:ascii="宋体" w:hAnsi="宋体" w:cs="宋体"/>
          <w:bCs/>
          <w:color w:val="000000"/>
          <w:sz w:val="24"/>
        </w:rPr>
        <w:t>类基金份额将分别计算基金份额净值，计算公式为：计算日某类别基金份额净值＝该计算日该类别基金份额的基金资产净值</w:t>
      </w:r>
      <w:r>
        <w:rPr>
          <w:rFonts w:ascii="宋体" w:hAnsi="宋体" w:cs="宋体"/>
          <w:bCs/>
          <w:color w:val="000000"/>
          <w:sz w:val="24"/>
        </w:rPr>
        <w:t>/</w:t>
      </w:r>
      <w:r>
        <w:rPr>
          <w:rFonts w:hint="eastAsia" w:ascii="宋体" w:hAnsi="宋体" w:cs="宋体"/>
          <w:bCs/>
          <w:color w:val="000000"/>
          <w:sz w:val="24"/>
        </w:rPr>
        <w:t>该计算日发售在外的该类别基金份额总数。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投资人可自行选择认购</w:t>
      </w:r>
      <w:r>
        <w:rPr>
          <w:rFonts w:ascii="宋体" w:hAnsi="宋体" w:cs="宋体"/>
          <w:bCs/>
          <w:color w:val="000000"/>
          <w:sz w:val="24"/>
        </w:rPr>
        <w:t>/</w:t>
      </w:r>
      <w:r>
        <w:rPr>
          <w:rFonts w:hint="eastAsia" w:ascii="宋体" w:hAnsi="宋体" w:cs="宋体"/>
          <w:bCs/>
          <w:color w:val="000000"/>
          <w:sz w:val="24"/>
        </w:rPr>
        <w:t>申购的基金份额类别。本基金不同基金份额类别之间不得互相转换。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九、募集对象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个人投资者、机构投资者、合格境外机构投资者和法律法规或中国证监会允许购买证券投资基金的其他投资者。</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十、募集场所</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本基金通过销售机构办理基金销售业务的网点向投资人公开发售。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具体募集场所见基金份额发售公告。基金管理人可以根据情况增加其他代销机构，并另行公告。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十一、认购安排</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1、认购时间：本基金向个人投资者、机构投资者和合格境外机构投资者同时发售，具体发售时间由基金管理人根据相关法律法规及本基金基金合同，在基金份额发售公告中确定并披露。</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2、投资人认购应提交的文件和办理的手续：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详见基金份额发售公告及销售机构发布的相关公告。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认购原则和认购限额：认购以金额申请。投资人认购基金份额时，需按销售机构规定的方式全额交付认购款项，投资人可以多次认购本基金份额。代销网点每个基金账户每次认购金额不得低于1,000元人民币，代销机构另有规定的，从其规定。直销机构每个基金账户首次认购金额不得低于5万元人民币，已在直销机构有认购本基金记录的投资人不受上述认购最低金额的限制，单笔追加认购最低金额为1,000元人民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当日的认购申请在销售机构规定的时间之后不得撤消。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十二、认购费用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本基金基金份额分为</w:t>
      </w:r>
      <w:r>
        <w:rPr>
          <w:rFonts w:ascii="宋体" w:hAnsi="宋体" w:cs="宋体"/>
          <w:bCs/>
          <w:color w:val="000000"/>
          <w:sz w:val="24"/>
        </w:rPr>
        <w:t xml:space="preserve">A </w:t>
      </w:r>
      <w:r>
        <w:rPr>
          <w:rFonts w:hint="eastAsia" w:ascii="宋体" w:hAnsi="宋体" w:cs="宋体"/>
          <w:bCs/>
          <w:color w:val="000000"/>
          <w:sz w:val="24"/>
        </w:rPr>
        <w:t>类和C</w:t>
      </w:r>
      <w:r>
        <w:rPr>
          <w:rFonts w:ascii="宋体" w:hAnsi="宋体" w:cs="宋体"/>
          <w:bCs/>
          <w:color w:val="000000"/>
          <w:sz w:val="24"/>
        </w:rPr>
        <w:t xml:space="preserve"> </w:t>
      </w:r>
      <w:r>
        <w:rPr>
          <w:rFonts w:hint="eastAsia" w:ascii="宋体" w:hAnsi="宋体" w:cs="宋体"/>
          <w:bCs/>
          <w:color w:val="000000"/>
          <w:sz w:val="24"/>
        </w:rPr>
        <w:t>类基金份额。</w:t>
      </w:r>
      <w:r>
        <w:rPr>
          <w:rFonts w:ascii="宋体" w:hAnsi="宋体" w:cs="宋体"/>
          <w:bCs/>
          <w:color w:val="000000"/>
          <w:sz w:val="24"/>
        </w:rPr>
        <w:t xml:space="preserve">A </w:t>
      </w:r>
      <w:r>
        <w:rPr>
          <w:rFonts w:hint="eastAsia" w:ascii="宋体" w:hAnsi="宋体" w:cs="宋体"/>
          <w:bCs/>
          <w:color w:val="000000"/>
          <w:sz w:val="24"/>
        </w:rPr>
        <w:t>类基金份额在认购时收取认购费，C</w:t>
      </w:r>
      <w:r>
        <w:rPr>
          <w:rFonts w:ascii="宋体" w:hAnsi="宋体" w:cs="宋体"/>
          <w:bCs/>
          <w:color w:val="000000"/>
          <w:sz w:val="24"/>
        </w:rPr>
        <w:t xml:space="preserve"> </w:t>
      </w:r>
      <w:r>
        <w:rPr>
          <w:rFonts w:hint="eastAsia" w:ascii="宋体" w:hAnsi="宋体" w:cs="宋体"/>
          <w:bCs/>
          <w:color w:val="000000"/>
          <w:sz w:val="24"/>
        </w:rPr>
        <w:t>类基金份额在认购时不收取认购费，但从该类别基金资产中计提销售服务费。</w:t>
      </w:r>
    </w:p>
    <w:p>
      <w:pPr>
        <w:spacing w:line="360" w:lineRule="auto"/>
        <w:ind w:firstLine="480"/>
        <w:rPr>
          <w:rFonts w:ascii="宋体" w:hAnsi="宋体" w:cs="宋体"/>
          <w:color w:val="000000"/>
          <w:szCs w:val="21"/>
        </w:rPr>
      </w:pPr>
      <w:r>
        <w:rPr>
          <w:rFonts w:hint="eastAsia" w:ascii="宋体" w:hAnsi="宋体" w:cs="宋体"/>
          <w:bCs/>
          <w:color w:val="000000"/>
          <w:sz w:val="24"/>
        </w:rPr>
        <w:t>本基金认购费率如下表所示。</w:t>
      </w:r>
    </w:p>
    <w:tbl>
      <w:tblPr>
        <w:tblStyle w:val="26"/>
        <w:tblW w:w="7966" w:type="dxa"/>
        <w:tblInd w:w="108" w:type="dxa"/>
        <w:tblLayout w:type="fixed"/>
        <w:tblCellMar>
          <w:top w:w="0" w:type="dxa"/>
          <w:left w:w="108" w:type="dxa"/>
          <w:bottom w:w="0" w:type="dxa"/>
          <w:right w:w="108" w:type="dxa"/>
        </w:tblCellMar>
      </w:tblPr>
      <w:tblGrid>
        <w:gridCol w:w="1435"/>
        <w:gridCol w:w="2810"/>
        <w:gridCol w:w="1738"/>
        <w:gridCol w:w="1983"/>
      </w:tblGrid>
      <w:tr>
        <w:tblPrEx>
          <w:tblLayout w:type="fixed"/>
          <w:tblCellMar>
            <w:top w:w="0" w:type="dxa"/>
            <w:left w:w="108" w:type="dxa"/>
            <w:bottom w:w="0" w:type="dxa"/>
            <w:right w:w="108" w:type="dxa"/>
          </w:tblCellMar>
        </w:tblPrEx>
        <w:trPr>
          <w:trHeight w:val="672" w:hRule="atLeast"/>
        </w:trPr>
        <w:tc>
          <w:tcPr>
            <w:tcW w:w="1435" w:type="dxa"/>
            <w:tcBorders>
              <w:top w:val="single" w:color="000000" w:sz="4" w:space="0"/>
              <w:left w:val="single" w:color="000000" w:sz="4" w:space="0"/>
              <w:bottom w:val="single" w:color="000000" w:sz="4" w:space="0"/>
            </w:tcBorders>
            <w:shd w:val="clear" w:color="auto" w:fill="auto"/>
            <w:noWrap w:val="0"/>
            <w:vAlign w:val="center"/>
          </w:tcPr>
          <w:p>
            <w:pPr>
              <w:widowControl/>
              <w:jc w:val="center"/>
              <w:rPr>
                <w:rFonts w:ascii="宋体" w:hAnsi="宋体" w:cs="宋体"/>
                <w:color w:val="000000"/>
                <w:szCs w:val="21"/>
              </w:rPr>
            </w:pPr>
            <w:r>
              <w:rPr>
                <w:rFonts w:ascii="宋体" w:hAnsi="宋体" w:cs="宋体"/>
                <w:color w:val="000000"/>
                <w:szCs w:val="21"/>
              </w:rPr>
              <w:t>费用种类</w:t>
            </w:r>
          </w:p>
        </w:tc>
        <w:tc>
          <w:tcPr>
            <w:tcW w:w="4548" w:type="dxa"/>
            <w:gridSpan w:val="2"/>
            <w:tcBorders>
              <w:top w:val="single" w:color="000000" w:sz="4" w:space="0"/>
              <w:left w:val="single" w:color="000000" w:sz="4" w:space="0"/>
              <w:bottom w:val="single" w:color="000000" w:sz="4" w:space="0"/>
            </w:tcBorders>
            <w:shd w:val="clear" w:color="auto" w:fill="auto"/>
            <w:noWrap w:val="0"/>
            <w:vAlign w:val="center"/>
          </w:tcPr>
          <w:p>
            <w:pPr>
              <w:widowControl/>
              <w:jc w:val="center"/>
              <w:rPr>
                <w:rFonts w:ascii="宋体" w:hAnsi="宋体" w:cs="宋体"/>
                <w:color w:val="000000"/>
                <w:szCs w:val="21"/>
              </w:rPr>
            </w:pPr>
            <w:r>
              <w:rPr>
                <w:rFonts w:ascii="宋体" w:hAnsi="宋体" w:cs="宋体"/>
                <w:color w:val="000000"/>
                <w:szCs w:val="21"/>
              </w:rPr>
              <w:t>A类基金份额</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pPr>
            <w:r>
              <w:rPr>
                <w:rFonts w:ascii="宋体" w:hAnsi="宋体" w:cs="宋体"/>
                <w:color w:val="000000"/>
                <w:szCs w:val="21"/>
              </w:rPr>
              <w:t>C类基金份额</w:t>
            </w:r>
          </w:p>
        </w:tc>
      </w:tr>
      <w:tr>
        <w:tblPrEx>
          <w:tblLayout w:type="fixed"/>
          <w:tblCellMar>
            <w:top w:w="0" w:type="dxa"/>
            <w:left w:w="108" w:type="dxa"/>
            <w:bottom w:w="0" w:type="dxa"/>
            <w:right w:w="108" w:type="dxa"/>
          </w:tblCellMar>
        </w:tblPrEx>
        <w:trPr>
          <w:trHeight w:val="302" w:hRule="atLeast"/>
        </w:trPr>
        <w:tc>
          <w:tcPr>
            <w:tcW w:w="1435" w:type="dxa"/>
            <w:vMerge w:val="restart"/>
            <w:tcBorders>
              <w:top w:val="single" w:color="000000" w:sz="4" w:space="0"/>
              <w:left w:val="single" w:color="000000" w:sz="4" w:space="0"/>
              <w:bottom w:val="single" w:color="000000" w:sz="4" w:space="0"/>
            </w:tcBorders>
            <w:shd w:val="clear" w:color="auto" w:fill="auto"/>
            <w:noWrap w:val="0"/>
            <w:vAlign w:val="center"/>
          </w:tcPr>
          <w:p>
            <w:pPr>
              <w:jc w:val="center"/>
              <w:rPr>
                <w:rFonts w:hint="eastAsia" w:ascii="宋体" w:hAnsi="宋体" w:cs="宋体"/>
                <w:szCs w:val="21"/>
              </w:rPr>
            </w:pPr>
            <w:r>
              <w:rPr>
                <w:rFonts w:ascii="宋体" w:hAnsi="宋体" w:cs="宋体"/>
                <w:szCs w:val="21"/>
              </w:rPr>
              <w:t>认购费</w:t>
            </w:r>
          </w:p>
        </w:tc>
        <w:tc>
          <w:tcPr>
            <w:tcW w:w="281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cs="宋体"/>
                <w:szCs w:val="21"/>
              </w:rPr>
            </w:pPr>
            <w:r>
              <w:rPr>
                <w:rFonts w:hint="eastAsia" w:ascii="宋体" w:hAnsi="宋体" w:cs="宋体"/>
                <w:szCs w:val="21"/>
              </w:rPr>
              <w:t>M</w:t>
            </w:r>
            <w:r>
              <w:rPr>
                <w:rFonts w:ascii="宋体" w:hAnsi="宋体" w:cs="SimSun-Identity-H"/>
                <w:szCs w:val="21"/>
              </w:rPr>
              <w:t>＜</w:t>
            </w:r>
            <w:r>
              <w:rPr>
                <w:rFonts w:hint="eastAsia" w:ascii="宋体" w:hAnsi="宋体" w:cs="宋体"/>
                <w:szCs w:val="21"/>
              </w:rPr>
              <w:t>100万元</w:t>
            </w:r>
          </w:p>
        </w:tc>
        <w:tc>
          <w:tcPr>
            <w:tcW w:w="1738"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szCs w:val="21"/>
              </w:rPr>
            </w:pPr>
            <w:r>
              <w:rPr>
                <w:rFonts w:ascii="宋体" w:hAnsi="宋体" w:cs="宋体"/>
                <w:szCs w:val="21"/>
              </w:rPr>
              <w:t>0.</w:t>
            </w:r>
            <w:r>
              <w:rPr>
                <w:rFonts w:hint="eastAsia" w:ascii="宋体" w:hAnsi="宋体" w:cs="宋体"/>
                <w:szCs w:val="21"/>
              </w:rPr>
              <w:t>6</w:t>
            </w:r>
            <w:r>
              <w:rPr>
                <w:rFonts w:ascii="宋体" w:hAnsi="宋体" w:cs="宋体"/>
                <w:szCs w:val="21"/>
              </w:rPr>
              <w:t>%</w:t>
            </w:r>
          </w:p>
        </w:tc>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jc w:val="center"/>
            </w:pPr>
            <w:r>
              <w:rPr>
                <w:rFonts w:ascii="宋体" w:hAnsi="宋体" w:cs="宋体"/>
                <w:szCs w:val="21"/>
              </w:rPr>
              <w:t>0%</w:t>
            </w:r>
          </w:p>
        </w:tc>
      </w:tr>
      <w:tr>
        <w:tblPrEx>
          <w:tblLayout w:type="fixed"/>
          <w:tblCellMar>
            <w:top w:w="0" w:type="dxa"/>
            <w:left w:w="108" w:type="dxa"/>
            <w:bottom w:w="0" w:type="dxa"/>
            <w:right w:w="108" w:type="dxa"/>
          </w:tblCellMar>
        </w:tblPrEx>
        <w:trPr>
          <w:trHeight w:val="277" w:hRule="atLeast"/>
        </w:trPr>
        <w:tc>
          <w:tcPr>
            <w:tcW w:w="1435" w:type="dxa"/>
            <w:vMerge w:val="continue"/>
            <w:tcBorders>
              <w:top w:val="single" w:color="000000" w:sz="4" w:space="0"/>
              <w:left w:val="single" w:color="000000" w:sz="4" w:space="0"/>
              <w:bottom w:val="single" w:color="000000" w:sz="4" w:space="0"/>
            </w:tcBorders>
            <w:shd w:val="clear" w:color="auto" w:fill="auto"/>
            <w:noWrap w:val="0"/>
            <w:vAlign w:val="top"/>
          </w:tcPr>
          <w:p>
            <w:pPr>
              <w:widowControl/>
              <w:snapToGrid w:val="0"/>
              <w:jc w:val="center"/>
              <w:rPr>
                <w:rFonts w:ascii="宋体" w:hAnsi="宋体" w:cs="宋体"/>
                <w:color w:val="000000"/>
                <w:szCs w:val="21"/>
              </w:rPr>
            </w:pPr>
          </w:p>
        </w:tc>
        <w:tc>
          <w:tcPr>
            <w:tcW w:w="2810" w:type="dxa"/>
            <w:tcBorders>
              <w:top w:val="single" w:color="000000" w:sz="4" w:space="0"/>
              <w:left w:val="single" w:color="000000" w:sz="4" w:space="0"/>
              <w:bottom w:val="single" w:color="000000" w:sz="4" w:space="0"/>
            </w:tcBorders>
            <w:shd w:val="clear" w:color="auto" w:fill="auto"/>
            <w:noWrap w:val="0"/>
            <w:vAlign w:val="center"/>
          </w:tcPr>
          <w:p>
            <w:pPr>
              <w:jc w:val="center"/>
              <w:rPr>
                <w:rFonts w:hint="eastAsia" w:ascii="宋体" w:hAnsi="宋体" w:cs="宋体"/>
                <w:szCs w:val="21"/>
              </w:rPr>
            </w:pPr>
            <w:r>
              <w:rPr>
                <w:rFonts w:hint="eastAsia" w:ascii="宋体" w:hAnsi="宋体" w:cs="宋体"/>
                <w:szCs w:val="21"/>
              </w:rPr>
              <w:t>100万元≤M</w:t>
            </w:r>
            <w:r>
              <w:rPr>
                <w:rFonts w:ascii="宋体" w:hAnsi="宋体" w:cs="SimSun-Identity-H"/>
                <w:szCs w:val="21"/>
              </w:rPr>
              <w:t>＜</w:t>
            </w:r>
            <w:r>
              <w:rPr>
                <w:rFonts w:hint="eastAsia" w:ascii="宋体" w:hAnsi="宋体" w:cs="宋体"/>
                <w:szCs w:val="21"/>
              </w:rPr>
              <w:t>500万元</w:t>
            </w:r>
          </w:p>
        </w:tc>
        <w:tc>
          <w:tcPr>
            <w:tcW w:w="1738"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color w:val="000000"/>
                <w:szCs w:val="21"/>
              </w:rPr>
            </w:pPr>
            <w:r>
              <w:rPr>
                <w:rFonts w:hint="eastAsia" w:ascii="宋体" w:hAnsi="宋体" w:cs="宋体"/>
                <w:szCs w:val="21"/>
              </w:rPr>
              <w:t>0.4%</w:t>
            </w:r>
          </w:p>
        </w:tc>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snapToGrid w:val="0"/>
              <w:jc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281" w:hRule="atLeast"/>
        </w:trPr>
        <w:tc>
          <w:tcPr>
            <w:tcW w:w="1435" w:type="dxa"/>
            <w:vMerge w:val="continue"/>
            <w:tcBorders>
              <w:top w:val="single" w:color="000000" w:sz="4" w:space="0"/>
              <w:left w:val="single" w:color="000000" w:sz="4" w:space="0"/>
              <w:bottom w:val="single" w:color="000000" w:sz="4" w:space="0"/>
            </w:tcBorders>
            <w:shd w:val="clear" w:color="auto" w:fill="auto"/>
            <w:noWrap w:val="0"/>
            <w:vAlign w:val="top"/>
          </w:tcPr>
          <w:p>
            <w:pPr>
              <w:widowControl/>
              <w:snapToGrid w:val="0"/>
              <w:jc w:val="center"/>
              <w:rPr>
                <w:rFonts w:ascii="宋体" w:hAnsi="宋体" w:cs="宋体"/>
                <w:color w:val="000000"/>
                <w:szCs w:val="21"/>
              </w:rPr>
            </w:pPr>
          </w:p>
        </w:tc>
        <w:tc>
          <w:tcPr>
            <w:tcW w:w="2810" w:type="dxa"/>
            <w:tcBorders>
              <w:top w:val="single" w:color="000000" w:sz="4" w:space="0"/>
              <w:left w:val="single" w:color="000000" w:sz="4" w:space="0"/>
              <w:bottom w:val="single" w:color="000000" w:sz="4" w:space="0"/>
            </w:tcBorders>
            <w:shd w:val="clear" w:color="auto" w:fill="auto"/>
            <w:noWrap w:val="0"/>
            <w:vAlign w:val="center"/>
          </w:tcPr>
          <w:p>
            <w:pPr>
              <w:jc w:val="center"/>
              <w:rPr>
                <w:rFonts w:hint="eastAsia" w:ascii="宋体" w:hAnsi="宋体" w:cs="宋体"/>
                <w:szCs w:val="21"/>
              </w:rPr>
            </w:pPr>
            <w:r>
              <w:rPr>
                <w:rFonts w:hint="eastAsia" w:ascii="宋体" w:hAnsi="宋体" w:cs="宋体"/>
                <w:szCs w:val="21"/>
              </w:rPr>
              <w:t>M≥500万元</w:t>
            </w:r>
          </w:p>
        </w:tc>
        <w:tc>
          <w:tcPr>
            <w:tcW w:w="1738"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color w:val="000000"/>
                <w:szCs w:val="21"/>
              </w:rPr>
            </w:pPr>
            <w:r>
              <w:rPr>
                <w:rFonts w:hint="eastAsia" w:ascii="宋体" w:hAnsi="宋体" w:cs="宋体"/>
                <w:szCs w:val="21"/>
              </w:rPr>
              <w:t>1000元/笔</w:t>
            </w:r>
          </w:p>
        </w:tc>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snapToGrid w:val="0"/>
              <w:jc w:val="center"/>
              <w:rPr>
                <w:rFonts w:ascii="宋体" w:hAnsi="宋体" w:cs="宋体"/>
                <w:color w:val="000000"/>
                <w:szCs w:val="21"/>
              </w:rPr>
            </w:pPr>
          </w:p>
        </w:tc>
      </w:tr>
    </w:tbl>
    <w:p>
      <w:pPr>
        <w:spacing w:line="360" w:lineRule="auto"/>
        <w:ind w:firstLine="420"/>
        <w:rPr>
          <w:rFonts w:hint="eastAsia" w:ascii="宋体" w:hAnsi="宋体" w:cs="宋体"/>
          <w:bCs/>
          <w:color w:val="000000"/>
          <w:sz w:val="24"/>
        </w:rPr>
      </w:pPr>
      <w:r>
        <w:rPr>
          <w:rFonts w:hint="eastAsia" w:ascii="宋体" w:hAnsi="宋体" w:cs="宋体"/>
          <w:bCs/>
          <w:color w:val="000000"/>
          <w:szCs w:val="21"/>
        </w:rPr>
        <w:t>注：M为累计认购金额。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认购费由认购人承担，不列入基金财产。认购费用用于本基金的市场推广、销售、注册登记等募集期间发生的各项费用。投资人可以多次认购本基金，认购费用按累计认购金额确定认购费率，以每笔认购申请单独计算费用。</w:t>
      </w:r>
    </w:p>
    <w:p>
      <w:pPr>
        <w:spacing w:line="360" w:lineRule="auto"/>
        <w:ind w:firstLine="480"/>
        <w:rPr>
          <w:rFonts w:ascii="宋体" w:hAnsi="宋体" w:cs="宋体"/>
          <w:bCs/>
          <w:color w:val="000000"/>
          <w:sz w:val="24"/>
        </w:rPr>
      </w:pPr>
      <w:r>
        <w:rPr>
          <w:rFonts w:hint="eastAsia" w:ascii="宋体" w:hAnsi="宋体" w:cs="宋体"/>
          <w:bCs/>
          <w:color w:val="000000"/>
          <w:sz w:val="24"/>
        </w:rPr>
        <w:t>十三、认购份数的计算</w:t>
      </w:r>
    </w:p>
    <w:p>
      <w:pPr>
        <w:spacing w:line="360" w:lineRule="auto"/>
        <w:ind w:firstLine="480"/>
        <w:rPr>
          <w:rFonts w:ascii="宋体" w:hAnsi="宋体" w:cs="宋体"/>
          <w:bCs/>
          <w:color w:val="000000"/>
          <w:sz w:val="24"/>
        </w:rPr>
      </w:pPr>
      <w:r>
        <w:rPr>
          <w:rFonts w:ascii="宋体" w:hAnsi="宋体" w:cs="宋体"/>
          <w:bCs/>
          <w:color w:val="000000"/>
          <w:sz w:val="24"/>
        </w:rPr>
        <w:t>本基金的认购价格为每份基金份额1.00元。</w:t>
      </w:r>
    </w:p>
    <w:p>
      <w:pPr>
        <w:spacing w:line="360" w:lineRule="auto"/>
        <w:ind w:firstLine="480"/>
        <w:rPr>
          <w:rFonts w:hint="eastAsia" w:ascii="宋体" w:hAnsi="宋体" w:cs="宋体"/>
          <w:bCs/>
          <w:color w:val="000000"/>
          <w:sz w:val="24"/>
        </w:rPr>
      </w:pPr>
      <w:r>
        <w:rPr>
          <w:rFonts w:ascii="宋体" w:hAnsi="宋体" w:cs="宋体"/>
          <w:bCs/>
          <w:color w:val="000000"/>
          <w:sz w:val="24"/>
        </w:rPr>
        <w:t>有效认购款项在基金募集期间形成的利息归</w:t>
      </w:r>
      <w:r>
        <w:rPr>
          <w:rFonts w:hint="eastAsia" w:ascii="宋体" w:hAnsi="宋体" w:cs="宋体"/>
          <w:bCs/>
          <w:color w:val="000000"/>
          <w:sz w:val="24"/>
        </w:rPr>
        <w:t>投资人</w:t>
      </w:r>
      <w:r>
        <w:rPr>
          <w:rFonts w:ascii="宋体" w:hAnsi="宋体" w:cs="宋体"/>
          <w:bCs/>
          <w:color w:val="000000"/>
          <w:sz w:val="24"/>
        </w:rPr>
        <w:t>所有，如基金合同生效，则折算为基金份额计入</w:t>
      </w:r>
      <w:r>
        <w:rPr>
          <w:rFonts w:hint="eastAsia" w:ascii="宋体" w:hAnsi="宋体" w:cs="宋体"/>
          <w:bCs/>
          <w:color w:val="000000"/>
          <w:sz w:val="24"/>
        </w:rPr>
        <w:t>投资人</w:t>
      </w:r>
      <w:r>
        <w:rPr>
          <w:rFonts w:ascii="宋体" w:hAnsi="宋体" w:cs="宋体"/>
          <w:bCs/>
          <w:color w:val="000000"/>
          <w:sz w:val="24"/>
        </w:rPr>
        <w:t>的账户，利息和具体份额以注册登记机构的记录为准。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基金份额的认购份额计算方法：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净认购金额＝认购金额/（1＋认购费率）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认购费用＝认购金额－净认购金额</w:t>
      </w:r>
    </w:p>
    <w:p>
      <w:pPr>
        <w:spacing w:line="360" w:lineRule="auto"/>
        <w:ind w:firstLine="480"/>
        <w:rPr>
          <w:rFonts w:ascii="宋体" w:hAnsi="宋体" w:cs="宋体"/>
          <w:bCs/>
          <w:color w:val="000000"/>
          <w:sz w:val="24"/>
        </w:rPr>
      </w:pPr>
      <w:r>
        <w:rPr>
          <w:rFonts w:hint="eastAsia" w:ascii="宋体" w:hAnsi="宋体" w:cs="宋体"/>
          <w:bCs/>
          <w:color w:val="000000"/>
          <w:sz w:val="24"/>
        </w:rPr>
        <w:t>认购份额＝（净认购金额＋认购利息）/基金份额发售面值</w:t>
      </w:r>
    </w:p>
    <w:p>
      <w:pPr>
        <w:spacing w:line="360" w:lineRule="auto"/>
        <w:ind w:firstLine="480"/>
        <w:rPr>
          <w:rFonts w:hint="eastAsia" w:ascii="宋体" w:hAnsi="宋体" w:cs="宋体"/>
          <w:bCs/>
          <w:color w:val="000000"/>
          <w:sz w:val="24"/>
        </w:rPr>
      </w:pPr>
      <w:r>
        <w:rPr>
          <w:rFonts w:ascii="宋体" w:hAnsi="宋体" w:cs="宋体"/>
          <w:bCs/>
          <w:color w:val="000000"/>
          <w:sz w:val="24"/>
        </w:rPr>
        <w:t>例</w:t>
      </w:r>
      <w:r>
        <w:rPr>
          <w:rFonts w:hint="eastAsia" w:ascii="宋体" w:hAnsi="宋体" w:cs="宋体"/>
          <w:bCs/>
          <w:color w:val="000000"/>
          <w:sz w:val="24"/>
        </w:rPr>
        <w:t>一</w:t>
      </w:r>
      <w:r>
        <w:rPr>
          <w:rFonts w:ascii="宋体" w:hAnsi="宋体" w:cs="宋体"/>
          <w:bCs/>
          <w:color w:val="000000"/>
          <w:sz w:val="24"/>
        </w:rPr>
        <w:t>：某投资人投资5万元</w:t>
      </w:r>
      <w:r>
        <w:rPr>
          <w:rFonts w:hint="eastAsia" w:ascii="宋体" w:hAnsi="宋体" w:cs="宋体"/>
          <w:bCs/>
          <w:color w:val="000000"/>
          <w:sz w:val="24"/>
        </w:rPr>
        <w:t>认</w:t>
      </w:r>
      <w:r>
        <w:rPr>
          <w:rFonts w:ascii="宋体" w:hAnsi="宋体" w:cs="宋体"/>
          <w:bCs/>
          <w:color w:val="000000"/>
          <w:sz w:val="24"/>
        </w:rPr>
        <w:t>购本基金A</w:t>
      </w:r>
      <w:r>
        <w:rPr>
          <w:rFonts w:hint="eastAsia" w:ascii="宋体" w:hAnsi="宋体" w:cs="宋体"/>
          <w:bCs/>
          <w:color w:val="000000"/>
          <w:sz w:val="24"/>
        </w:rPr>
        <w:t>类份额，如果认购期内认购资金获得的利息为5元，</w:t>
      </w:r>
      <w:r>
        <w:rPr>
          <w:rFonts w:ascii="宋体" w:hAnsi="宋体" w:cs="宋体"/>
          <w:bCs/>
          <w:color w:val="000000"/>
          <w:sz w:val="24"/>
        </w:rPr>
        <w:t>则可得到的</w:t>
      </w:r>
      <w:r>
        <w:rPr>
          <w:rFonts w:hint="eastAsia" w:ascii="宋体" w:hAnsi="宋体" w:cs="宋体"/>
          <w:bCs/>
          <w:color w:val="000000"/>
          <w:sz w:val="24"/>
        </w:rPr>
        <w:t>认</w:t>
      </w:r>
      <w:r>
        <w:rPr>
          <w:rFonts w:ascii="宋体" w:hAnsi="宋体" w:cs="宋体"/>
          <w:bCs/>
          <w:color w:val="000000"/>
          <w:sz w:val="24"/>
        </w:rPr>
        <w:t>购份额为：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净认购金额＝50,000/（1＋0.6%）＝49,701.79元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认购费用＝50,000－49,701.79＝298.21元</w:t>
      </w:r>
    </w:p>
    <w:p>
      <w:pPr>
        <w:spacing w:line="360" w:lineRule="auto"/>
        <w:ind w:firstLine="480"/>
        <w:rPr>
          <w:rFonts w:ascii="宋体" w:hAnsi="宋体" w:cs="宋体"/>
          <w:bCs/>
          <w:color w:val="000000"/>
          <w:sz w:val="24"/>
        </w:rPr>
      </w:pPr>
      <w:r>
        <w:rPr>
          <w:rFonts w:hint="eastAsia" w:ascii="宋体" w:hAnsi="宋体" w:cs="宋体"/>
          <w:bCs/>
          <w:color w:val="000000"/>
          <w:sz w:val="24"/>
        </w:rPr>
        <w:t>认购份额＝（49,701.79＋5）/1.00＝49,706.79份</w:t>
      </w:r>
    </w:p>
    <w:p>
      <w:pPr>
        <w:spacing w:line="360" w:lineRule="auto"/>
        <w:ind w:firstLine="480"/>
        <w:rPr>
          <w:rFonts w:ascii="宋体" w:hAnsi="宋体" w:cs="宋体"/>
          <w:bCs/>
          <w:color w:val="000000"/>
          <w:sz w:val="24"/>
        </w:rPr>
      </w:pPr>
      <w:r>
        <w:rPr>
          <w:rFonts w:ascii="宋体" w:hAnsi="宋体" w:cs="宋体"/>
          <w:bCs/>
          <w:color w:val="000000"/>
          <w:sz w:val="24"/>
        </w:rPr>
        <w:t>即：投资人投资5万元</w:t>
      </w:r>
      <w:r>
        <w:rPr>
          <w:rFonts w:hint="eastAsia" w:ascii="宋体" w:hAnsi="宋体" w:cs="宋体"/>
          <w:bCs/>
          <w:color w:val="000000"/>
          <w:sz w:val="24"/>
        </w:rPr>
        <w:t>认</w:t>
      </w:r>
      <w:r>
        <w:rPr>
          <w:rFonts w:ascii="宋体" w:hAnsi="宋体" w:cs="宋体"/>
          <w:bCs/>
          <w:color w:val="000000"/>
          <w:sz w:val="24"/>
        </w:rPr>
        <w:t>购本基金A</w:t>
      </w:r>
      <w:r>
        <w:rPr>
          <w:rFonts w:hint="eastAsia" w:ascii="宋体" w:hAnsi="宋体" w:cs="宋体"/>
          <w:bCs/>
          <w:color w:val="000000"/>
          <w:sz w:val="24"/>
        </w:rPr>
        <w:t>类份额，</w:t>
      </w:r>
      <w:r>
        <w:rPr>
          <w:rFonts w:ascii="宋体" w:hAnsi="宋体" w:cs="宋体"/>
          <w:bCs/>
          <w:color w:val="000000"/>
          <w:sz w:val="24"/>
        </w:rPr>
        <w:t>则其可得到</w:t>
      </w:r>
      <w:r>
        <w:rPr>
          <w:rFonts w:hint="eastAsia" w:ascii="宋体" w:hAnsi="宋体" w:cs="宋体"/>
          <w:bCs/>
          <w:color w:val="000000"/>
          <w:sz w:val="24"/>
        </w:rPr>
        <w:t>49,706.79</w:t>
      </w:r>
      <w:r>
        <w:rPr>
          <w:rFonts w:ascii="宋体" w:hAnsi="宋体" w:cs="宋体"/>
          <w:bCs/>
          <w:color w:val="000000"/>
          <w:sz w:val="24"/>
        </w:rPr>
        <w:t>份本基金A</w:t>
      </w:r>
      <w:r>
        <w:rPr>
          <w:rFonts w:hint="eastAsia" w:ascii="宋体" w:hAnsi="宋体" w:cs="宋体"/>
          <w:bCs/>
          <w:color w:val="000000"/>
          <w:sz w:val="24"/>
        </w:rPr>
        <w:t>类份额</w:t>
      </w:r>
      <w:r>
        <w:rPr>
          <w:rFonts w:ascii="宋体" w:hAnsi="宋体" w:cs="宋体"/>
          <w:bCs/>
          <w:color w:val="000000"/>
          <w:sz w:val="24"/>
        </w:rPr>
        <w:t>。</w:t>
      </w:r>
    </w:p>
    <w:p>
      <w:pPr>
        <w:spacing w:line="360" w:lineRule="auto"/>
        <w:ind w:firstLine="480"/>
        <w:rPr>
          <w:rFonts w:hint="eastAsia" w:ascii="宋体" w:hAnsi="宋体" w:cs="宋体"/>
          <w:bCs/>
          <w:color w:val="000000"/>
          <w:sz w:val="24"/>
        </w:rPr>
      </w:pPr>
      <w:r>
        <w:rPr>
          <w:rFonts w:ascii="宋体" w:hAnsi="宋体" w:cs="宋体"/>
          <w:bCs/>
          <w:color w:val="000000"/>
          <w:sz w:val="24"/>
        </w:rPr>
        <w:t>例</w:t>
      </w:r>
      <w:r>
        <w:rPr>
          <w:rFonts w:hint="eastAsia" w:ascii="宋体" w:hAnsi="宋体" w:cs="宋体"/>
          <w:bCs/>
          <w:color w:val="000000"/>
          <w:sz w:val="24"/>
        </w:rPr>
        <w:t>二</w:t>
      </w:r>
      <w:r>
        <w:rPr>
          <w:rFonts w:ascii="宋体" w:hAnsi="宋体" w:cs="宋体"/>
          <w:bCs/>
          <w:color w:val="000000"/>
          <w:sz w:val="24"/>
        </w:rPr>
        <w:t>：某</w:t>
      </w:r>
      <w:r>
        <w:rPr>
          <w:rFonts w:hint="eastAsia" w:ascii="宋体" w:hAnsi="宋体" w:cs="宋体"/>
          <w:bCs/>
          <w:color w:val="000000"/>
          <w:sz w:val="24"/>
        </w:rPr>
        <w:t>投资人</w:t>
      </w:r>
      <w:r>
        <w:rPr>
          <w:rFonts w:ascii="宋体" w:hAnsi="宋体" w:cs="宋体"/>
          <w:bCs/>
          <w:color w:val="000000"/>
          <w:sz w:val="24"/>
        </w:rPr>
        <w:t>投资5万元</w:t>
      </w:r>
      <w:r>
        <w:rPr>
          <w:rFonts w:hint="eastAsia" w:ascii="宋体" w:hAnsi="宋体" w:cs="宋体"/>
          <w:bCs/>
          <w:color w:val="000000"/>
          <w:sz w:val="24"/>
        </w:rPr>
        <w:t>认</w:t>
      </w:r>
      <w:r>
        <w:rPr>
          <w:rFonts w:ascii="宋体" w:hAnsi="宋体" w:cs="宋体"/>
          <w:bCs/>
          <w:color w:val="000000"/>
          <w:sz w:val="24"/>
        </w:rPr>
        <w:t>购本基金</w:t>
      </w:r>
      <w:r>
        <w:rPr>
          <w:rFonts w:hint="eastAsia" w:ascii="宋体" w:hAnsi="宋体" w:cs="宋体"/>
          <w:bCs/>
          <w:color w:val="000000"/>
          <w:sz w:val="24"/>
        </w:rPr>
        <w:t>C类份额，如果认购期内认购资金获得的利息为5元，</w:t>
      </w:r>
      <w:r>
        <w:rPr>
          <w:rFonts w:ascii="宋体" w:hAnsi="宋体" w:cs="宋体"/>
          <w:bCs/>
          <w:color w:val="000000"/>
          <w:sz w:val="24"/>
        </w:rPr>
        <w:t>则可得到的</w:t>
      </w:r>
      <w:r>
        <w:rPr>
          <w:rFonts w:hint="eastAsia" w:ascii="宋体" w:hAnsi="宋体" w:cs="宋体"/>
          <w:bCs/>
          <w:color w:val="000000"/>
          <w:sz w:val="24"/>
        </w:rPr>
        <w:t>认</w:t>
      </w:r>
      <w:r>
        <w:rPr>
          <w:rFonts w:ascii="宋体" w:hAnsi="宋体" w:cs="宋体"/>
          <w:bCs/>
          <w:color w:val="000000"/>
          <w:sz w:val="24"/>
        </w:rPr>
        <w:t>购份额为：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净认购金额＝50,000/（1＋0%）＝50,000元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认购费用＝50,000－50,000＝0元</w:t>
      </w:r>
    </w:p>
    <w:p>
      <w:pPr>
        <w:spacing w:line="360" w:lineRule="auto"/>
        <w:ind w:firstLine="480"/>
        <w:rPr>
          <w:rFonts w:ascii="宋体" w:hAnsi="宋体" w:cs="宋体"/>
          <w:bCs/>
          <w:color w:val="000000"/>
          <w:sz w:val="24"/>
        </w:rPr>
      </w:pPr>
      <w:r>
        <w:rPr>
          <w:rFonts w:hint="eastAsia" w:ascii="宋体" w:hAnsi="宋体" w:cs="宋体"/>
          <w:bCs/>
          <w:color w:val="000000"/>
          <w:sz w:val="24"/>
        </w:rPr>
        <w:t>认购份额＝（50,000＋5）/1.00＝50,005.00份</w:t>
      </w:r>
    </w:p>
    <w:p>
      <w:pPr>
        <w:spacing w:line="360" w:lineRule="auto"/>
        <w:ind w:firstLine="480"/>
        <w:rPr>
          <w:rFonts w:ascii="宋体" w:hAnsi="宋体" w:cs="宋体"/>
          <w:bCs/>
          <w:color w:val="000000"/>
          <w:sz w:val="24"/>
        </w:rPr>
      </w:pPr>
      <w:r>
        <w:rPr>
          <w:rFonts w:ascii="宋体" w:hAnsi="宋体" w:cs="宋体"/>
          <w:bCs/>
          <w:color w:val="000000"/>
          <w:sz w:val="24"/>
        </w:rPr>
        <w:t>即：投资人投资5万元</w:t>
      </w:r>
      <w:r>
        <w:rPr>
          <w:rFonts w:hint="eastAsia" w:ascii="宋体" w:hAnsi="宋体" w:cs="宋体"/>
          <w:bCs/>
          <w:color w:val="000000"/>
          <w:sz w:val="24"/>
        </w:rPr>
        <w:t>认</w:t>
      </w:r>
      <w:r>
        <w:rPr>
          <w:rFonts w:ascii="宋体" w:hAnsi="宋体" w:cs="宋体"/>
          <w:bCs/>
          <w:color w:val="000000"/>
          <w:sz w:val="24"/>
        </w:rPr>
        <w:t>购本基金</w:t>
      </w:r>
      <w:r>
        <w:rPr>
          <w:rFonts w:hint="eastAsia" w:ascii="宋体" w:hAnsi="宋体" w:cs="宋体"/>
          <w:bCs/>
          <w:color w:val="000000"/>
          <w:sz w:val="24"/>
        </w:rPr>
        <w:t>C</w:t>
      </w:r>
      <w:r>
        <w:rPr>
          <w:rFonts w:ascii="宋体" w:hAnsi="宋体" w:cs="宋体"/>
          <w:bCs/>
          <w:color w:val="000000"/>
          <w:sz w:val="24"/>
        </w:rPr>
        <w:t xml:space="preserve"> </w:t>
      </w:r>
      <w:r>
        <w:rPr>
          <w:rFonts w:hint="eastAsia" w:ascii="宋体" w:hAnsi="宋体" w:cs="宋体"/>
          <w:bCs/>
          <w:color w:val="000000"/>
          <w:sz w:val="24"/>
        </w:rPr>
        <w:t>类份额，</w:t>
      </w:r>
      <w:r>
        <w:rPr>
          <w:rFonts w:ascii="宋体" w:hAnsi="宋体" w:cs="宋体"/>
          <w:bCs/>
          <w:color w:val="000000"/>
          <w:sz w:val="24"/>
        </w:rPr>
        <w:t>则其可得到</w:t>
      </w:r>
      <w:r>
        <w:rPr>
          <w:rFonts w:hint="eastAsia" w:ascii="宋体" w:hAnsi="宋体" w:cs="宋体"/>
          <w:bCs/>
          <w:color w:val="000000"/>
          <w:sz w:val="24"/>
        </w:rPr>
        <w:t>50,005.00</w:t>
      </w:r>
      <w:r>
        <w:rPr>
          <w:rFonts w:ascii="宋体" w:hAnsi="宋体" w:cs="宋体"/>
          <w:bCs/>
          <w:color w:val="000000"/>
          <w:sz w:val="24"/>
        </w:rPr>
        <w:t>份本基金</w:t>
      </w:r>
      <w:r>
        <w:rPr>
          <w:rFonts w:hint="eastAsia" w:ascii="宋体" w:hAnsi="宋体" w:cs="宋体"/>
          <w:bCs/>
          <w:color w:val="000000"/>
          <w:sz w:val="24"/>
        </w:rPr>
        <w:t>C类份额</w:t>
      </w:r>
      <w:r>
        <w:rPr>
          <w:rFonts w:ascii="宋体" w:hAnsi="宋体" w:cs="宋体"/>
          <w:bCs/>
          <w:color w:val="000000"/>
          <w:sz w:val="24"/>
        </w:rPr>
        <w:t>。</w:t>
      </w:r>
    </w:p>
    <w:p>
      <w:pPr>
        <w:spacing w:line="360" w:lineRule="auto"/>
        <w:ind w:firstLine="480"/>
        <w:rPr>
          <w:rFonts w:hint="eastAsia" w:ascii="宋体" w:hAnsi="宋体" w:cs="宋体"/>
          <w:bCs/>
          <w:color w:val="000000"/>
          <w:sz w:val="24"/>
        </w:rPr>
      </w:pPr>
      <w:r>
        <w:rPr>
          <w:rFonts w:ascii="宋体" w:hAnsi="宋体" w:cs="宋体"/>
          <w:bCs/>
          <w:color w:val="000000"/>
          <w:sz w:val="24"/>
        </w:rPr>
        <w:t>认购份额的计算保留到小数点后2位，小数点2位以后的部分四舍五入，由此误差产生的收益或损失由基金财产承担。</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十四、认购的方法与确认</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1、认购方法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投资人认购时间安排、投资人认购应提交的文件和办理的手续，由基金管理人根据相关法律法规及本基金基金合同，在基金份额发售公告中确定并披露。</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2、认购确认</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发售机构认购申请的受理并不代表该申请一定成功，而仅代表发售机构确实接收到认购申请。认购的确认以注册登记机构或基金管理人的确认结果为准。投资人可在基金合同生效后到各销售网点查询最终成交确认情况和认购的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十五、募集资金利息的处理方式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有效认购款项在募集期间产生的利息，在基金合同生效后折算为基金份额归基金份额持有人所有，不收取认购费用。</w:t>
      </w:r>
      <w:r>
        <w:rPr>
          <w:rFonts w:ascii="宋体" w:hAnsi="宋体" w:cs="宋体"/>
          <w:bCs/>
          <w:color w:val="000000"/>
          <w:sz w:val="24"/>
        </w:rPr>
        <w:t>利息和具体份额以注册登记机构的记录为准。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计算结果按照四舍五入方式，保留小数点后两位，由此误差产生的损失由基金财产承担，产生的收益归基金财产所有。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十六、募集资金</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基金募集期间募集的资金存入专门账户，在基金募集行为结束前，任何人不得动用。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基金募集期间的信息披露费、会计师费、律师费以及其他费用，不得从基金财产中列支。</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十七、募集结果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截至2013年7月23日，基金募集工作已经顺利结束。经普华永道中天会计师事务所有限公司验资，本次募集的净认购金额为人民币3,195,585,368.91元。本次募集所有认购款项在基金验资确认日之前产生的银行利息共计人民币1,131,606.12元。本次募集有效认购户数为21,725户，按照每份基金份额初始面值人民币1.00元计算，募集期募集资金及利息结转的基金份额共计3,196,716,975.03份，已全部计入投资者基金账户，归投资者所有。本次募集所有资金已全额划入本基金在基金托管人中信银行股份有限公司开立的建信双债增强债券型证券投资基金托管专户。</w:t>
      </w:r>
    </w:p>
    <w:p>
      <w:pPr>
        <w:spacing w:line="360" w:lineRule="auto"/>
        <w:ind w:firstLine="480"/>
        <w:rPr>
          <w:rFonts w:hint="eastAsia" w:ascii="宋体" w:hAnsi="宋体" w:cs="宋体"/>
          <w:bCs/>
          <w:color w:val="000000"/>
          <w:sz w:val="24"/>
        </w:rPr>
      </w:pPr>
    </w:p>
    <w:p>
      <w:pPr>
        <w:pStyle w:val="2"/>
        <w:pageBreakBefore/>
        <w:spacing w:before="0" w:after="0"/>
        <w:jc w:val="center"/>
        <w:rPr>
          <w:rFonts w:hint="eastAsia" w:cs="宋体"/>
          <w:bCs/>
        </w:rPr>
      </w:pPr>
      <w:bookmarkStart w:id="8" w:name="_Toc521587219"/>
      <w:r>
        <w:rPr>
          <w:rFonts w:hint="eastAsia" w:ascii="Times New Roman" w:hAnsi="Times New Roman"/>
          <w:color w:val="auto"/>
          <w:sz w:val="30"/>
        </w:rPr>
        <w:t>第七部分 《基金合同》的生效</w:t>
      </w:r>
      <w:bookmarkEnd w:id="8"/>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一、基金备案的条件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本基金募集期限届满，具备下列条件的，基金管理人应当按照规定办理验资和基金备案手续：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1、基金募集份额总额不少于2亿份，基金募集金额不少于2亿元人民币；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2、基金份额持有人的人数不少于200人。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二、基金的备案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基金募集期限届满，具备上述基金备案条件的，基金管理人应当自募集期限届满之日起10日内聘请法定验资机构验资，自收到验资报告之日起10日内，向中国证监会提交验资报告，办理基金备案手续。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三、基金合同的生效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1、自中国证监会书面确认之日起，基金备案手续办理完毕，基金合同生效；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2、基金管理人应当在收到中国证监会确认文件的次日对基金合同生效事宜予以公告。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四、基金募集失败的处理方式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基金募集期限届满，不能满足基金备案的条件的，则基金募集失败。基金管理人应当：</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1、以其固有财产承担因募集行为而产生的债务和费用；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2、在基金募集期限届满后30日内返还投资人已缴纳的认购款项，并加计银行同期存款利息。</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五、基金存续期间异常情况的处理</w:t>
      </w:r>
    </w:p>
    <w:p>
      <w:pPr>
        <w:spacing w:line="360" w:lineRule="auto"/>
        <w:ind w:firstLine="480"/>
        <w:rPr>
          <w:rFonts w:ascii="宋体" w:hAnsi="宋体" w:cs="宋体"/>
          <w:bCs/>
          <w:color w:val="000000"/>
          <w:sz w:val="24"/>
        </w:rPr>
      </w:pPr>
      <w:r>
        <w:rPr>
          <w:rFonts w:hint="eastAsia" w:ascii="宋体" w:hAnsi="宋体" w:cs="宋体"/>
          <w:bCs/>
          <w:color w:val="000000"/>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pPr>
        <w:spacing w:line="360" w:lineRule="auto"/>
        <w:ind w:firstLine="480"/>
        <w:rPr>
          <w:rFonts w:hint="eastAsia" w:ascii="宋体" w:hAnsi="宋体" w:cs="宋体"/>
          <w:bCs/>
          <w:color w:val="000000"/>
          <w:sz w:val="24"/>
        </w:rPr>
      </w:pPr>
      <w:r>
        <w:rPr>
          <w:rFonts w:ascii="宋体" w:hAnsi="宋体" w:cs="宋体"/>
          <w:bCs/>
          <w:color w:val="000000"/>
          <w:sz w:val="24"/>
        </w:rPr>
        <w:t>法律法规另有规定时，从其规定。</w:t>
      </w:r>
    </w:p>
    <w:p>
      <w:pPr>
        <w:spacing w:line="360" w:lineRule="auto"/>
        <w:ind w:firstLine="480"/>
        <w:rPr>
          <w:rFonts w:ascii="宋体" w:hAnsi="宋体" w:cs="宋体"/>
          <w:bCs/>
          <w:color w:val="000000"/>
          <w:sz w:val="24"/>
        </w:rPr>
      </w:pPr>
      <w:r>
        <w:rPr>
          <w:rFonts w:hint="eastAsia" w:ascii="宋体" w:hAnsi="宋体" w:cs="宋体"/>
          <w:bCs/>
          <w:color w:val="000000"/>
          <w:sz w:val="24"/>
        </w:rPr>
        <w:t>六、基金合同生效</w:t>
      </w:r>
    </w:p>
    <w:p>
      <w:pPr>
        <w:spacing w:line="360" w:lineRule="auto"/>
        <w:ind w:firstLine="480"/>
        <w:rPr>
          <w:rFonts w:hint="eastAsia"/>
          <w:sz w:val="30"/>
        </w:rPr>
      </w:pPr>
      <w:r>
        <w:rPr>
          <w:rFonts w:ascii="宋体" w:hAnsi="宋体" w:cs="宋体"/>
          <w:bCs/>
          <w:color w:val="000000"/>
          <w:sz w:val="24"/>
        </w:rPr>
        <w:t>本基金的基金合同于20</w:t>
      </w:r>
      <w:r>
        <w:rPr>
          <w:rFonts w:hint="eastAsia" w:ascii="宋体" w:hAnsi="宋体" w:cs="宋体"/>
          <w:bCs/>
          <w:color w:val="000000"/>
          <w:sz w:val="24"/>
        </w:rPr>
        <w:t>13</w:t>
      </w:r>
      <w:r>
        <w:rPr>
          <w:rFonts w:ascii="宋体" w:hAnsi="宋体" w:cs="宋体"/>
          <w:bCs/>
          <w:color w:val="000000"/>
          <w:sz w:val="24"/>
        </w:rPr>
        <w:t>年</w:t>
      </w:r>
      <w:r>
        <w:rPr>
          <w:rFonts w:hint="eastAsia" w:ascii="宋体" w:hAnsi="宋体" w:cs="宋体"/>
          <w:bCs/>
          <w:color w:val="000000"/>
          <w:sz w:val="24"/>
        </w:rPr>
        <w:t>7</w:t>
      </w:r>
      <w:r>
        <w:rPr>
          <w:rFonts w:ascii="宋体" w:hAnsi="宋体" w:cs="宋体"/>
          <w:bCs/>
          <w:color w:val="000000"/>
          <w:sz w:val="24"/>
        </w:rPr>
        <w:t>月</w:t>
      </w:r>
      <w:r>
        <w:rPr>
          <w:rFonts w:hint="eastAsia" w:ascii="宋体" w:hAnsi="宋体" w:cs="宋体"/>
          <w:bCs/>
          <w:color w:val="000000"/>
          <w:sz w:val="24"/>
        </w:rPr>
        <w:t>25</w:t>
      </w:r>
      <w:r>
        <w:rPr>
          <w:rFonts w:ascii="宋体" w:hAnsi="宋体" w:cs="宋体"/>
          <w:bCs/>
          <w:color w:val="000000"/>
          <w:sz w:val="24"/>
        </w:rPr>
        <w:t>日正式生效。</w:t>
      </w:r>
    </w:p>
    <w:p>
      <w:pPr>
        <w:pStyle w:val="2"/>
        <w:pageBreakBefore/>
        <w:spacing w:before="0" w:after="0"/>
        <w:jc w:val="center"/>
        <w:rPr>
          <w:rFonts w:hint="eastAsia" w:cs="宋体"/>
          <w:bCs/>
        </w:rPr>
      </w:pPr>
      <w:bookmarkStart w:id="9" w:name="_Toc521587220"/>
      <w:r>
        <w:rPr>
          <w:rFonts w:hint="eastAsia" w:ascii="Times New Roman" w:hAnsi="Times New Roman"/>
          <w:color w:val="auto"/>
          <w:sz w:val="30"/>
        </w:rPr>
        <w:t>第八部分 基金份额的申购与赎回</w:t>
      </w:r>
      <w:bookmarkEnd w:id="9"/>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一、申购与赎回办理的场所</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本基金的销售机构包括本基金管理人和本基金管理人委托的代销机构。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基金投资人应当在销售机构办理基金销售业务的营业场所或按销售机构提供的其他方式办理基金份额的申购与赎回。销售机构名单和联系方式见上述第五章第一条。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基金管理人可以根据情况增加或者减少代销机构，并另行公告。销售机构可以根据情况增加或者减少其销售城市、网点，并另行公告。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二、申购与赎回办理的开放日及时间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1、开放日及时间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投资人可办理申购、赎回等业务的开放日为上海证券交易所、深圳证券交易所的交易日，具体业务办理时间以销售机构公布的时间为准。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基金开放日，投资人提出的申购、赎回申请时间应在上海证券交易所与深圳证券交易所当日收市时间之前，其基金份额申购、赎回的价格为当日的价格；如果投资人提出的申购、赎回申请时间在上海证券交易所与深圳证券交易所当日收市时间之后，其基金份额申购、赎回的价格为下一开放日的价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若出现新的证券交易市场、证券交易所交易时间变更或其他特殊情况，基金管理人将视情况对前述开放日及开放时间进行相应的调整并公告。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2、申购与赎回的开始时间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本基金自《基金合同》生效日后不超过3个月的时间起开始办理申购。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本基金自《基金合同》生效日后不超过3个月的时间起开始办理赎回。</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基金管理人应于申购开始日、赎回开始日前至少 2 个工作日在至少一家指定媒体及基金管理人互联网网站（以下简称“网站”）公告。</w:t>
      </w:r>
    </w:p>
    <w:p>
      <w:pPr>
        <w:spacing w:line="360" w:lineRule="auto"/>
        <w:ind w:firstLine="480"/>
        <w:rPr>
          <w:rFonts w:ascii="宋体" w:hAnsi="宋体" w:cs="宋体"/>
          <w:bCs/>
          <w:color w:val="000000"/>
          <w:sz w:val="24"/>
        </w:rPr>
      </w:pPr>
      <w:r>
        <w:rPr>
          <w:rFonts w:hint="eastAsia" w:ascii="宋体" w:hAnsi="宋体" w:cs="宋体"/>
          <w:bCs/>
          <w:color w:val="000000"/>
          <w:sz w:val="24"/>
        </w:rPr>
        <w:t>三、申购与赎回的原则</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、“未知价”原则，即申购、赎回价格以申请当日收市后计算的基金份额净值为基准进行计算；</w:t>
      </w:r>
    </w:p>
    <w:p>
      <w:pPr>
        <w:spacing w:line="360" w:lineRule="auto"/>
        <w:ind w:firstLine="480"/>
        <w:rPr>
          <w:rFonts w:hint="eastAsia" w:ascii="宋体" w:hAnsi="宋体" w:cs="宋体"/>
          <w:bCs/>
          <w:color w:val="000000"/>
          <w:sz w:val="24"/>
        </w:rPr>
      </w:pPr>
      <w:r>
        <w:rPr>
          <w:rFonts w:ascii="宋体" w:hAnsi="宋体" w:cs="宋体"/>
          <w:bCs/>
          <w:color w:val="000000"/>
          <w:sz w:val="24"/>
        </w:rPr>
        <w:t>2</w:t>
      </w:r>
      <w:r>
        <w:rPr>
          <w:rFonts w:hint="eastAsia" w:ascii="宋体" w:hAnsi="宋体" w:cs="宋体"/>
          <w:bCs/>
          <w:color w:val="000000"/>
          <w:sz w:val="24"/>
        </w:rPr>
        <w:t>、“金额申购、份额赎回”原则，即申购以金额申请，赎回以份额申请；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w:t>
      </w:r>
      <w:r>
        <w:rPr>
          <w:rFonts w:ascii="宋体" w:hAnsi="宋体" w:cs="宋体"/>
          <w:bCs/>
          <w:color w:val="000000"/>
          <w:sz w:val="24"/>
        </w:rPr>
        <w:t>先进先出</w:t>
      </w:r>
      <w:r>
        <w:rPr>
          <w:rFonts w:hint="eastAsia" w:ascii="宋体" w:hAnsi="宋体" w:cs="宋体"/>
          <w:bCs/>
          <w:color w:val="000000"/>
          <w:sz w:val="24"/>
        </w:rPr>
        <w:t>”</w:t>
      </w:r>
      <w:r>
        <w:rPr>
          <w:rFonts w:ascii="宋体" w:hAnsi="宋体" w:cs="宋体"/>
          <w:bCs/>
          <w:color w:val="000000"/>
          <w:sz w:val="24"/>
        </w:rPr>
        <w:t>原则，即在基金份额持有人赎回基金份额、基金管理人对该基金份额持有人的基金份额进行赎回处理时，认购、申购确认日期在先的基金份额先赎回，认购、申购确认日期在后的基金份额后赎回，以确定所适用的赎回费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4、当日的申购与赎回申请可以在基金管理人规定的时间以内撤销；</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基金管理人可在法律法规允许的情况下根据基金运作的实际情况并在不影响基金份额持有人实质利益的前提下调整上述原则。基金管理人必须在新规则开始实施前按照《信息披露办法》的有关规定在指定媒体及基金管理人网站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四、申购与赎回的程序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1、申购和赎回的申请方式</w:t>
      </w:r>
      <w:r>
        <w:rPr>
          <w:rFonts w:ascii="宋体" w:hAnsi="宋体" w:cs="宋体"/>
          <w:bCs/>
          <w:color w:val="000000"/>
          <w:sz w:val="24"/>
        </w:rPr>
        <w:t xml:space="preserve">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基金投资人必须根据基金销售机构规定的程序，在开放日的业务办理时间向基金销售机构提出申购或赎回的申请。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投资人在申购本基金时须按销售机构规定的方式备足申购资金,投资人在提交赎回申请时，必须有足够的基金份额余额，否则所提交的申购、赎回的申请无效而不予成交。</w:t>
      </w:r>
    </w:p>
    <w:p>
      <w:pPr>
        <w:spacing w:line="360" w:lineRule="auto"/>
        <w:ind w:firstLine="480"/>
        <w:rPr>
          <w:rFonts w:ascii="宋体" w:hAnsi="宋体" w:cs="宋体"/>
          <w:bCs/>
          <w:color w:val="000000"/>
          <w:sz w:val="24"/>
        </w:rPr>
      </w:pPr>
      <w:r>
        <w:rPr>
          <w:rFonts w:hint="eastAsia" w:ascii="宋体" w:hAnsi="宋体" w:cs="宋体"/>
          <w:bCs/>
          <w:color w:val="000000"/>
          <w:sz w:val="24"/>
        </w:rPr>
        <w:t>2、申购和赎回申请的确认</w:t>
      </w:r>
    </w:p>
    <w:p>
      <w:pPr>
        <w:spacing w:line="360" w:lineRule="auto"/>
        <w:ind w:firstLine="480"/>
        <w:rPr>
          <w:rFonts w:hint="eastAsia" w:ascii="宋体" w:hAnsi="宋体" w:cs="宋体"/>
          <w:bCs/>
          <w:color w:val="000000"/>
          <w:sz w:val="24"/>
        </w:rPr>
      </w:pPr>
      <w:r>
        <w:rPr>
          <w:rFonts w:ascii="宋体" w:hAnsi="宋体" w:cs="宋体"/>
          <w:bCs/>
          <w:color w:val="000000"/>
          <w:sz w:val="24"/>
        </w:rPr>
        <w:t>T</w:t>
      </w:r>
      <w:r>
        <w:rPr>
          <w:rFonts w:hint="eastAsia" w:ascii="宋体" w:hAnsi="宋体" w:cs="宋体"/>
          <w:bCs/>
          <w:color w:val="000000"/>
          <w:sz w:val="24"/>
        </w:rPr>
        <w:t>日规定时间受理的申请，正常情况下，基金注册登记机构在</w:t>
      </w:r>
      <w:r>
        <w:rPr>
          <w:rFonts w:ascii="宋体" w:hAnsi="宋体" w:cs="宋体"/>
          <w:bCs/>
          <w:color w:val="000000"/>
          <w:sz w:val="24"/>
        </w:rPr>
        <w:t>T+1</w:t>
      </w:r>
      <w:r>
        <w:rPr>
          <w:rFonts w:hint="eastAsia" w:ascii="宋体" w:hAnsi="宋体" w:cs="宋体"/>
          <w:bCs/>
          <w:color w:val="000000"/>
          <w:sz w:val="24"/>
        </w:rPr>
        <w:t>日内为投资人对该交易的有效性进行确认，在</w:t>
      </w:r>
      <w:r>
        <w:rPr>
          <w:rFonts w:ascii="宋体" w:hAnsi="宋体" w:cs="宋体"/>
          <w:bCs/>
          <w:color w:val="000000"/>
          <w:sz w:val="24"/>
        </w:rPr>
        <w:t>T</w:t>
      </w: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日后（包括该日）投资人可向销售机构或以销售机构规定的其他方式查询申购与赎回的成交情况。基金发售机构申购申请的受理并不代表该申请一定成功，而仅代表发售机构确实接收到申购申请。申购的确认以注册登记机构或基金管理人的确认结果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3、申购和赎回的款项支付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申购采用全额缴款方式，若申购资金在规定时间内未全额到账则申购不成功，若申购不成功或无效，申购款项将退回投资人账户。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投资人T日赎回申请成功后，基金管理人将通过基金注册登记机构及其相关基金销售机构在</w:t>
      </w:r>
      <w:r>
        <w:rPr>
          <w:rFonts w:ascii="宋体" w:hAnsi="宋体" w:cs="宋体"/>
          <w:bCs/>
          <w:color w:val="000000"/>
          <w:sz w:val="24"/>
        </w:rPr>
        <w:t>T</w:t>
      </w:r>
      <w:r>
        <w:rPr>
          <w:rFonts w:hint="eastAsia" w:ascii="宋体" w:hAnsi="宋体" w:cs="宋体"/>
          <w:bCs/>
          <w:color w:val="000000"/>
          <w:sz w:val="24"/>
        </w:rPr>
        <w:t>＋</w:t>
      </w:r>
      <w:r>
        <w:rPr>
          <w:rFonts w:ascii="宋体" w:hAnsi="宋体" w:cs="宋体"/>
          <w:bCs/>
          <w:color w:val="000000"/>
          <w:sz w:val="24"/>
        </w:rPr>
        <w:t>7</w:t>
      </w:r>
      <w:r>
        <w:rPr>
          <w:rFonts w:hint="eastAsia" w:ascii="宋体" w:hAnsi="宋体" w:cs="宋体"/>
          <w:bCs/>
          <w:color w:val="000000"/>
          <w:sz w:val="24"/>
        </w:rPr>
        <w:t>日（包括该日）内将赎回款项划往基金份额持有人账户。在发生巨额赎回的情形时，款项的支付办法参照《基金合同》的有关条款处理。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五、申购与赎回的数额限制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代销网点每个基金账户单笔申购最低金额为10元人民币，代销机构另有规定的，从其规定；直销机构每个基金账户首次最低申购金额为10元人民币，已在直销机构有申购本基金记录的投资人不受首次申购最低金额的限制，单笔申购最低金额为10元人民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份额持有人在销售机构赎回时，每次赎回申请不得低于10份基金份额。基金份额持有人赎回时或赎回后在销售机构（网点）单个交易账户保留的基金份额余额不足10份的，余额部分基金份额在赎回时需同时全部赎回。</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3、基金管理人可以规定投资人首次申购和每次申购的最低金额以及每次赎回的最低份额，具体规定请参见招募说明书。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4、基金管理人可以规定投资人每个基金交易账户的最低基金份额余额，具体规定请参见招募说明书。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5、基金管理人可以规定单个投资人累计持有的基金份额上限，具体规定请参见招募说明书。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6、基金管理人可以规定基金总规模上限、当日申购金额上限，具体规定请参见招募说明书或相关公告。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7、基金管理人可以规定单个投资人当日申购金额上限，具体规定请参见招募说明书或相关公告。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8、基金管理人可在法律法规允许的情况下，调整上述规定申购金额和赎回份额的数量限制。基金管理人必须在调整前依照《信息披露办法》的有关规定在指定媒体上公告并报中国证监会备案。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六、申购费与赎回费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1、申购费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投资人在申购本基金A类基金份额时，收取申购费用</w:t>
      </w:r>
      <w:r>
        <w:rPr>
          <w:rFonts w:ascii="宋体" w:hAnsi="宋体" w:cs="宋体"/>
          <w:bCs/>
          <w:color w:val="000000"/>
          <w:sz w:val="24"/>
        </w:rPr>
        <w:t>，</w:t>
      </w:r>
      <w:r>
        <w:rPr>
          <w:rFonts w:hint="eastAsia" w:ascii="宋体" w:hAnsi="宋体" w:cs="宋体"/>
          <w:bCs/>
          <w:color w:val="000000"/>
          <w:sz w:val="24"/>
        </w:rPr>
        <w:t>申购费率随申购金额增加而递减；投资人</w:t>
      </w:r>
      <w:r>
        <w:rPr>
          <w:rFonts w:ascii="宋体" w:hAnsi="宋体" w:cs="宋体"/>
          <w:bCs/>
          <w:color w:val="000000"/>
          <w:sz w:val="24"/>
        </w:rPr>
        <w:t>可以多次申购本基金，申购</w:t>
      </w:r>
      <w:r>
        <w:rPr>
          <w:rFonts w:hint="eastAsia" w:ascii="宋体" w:hAnsi="宋体" w:cs="宋体"/>
          <w:bCs/>
          <w:color w:val="000000"/>
          <w:sz w:val="24"/>
        </w:rPr>
        <w:t>费用</w:t>
      </w:r>
      <w:r>
        <w:rPr>
          <w:rFonts w:ascii="宋体" w:hAnsi="宋体" w:cs="宋体"/>
          <w:bCs/>
          <w:color w:val="000000"/>
          <w:sz w:val="24"/>
        </w:rPr>
        <w:t>按</w:t>
      </w:r>
      <w:r>
        <w:rPr>
          <w:rFonts w:hint="eastAsia" w:ascii="宋体" w:hAnsi="宋体" w:cs="宋体"/>
          <w:bCs/>
          <w:color w:val="000000"/>
          <w:sz w:val="24"/>
        </w:rPr>
        <w:t>每日累计申购金额确定申购费率，以</w:t>
      </w:r>
      <w:r>
        <w:rPr>
          <w:rFonts w:ascii="宋体" w:hAnsi="宋体" w:cs="宋体"/>
          <w:bCs/>
          <w:color w:val="000000"/>
          <w:sz w:val="24"/>
        </w:rPr>
        <w:t>每笔申购申请单独计算</w:t>
      </w:r>
      <w:r>
        <w:rPr>
          <w:rFonts w:hint="eastAsia" w:ascii="宋体" w:hAnsi="宋体" w:cs="宋体"/>
          <w:bCs/>
          <w:color w:val="000000"/>
          <w:sz w:val="24"/>
        </w:rPr>
        <w:t>费用</w:t>
      </w:r>
      <w:r>
        <w:rPr>
          <w:rFonts w:ascii="宋体" w:hAnsi="宋体" w:cs="宋体"/>
          <w:bCs/>
          <w:color w:val="000000"/>
          <w:sz w:val="24"/>
        </w:rPr>
        <w:t>。</w:t>
      </w:r>
      <w:r>
        <w:rPr>
          <w:rFonts w:hint="eastAsia" w:ascii="宋体" w:hAnsi="宋体" w:cs="宋体"/>
          <w:bCs/>
          <w:color w:val="000000"/>
          <w:sz w:val="24"/>
        </w:rPr>
        <w:t>本基金C类基金份额不收取申购费。</w:t>
      </w:r>
    </w:p>
    <w:p>
      <w:pPr>
        <w:spacing w:line="360" w:lineRule="auto"/>
        <w:ind w:firstLine="480"/>
        <w:rPr>
          <w:rFonts w:ascii="宋体" w:hAnsi="宋体" w:cs="宋体"/>
          <w:color w:val="000000"/>
          <w:szCs w:val="21"/>
        </w:rPr>
      </w:pPr>
      <w:r>
        <w:rPr>
          <w:rFonts w:hint="eastAsia" w:ascii="宋体" w:hAnsi="宋体" w:cs="宋体"/>
          <w:bCs/>
          <w:color w:val="000000"/>
          <w:sz w:val="24"/>
        </w:rPr>
        <w:t>本基金的申购费率如下表所示：</w:t>
      </w:r>
    </w:p>
    <w:tbl>
      <w:tblPr>
        <w:tblStyle w:val="26"/>
        <w:tblW w:w="7966" w:type="dxa"/>
        <w:tblInd w:w="108" w:type="dxa"/>
        <w:tblLayout w:type="fixed"/>
        <w:tblCellMar>
          <w:top w:w="0" w:type="dxa"/>
          <w:left w:w="108" w:type="dxa"/>
          <w:bottom w:w="0" w:type="dxa"/>
          <w:right w:w="108" w:type="dxa"/>
        </w:tblCellMar>
      </w:tblPr>
      <w:tblGrid>
        <w:gridCol w:w="1436"/>
        <w:gridCol w:w="2630"/>
        <w:gridCol w:w="1917"/>
        <w:gridCol w:w="1983"/>
      </w:tblGrid>
      <w:tr>
        <w:tblPrEx>
          <w:tblLayout w:type="fixed"/>
          <w:tblCellMar>
            <w:top w:w="0" w:type="dxa"/>
            <w:left w:w="108" w:type="dxa"/>
            <w:bottom w:w="0" w:type="dxa"/>
            <w:right w:w="108" w:type="dxa"/>
          </w:tblCellMar>
        </w:tblPrEx>
        <w:trPr>
          <w:trHeight w:val="559" w:hRule="atLeast"/>
        </w:trPr>
        <w:tc>
          <w:tcPr>
            <w:tcW w:w="1436" w:type="dxa"/>
            <w:tcBorders>
              <w:top w:val="single" w:color="000000" w:sz="4" w:space="0"/>
              <w:left w:val="single" w:color="000000" w:sz="4" w:space="0"/>
              <w:bottom w:val="single" w:color="000000" w:sz="4" w:space="0"/>
            </w:tcBorders>
            <w:shd w:val="clear" w:color="auto" w:fill="auto"/>
            <w:noWrap w:val="0"/>
            <w:vAlign w:val="center"/>
          </w:tcPr>
          <w:p>
            <w:pPr>
              <w:widowControl/>
              <w:jc w:val="center"/>
              <w:rPr>
                <w:rFonts w:ascii="宋体" w:hAnsi="宋体" w:cs="宋体"/>
                <w:color w:val="000000"/>
                <w:szCs w:val="21"/>
              </w:rPr>
            </w:pPr>
            <w:r>
              <w:rPr>
                <w:rFonts w:ascii="宋体" w:hAnsi="宋体" w:cs="宋体"/>
                <w:color w:val="000000"/>
                <w:szCs w:val="21"/>
              </w:rPr>
              <w:t>费用种类</w:t>
            </w:r>
          </w:p>
        </w:tc>
        <w:tc>
          <w:tcPr>
            <w:tcW w:w="4547" w:type="dxa"/>
            <w:gridSpan w:val="2"/>
            <w:tcBorders>
              <w:top w:val="single" w:color="000000" w:sz="4" w:space="0"/>
              <w:left w:val="single" w:color="000000" w:sz="4" w:space="0"/>
              <w:bottom w:val="single" w:color="000000" w:sz="4" w:space="0"/>
            </w:tcBorders>
            <w:shd w:val="clear" w:color="auto" w:fill="auto"/>
            <w:noWrap w:val="0"/>
            <w:vAlign w:val="center"/>
          </w:tcPr>
          <w:p>
            <w:pPr>
              <w:widowControl/>
              <w:jc w:val="center"/>
              <w:rPr>
                <w:rFonts w:ascii="宋体" w:hAnsi="宋体" w:cs="宋体"/>
                <w:color w:val="000000"/>
                <w:szCs w:val="21"/>
              </w:rPr>
            </w:pPr>
            <w:r>
              <w:rPr>
                <w:rFonts w:ascii="宋体" w:hAnsi="宋体" w:cs="宋体"/>
                <w:color w:val="000000"/>
                <w:szCs w:val="21"/>
              </w:rPr>
              <w:t>A类基金份额</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pPr>
            <w:r>
              <w:rPr>
                <w:rFonts w:ascii="宋体" w:hAnsi="宋体" w:cs="宋体"/>
                <w:color w:val="000000"/>
                <w:szCs w:val="21"/>
              </w:rPr>
              <w:t>C类基金份额</w:t>
            </w:r>
          </w:p>
        </w:tc>
      </w:tr>
      <w:tr>
        <w:tblPrEx>
          <w:tblLayout w:type="fixed"/>
          <w:tblCellMar>
            <w:top w:w="0" w:type="dxa"/>
            <w:left w:w="108" w:type="dxa"/>
            <w:bottom w:w="0" w:type="dxa"/>
            <w:right w:w="108" w:type="dxa"/>
          </w:tblCellMar>
        </w:tblPrEx>
        <w:trPr>
          <w:trHeight w:val="302" w:hRule="atLeast"/>
        </w:trPr>
        <w:tc>
          <w:tcPr>
            <w:tcW w:w="1436" w:type="dxa"/>
            <w:vMerge w:val="restart"/>
            <w:tcBorders>
              <w:top w:val="single" w:color="000000" w:sz="4" w:space="0"/>
              <w:left w:val="single" w:color="000000" w:sz="4" w:space="0"/>
              <w:bottom w:val="single" w:color="000000" w:sz="4" w:space="0"/>
            </w:tcBorders>
            <w:shd w:val="clear" w:color="auto" w:fill="auto"/>
            <w:noWrap w:val="0"/>
            <w:vAlign w:val="center"/>
          </w:tcPr>
          <w:p>
            <w:pPr>
              <w:jc w:val="center"/>
              <w:rPr>
                <w:rFonts w:hint="eastAsia" w:ascii="宋体" w:hAnsi="宋体" w:cs="宋体"/>
                <w:szCs w:val="21"/>
              </w:rPr>
            </w:pPr>
            <w:r>
              <w:rPr>
                <w:rFonts w:hint="eastAsia" w:ascii="宋体" w:hAnsi="宋体" w:cs="宋体"/>
                <w:szCs w:val="21"/>
              </w:rPr>
              <w:t>申</w:t>
            </w:r>
            <w:r>
              <w:rPr>
                <w:rFonts w:ascii="宋体" w:hAnsi="宋体" w:cs="宋体"/>
                <w:szCs w:val="21"/>
              </w:rPr>
              <w:t>购费</w:t>
            </w:r>
          </w:p>
        </w:tc>
        <w:tc>
          <w:tcPr>
            <w:tcW w:w="263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cs="宋体"/>
                <w:szCs w:val="21"/>
              </w:rPr>
            </w:pPr>
            <w:r>
              <w:rPr>
                <w:rFonts w:hint="eastAsia" w:ascii="宋体" w:hAnsi="宋体" w:cs="宋体"/>
                <w:szCs w:val="21"/>
              </w:rPr>
              <w:t>M</w:t>
            </w:r>
            <w:r>
              <w:rPr>
                <w:rFonts w:ascii="宋体" w:hAnsi="宋体" w:cs="SimSun-Identity-H"/>
                <w:szCs w:val="21"/>
              </w:rPr>
              <w:t>＜</w:t>
            </w:r>
            <w:r>
              <w:rPr>
                <w:rFonts w:hint="eastAsia" w:ascii="宋体" w:hAnsi="宋体" w:cs="宋体"/>
                <w:szCs w:val="21"/>
              </w:rPr>
              <w:t>100万元</w:t>
            </w:r>
          </w:p>
        </w:tc>
        <w:tc>
          <w:tcPr>
            <w:tcW w:w="1917"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szCs w:val="21"/>
              </w:rPr>
            </w:pPr>
            <w:r>
              <w:rPr>
                <w:rFonts w:ascii="宋体" w:hAnsi="宋体" w:cs="宋体"/>
                <w:szCs w:val="21"/>
              </w:rPr>
              <w:t>0.8%</w:t>
            </w:r>
          </w:p>
        </w:tc>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rFonts w:ascii="宋体" w:hAnsi="宋体" w:cs="宋体"/>
                <w:szCs w:val="21"/>
              </w:rPr>
              <w:t>0%</w:t>
            </w:r>
          </w:p>
        </w:tc>
      </w:tr>
      <w:tr>
        <w:tblPrEx>
          <w:tblLayout w:type="fixed"/>
          <w:tblCellMar>
            <w:top w:w="0" w:type="dxa"/>
            <w:left w:w="108" w:type="dxa"/>
            <w:bottom w:w="0" w:type="dxa"/>
            <w:right w:w="108" w:type="dxa"/>
          </w:tblCellMar>
        </w:tblPrEx>
        <w:trPr>
          <w:trHeight w:val="277" w:hRule="atLeast"/>
        </w:trPr>
        <w:tc>
          <w:tcPr>
            <w:tcW w:w="1436" w:type="dxa"/>
            <w:vMerge w:val="continue"/>
            <w:tcBorders>
              <w:top w:val="single" w:color="000000" w:sz="4" w:space="0"/>
              <w:left w:val="single" w:color="000000" w:sz="4" w:space="0"/>
              <w:bottom w:val="single" w:color="000000" w:sz="4" w:space="0"/>
            </w:tcBorders>
            <w:shd w:val="clear" w:color="auto" w:fill="auto"/>
            <w:noWrap w:val="0"/>
            <w:vAlign w:val="center"/>
          </w:tcPr>
          <w:p>
            <w:pPr>
              <w:widowControl/>
              <w:snapToGrid w:val="0"/>
              <w:jc w:val="center"/>
              <w:rPr>
                <w:rFonts w:ascii="宋体" w:hAnsi="宋体" w:cs="宋体"/>
                <w:color w:val="000000"/>
                <w:szCs w:val="21"/>
              </w:rPr>
            </w:pPr>
          </w:p>
        </w:tc>
        <w:tc>
          <w:tcPr>
            <w:tcW w:w="263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cs="宋体"/>
                <w:szCs w:val="21"/>
              </w:rPr>
            </w:pPr>
            <w:r>
              <w:rPr>
                <w:rFonts w:hint="eastAsia" w:ascii="宋体" w:hAnsi="宋体" w:cs="宋体"/>
                <w:szCs w:val="21"/>
              </w:rPr>
              <w:t>100万元≤M</w:t>
            </w:r>
            <w:r>
              <w:rPr>
                <w:rFonts w:ascii="宋体" w:hAnsi="宋体" w:cs="SimSun-Identity-H"/>
                <w:szCs w:val="21"/>
              </w:rPr>
              <w:t>＜</w:t>
            </w:r>
            <w:r>
              <w:rPr>
                <w:rFonts w:hint="eastAsia" w:ascii="宋体" w:hAnsi="宋体" w:cs="宋体"/>
                <w:szCs w:val="21"/>
              </w:rPr>
              <w:t>500万元</w:t>
            </w:r>
          </w:p>
        </w:tc>
        <w:tc>
          <w:tcPr>
            <w:tcW w:w="1917"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color w:val="000000"/>
                <w:szCs w:val="21"/>
              </w:rPr>
            </w:pPr>
            <w:r>
              <w:rPr>
                <w:rFonts w:ascii="宋体" w:hAnsi="宋体" w:cs="宋体"/>
                <w:szCs w:val="21"/>
              </w:rPr>
              <w:t>0.5%</w:t>
            </w:r>
          </w:p>
        </w:tc>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snapToGrid w:val="0"/>
              <w:jc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281" w:hRule="atLeast"/>
        </w:trPr>
        <w:tc>
          <w:tcPr>
            <w:tcW w:w="1436" w:type="dxa"/>
            <w:vMerge w:val="continue"/>
            <w:tcBorders>
              <w:top w:val="single" w:color="000000" w:sz="4" w:space="0"/>
              <w:left w:val="single" w:color="000000" w:sz="4" w:space="0"/>
              <w:bottom w:val="single" w:color="000000" w:sz="4" w:space="0"/>
            </w:tcBorders>
            <w:shd w:val="clear" w:color="auto" w:fill="auto"/>
            <w:noWrap w:val="0"/>
            <w:vAlign w:val="center"/>
          </w:tcPr>
          <w:p>
            <w:pPr>
              <w:widowControl/>
              <w:snapToGrid w:val="0"/>
              <w:jc w:val="center"/>
              <w:rPr>
                <w:rFonts w:ascii="宋体" w:hAnsi="宋体" w:cs="宋体"/>
                <w:color w:val="000000"/>
                <w:szCs w:val="21"/>
              </w:rPr>
            </w:pPr>
          </w:p>
        </w:tc>
        <w:tc>
          <w:tcPr>
            <w:tcW w:w="263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cs="宋体"/>
                <w:szCs w:val="21"/>
              </w:rPr>
            </w:pPr>
            <w:r>
              <w:rPr>
                <w:rFonts w:hint="eastAsia" w:ascii="宋体" w:hAnsi="宋体" w:cs="宋体"/>
                <w:szCs w:val="21"/>
              </w:rPr>
              <w:t>M≥500万元</w:t>
            </w:r>
          </w:p>
        </w:tc>
        <w:tc>
          <w:tcPr>
            <w:tcW w:w="1917"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color w:val="000000"/>
                <w:szCs w:val="21"/>
              </w:rPr>
            </w:pPr>
            <w:r>
              <w:rPr>
                <w:rFonts w:ascii="宋体" w:hAnsi="宋体" w:cs="宋体"/>
                <w:szCs w:val="21"/>
              </w:rPr>
              <w:t>1000元/笔</w:t>
            </w:r>
          </w:p>
        </w:tc>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snapToGrid w:val="0"/>
              <w:jc w:val="center"/>
              <w:rPr>
                <w:rFonts w:ascii="宋体" w:hAnsi="宋体" w:cs="宋体"/>
                <w:color w:val="000000"/>
                <w:szCs w:val="21"/>
              </w:rPr>
            </w:pPr>
          </w:p>
        </w:tc>
      </w:tr>
    </w:tbl>
    <w:p>
      <w:pPr>
        <w:spacing w:line="360" w:lineRule="auto"/>
        <w:ind w:firstLine="420"/>
        <w:rPr>
          <w:rFonts w:hint="eastAsia" w:ascii="宋体" w:hAnsi="宋体" w:cs="宋体"/>
          <w:bCs/>
          <w:color w:val="000000"/>
          <w:sz w:val="24"/>
        </w:rPr>
      </w:pPr>
      <w:r>
        <w:rPr>
          <w:rFonts w:hint="eastAsia" w:ascii="宋体" w:hAnsi="宋体" w:cs="宋体"/>
          <w:bCs/>
          <w:color w:val="000000"/>
          <w:szCs w:val="21"/>
        </w:rPr>
        <w:t>注：M为每日累计申购金额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本基金的申购费用应在投资人申购A类基金份额时收取，不列入基金财产，主要用于本基金的市场推广、销售、注册登记等各项费用。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2、赎回费</w:t>
      </w:r>
    </w:p>
    <w:p>
      <w:pPr>
        <w:spacing w:line="360" w:lineRule="auto"/>
        <w:ind w:firstLine="480"/>
        <w:rPr>
          <w:rFonts w:hint="eastAsia" w:ascii="宋体" w:hAnsi="宋体" w:cs="宋体"/>
          <w:color w:val="000000"/>
          <w:szCs w:val="21"/>
        </w:rPr>
      </w:pPr>
      <w:r>
        <w:rPr>
          <w:rFonts w:hint="eastAsia" w:ascii="宋体" w:hAnsi="宋体" w:cs="宋体"/>
          <w:bCs/>
          <w:color w:val="000000"/>
          <w:sz w:val="24"/>
        </w:rPr>
        <w:t>本基金的赎回费率按照持有时间递减，即相关基金份额持有时间越长，所适用的赎回费率越低，具体赎回费率如下表所示：</w:t>
      </w:r>
    </w:p>
    <w:tbl>
      <w:tblPr>
        <w:tblStyle w:val="26"/>
        <w:tblW w:w="7951" w:type="dxa"/>
        <w:tblInd w:w="108" w:type="dxa"/>
        <w:tblLayout w:type="fixed"/>
        <w:tblCellMar>
          <w:top w:w="0" w:type="dxa"/>
          <w:left w:w="108" w:type="dxa"/>
          <w:bottom w:w="0" w:type="dxa"/>
          <w:right w:w="108" w:type="dxa"/>
        </w:tblCellMar>
      </w:tblPr>
      <w:tblGrid>
        <w:gridCol w:w="2217"/>
        <w:gridCol w:w="3080"/>
        <w:gridCol w:w="2654"/>
      </w:tblGrid>
      <w:tr>
        <w:tblPrEx>
          <w:tblLayout w:type="fixed"/>
          <w:tblCellMar>
            <w:top w:w="0" w:type="dxa"/>
            <w:left w:w="108" w:type="dxa"/>
            <w:bottom w:w="0" w:type="dxa"/>
            <w:right w:w="108" w:type="dxa"/>
          </w:tblCellMar>
        </w:tblPrEx>
        <w:trPr>
          <w:trHeight w:val="599" w:hRule="atLeast"/>
        </w:trPr>
        <w:tc>
          <w:tcPr>
            <w:tcW w:w="2217" w:type="dxa"/>
            <w:tcBorders>
              <w:top w:val="single" w:color="000000" w:sz="4" w:space="0"/>
              <w:left w:val="single" w:color="000000" w:sz="4" w:space="0"/>
              <w:bottom w:val="single" w:color="000000" w:sz="4" w:space="0"/>
            </w:tcBorders>
            <w:shd w:val="clear" w:color="auto" w:fill="auto"/>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费用种类</w:t>
            </w:r>
          </w:p>
        </w:tc>
        <w:tc>
          <w:tcPr>
            <w:tcW w:w="3080" w:type="dxa"/>
            <w:tcBorders>
              <w:top w:val="single" w:color="000000" w:sz="4" w:space="0"/>
              <w:left w:val="single" w:color="000000" w:sz="4" w:space="0"/>
              <w:bottom w:val="single" w:color="000000" w:sz="4" w:space="0"/>
            </w:tcBorders>
            <w:shd w:val="clear" w:color="auto" w:fill="auto"/>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情形</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pPr>
            <w:r>
              <w:rPr>
                <w:rFonts w:hint="eastAsia" w:ascii="宋体" w:hAnsi="宋体" w:cs="宋体"/>
                <w:color w:val="000000"/>
                <w:szCs w:val="21"/>
              </w:rPr>
              <w:t>费率</w:t>
            </w:r>
          </w:p>
        </w:tc>
      </w:tr>
      <w:tr>
        <w:tblPrEx>
          <w:tblLayout w:type="fixed"/>
          <w:tblCellMar>
            <w:top w:w="0" w:type="dxa"/>
            <w:left w:w="108" w:type="dxa"/>
            <w:bottom w:w="0" w:type="dxa"/>
            <w:right w:w="108" w:type="dxa"/>
          </w:tblCellMar>
        </w:tblPrEx>
        <w:trPr>
          <w:trHeight w:val="366" w:hRule="atLeast"/>
        </w:trPr>
        <w:tc>
          <w:tcPr>
            <w:tcW w:w="2217" w:type="dxa"/>
            <w:vMerge w:val="restart"/>
            <w:tcBorders>
              <w:top w:val="single" w:color="000000" w:sz="4" w:space="0"/>
              <w:left w:val="single" w:color="000000" w:sz="4" w:space="0"/>
              <w:bottom w:val="single" w:color="000000" w:sz="4" w:space="0"/>
            </w:tcBorders>
            <w:shd w:val="clear" w:color="auto" w:fill="auto"/>
            <w:noWrap w:val="0"/>
            <w:vAlign w:val="center"/>
          </w:tcPr>
          <w:p>
            <w:pPr>
              <w:jc w:val="center"/>
              <w:rPr>
                <w:rFonts w:hint="eastAsia"/>
              </w:rPr>
            </w:pPr>
            <w:r>
              <w:rPr>
                <w:rFonts w:hint="eastAsia" w:ascii="宋体" w:hAnsi="宋体" w:cs="宋体"/>
                <w:szCs w:val="21"/>
              </w:rPr>
              <w:t>A类赎回费率</w:t>
            </w:r>
          </w:p>
        </w:tc>
        <w:tc>
          <w:tcPr>
            <w:tcW w:w="3080" w:type="dxa"/>
            <w:tcBorders>
              <w:top w:val="single" w:color="000000" w:sz="4" w:space="0"/>
              <w:left w:val="single" w:color="000000" w:sz="4" w:space="0"/>
              <w:bottom w:val="single" w:color="000000" w:sz="4" w:space="0"/>
            </w:tcBorders>
            <w:shd w:val="clear" w:color="auto" w:fill="auto"/>
            <w:noWrap w:val="0"/>
            <w:vAlign w:val="top"/>
          </w:tcPr>
          <w:p>
            <w:pPr>
              <w:jc w:val="center"/>
              <w:rPr>
                <w:rFonts w:hint="eastAsia"/>
              </w:rPr>
            </w:pPr>
            <w:r>
              <w:rPr>
                <w:rFonts w:hint="eastAsia"/>
              </w:rPr>
              <w:t>持有期＜7日</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hint="eastAsia"/>
              </w:rPr>
              <w:t>1.5%</w:t>
            </w:r>
          </w:p>
        </w:tc>
      </w:tr>
      <w:tr>
        <w:tblPrEx>
          <w:tblLayout w:type="fixed"/>
          <w:tblCellMar>
            <w:top w:w="0" w:type="dxa"/>
            <w:left w:w="108" w:type="dxa"/>
            <w:bottom w:w="0" w:type="dxa"/>
            <w:right w:w="108" w:type="dxa"/>
          </w:tblCellMar>
        </w:tblPrEx>
        <w:trPr>
          <w:trHeight w:val="366" w:hRule="atLeast"/>
        </w:trPr>
        <w:tc>
          <w:tcPr>
            <w:tcW w:w="2217"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eastAsia" w:ascii="宋体" w:hAnsi="宋体" w:cs="宋体"/>
                <w:szCs w:val="21"/>
              </w:rPr>
            </w:pPr>
          </w:p>
        </w:tc>
        <w:tc>
          <w:tcPr>
            <w:tcW w:w="3080" w:type="dxa"/>
            <w:tcBorders>
              <w:top w:val="single" w:color="000000" w:sz="4" w:space="0"/>
              <w:left w:val="single" w:color="000000" w:sz="4" w:space="0"/>
              <w:bottom w:val="single" w:color="000000" w:sz="4" w:space="0"/>
            </w:tcBorders>
            <w:shd w:val="clear" w:color="auto" w:fill="auto"/>
            <w:noWrap w:val="0"/>
            <w:vAlign w:val="top"/>
          </w:tcPr>
          <w:p>
            <w:pPr>
              <w:jc w:val="center"/>
              <w:rPr>
                <w:rFonts w:hint="eastAsia"/>
              </w:rPr>
            </w:pPr>
            <w:r>
              <w:rPr>
                <w:rFonts w:hint="eastAsia"/>
              </w:rPr>
              <w:t>7日≤持有期＜1年</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hint="eastAsia"/>
              </w:rPr>
              <w:t>0.1%</w:t>
            </w:r>
          </w:p>
        </w:tc>
      </w:tr>
      <w:tr>
        <w:tblPrEx>
          <w:tblLayout w:type="fixed"/>
          <w:tblCellMar>
            <w:top w:w="0" w:type="dxa"/>
            <w:left w:w="108" w:type="dxa"/>
            <w:bottom w:w="0" w:type="dxa"/>
            <w:right w:w="108" w:type="dxa"/>
          </w:tblCellMar>
        </w:tblPrEx>
        <w:trPr>
          <w:trHeight w:val="366" w:hRule="atLeast"/>
        </w:trPr>
        <w:tc>
          <w:tcPr>
            <w:tcW w:w="2217"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eastAsia" w:ascii="宋体" w:hAnsi="宋体" w:cs="宋体"/>
                <w:szCs w:val="21"/>
              </w:rPr>
            </w:pPr>
          </w:p>
        </w:tc>
        <w:tc>
          <w:tcPr>
            <w:tcW w:w="3080" w:type="dxa"/>
            <w:tcBorders>
              <w:top w:val="single" w:color="000000" w:sz="4" w:space="0"/>
              <w:left w:val="single" w:color="000000" w:sz="4" w:space="0"/>
              <w:bottom w:val="single" w:color="000000" w:sz="4" w:space="0"/>
            </w:tcBorders>
            <w:shd w:val="clear" w:color="auto" w:fill="auto"/>
            <w:noWrap w:val="0"/>
            <w:vAlign w:val="center"/>
          </w:tcPr>
          <w:p>
            <w:pPr>
              <w:jc w:val="center"/>
              <w:rPr>
                <w:rFonts w:hint="eastAsia" w:ascii="宋体" w:hAnsi="宋体" w:cs="宋体"/>
                <w:szCs w:val="21"/>
              </w:rPr>
            </w:pPr>
            <w:r>
              <w:rPr>
                <w:rFonts w:hint="eastAsia" w:ascii="宋体" w:hAnsi="宋体" w:cs="宋体"/>
                <w:szCs w:val="21"/>
              </w:rPr>
              <w:t>1年≤N</w:t>
            </w:r>
            <w:r>
              <w:rPr>
                <w:rFonts w:ascii="宋体" w:hAnsi="宋体" w:cs="SimSun-Identity-H"/>
                <w:szCs w:val="21"/>
              </w:rPr>
              <w:t>＜</w:t>
            </w:r>
            <w:r>
              <w:rPr>
                <w:rFonts w:hint="eastAsia" w:ascii="宋体" w:hAnsi="宋体" w:cs="宋体"/>
                <w:szCs w:val="21"/>
              </w:rPr>
              <w:t>2年</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hint="eastAsia" w:ascii="宋体" w:hAnsi="宋体" w:cs="宋体"/>
                <w:szCs w:val="21"/>
              </w:rPr>
              <w:t>0.05%</w:t>
            </w:r>
          </w:p>
        </w:tc>
      </w:tr>
      <w:tr>
        <w:tblPrEx>
          <w:tblLayout w:type="fixed"/>
          <w:tblCellMar>
            <w:top w:w="0" w:type="dxa"/>
            <w:left w:w="108" w:type="dxa"/>
            <w:bottom w:w="0" w:type="dxa"/>
            <w:right w:w="108" w:type="dxa"/>
          </w:tblCellMar>
        </w:tblPrEx>
        <w:trPr>
          <w:trHeight w:val="366" w:hRule="atLeast"/>
        </w:trPr>
        <w:tc>
          <w:tcPr>
            <w:tcW w:w="2217"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eastAsia" w:ascii="宋体" w:hAnsi="宋体" w:cs="宋体"/>
                <w:szCs w:val="21"/>
              </w:rPr>
            </w:pPr>
          </w:p>
        </w:tc>
        <w:tc>
          <w:tcPr>
            <w:tcW w:w="3080" w:type="dxa"/>
            <w:tcBorders>
              <w:top w:val="single" w:color="000000" w:sz="4" w:space="0"/>
              <w:left w:val="single" w:color="000000" w:sz="4" w:space="0"/>
              <w:bottom w:val="single" w:color="000000" w:sz="4" w:space="0"/>
            </w:tcBorders>
            <w:shd w:val="clear" w:color="auto" w:fill="auto"/>
            <w:noWrap w:val="0"/>
            <w:vAlign w:val="center"/>
          </w:tcPr>
          <w:p>
            <w:pPr>
              <w:jc w:val="center"/>
              <w:rPr>
                <w:rFonts w:hint="eastAsia" w:ascii="宋体" w:hAnsi="宋体" w:cs="宋体"/>
                <w:szCs w:val="21"/>
              </w:rPr>
            </w:pPr>
            <w:r>
              <w:rPr>
                <w:rFonts w:hint="eastAsia" w:ascii="宋体" w:hAnsi="宋体" w:cs="宋体"/>
                <w:szCs w:val="21"/>
              </w:rPr>
              <w:t>N≥2年</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hint="eastAsia" w:ascii="宋体" w:hAnsi="宋体" w:cs="宋体"/>
                <w:szCs w:val="21"/>
              </w:rPr>
              <w:t>0</w:t>
            </w:r>
          </w:p>
        </w:tc>
      </w:tr>
      <w:tr>
        <w:tblPrEx>
          <w:tblLayout w:type="fixed"/>
          <w:tblCellMar>
            <w:top w:w="0" w:type="dxa"/>
            <w:left w:w="108" w:type="dxa"/>
            <w:bottom w:w="0" w:type="dxa"/>
            <w:right w:w="108" w:type="dxa"/>
          </w:tblCellMar>
        </w:tblPrEx>
        <w:trPr>
          <w:trHeight w:val="366" w:hRule="atLeast"/>
        </w:trPr>
        <w:tc>
          <w:tcPr>
            <w:tcW w:w="2217" w:type="dxa"/>
            <w:vMerge w:val="restart"/>
            <w:tcBorders>
              <w:top w:val="single" w:color="000000" w:sz="4" w:space="0"/>
              <w:left w:val="single" w:color="000000" w:sz="4" w:space="0"/>
              <w:bottom w:val="single" w:color="000000" w:sz="4" w:space="0"/>
            </w:tcBorders>
            <w:shd w:val="clear" w:color="auto" w:fill="auto"/>
            <w:noWrap w:val="0"/>
            <w:vAlign w:val="center"/>
          </w:tcPr>
          <w:p>
            <w:pPr>
              <w:jc w:val="center"/>
              <w:rPr>
                <w:rFonts w:hint="eastAsia"/>
              </w:rPr>
            </w:pPr>
            <w:r>
              <w:rPr>
                <w:rFonts w:hint="eastAsia" w:ascii="宋体" w:hAnsi="宋体" w:cs="宋体"/>
                <w:szCs w:val="21"/>
              </w:rPr>
              <w:t>C类赎回费率</w:t>
            </w:r>
          </w:p>
        </w:tc>
        <w:tc>
          <w:tcPr>
            <w:tcW w:w="3080" w:type="dxa"/>
            <w:tcBorders>
              <w:top w:val="single" w:color="000000" w:sz="4" w:space="0"/>
              <w:left w:val="single" w:color="000000" w:sz="4" w:space="0"/>
              <w:bottom w:val="single" w:color="000000" w:sz="4" w:space="0"/>
            </w:tcBorders>
            <w:shd w:val="clear" w:color="auto" w:fill="auto"/>
            <w:noWrap w:val="0"/>
            <w:vAlign w:val="top"/>
          </w:tcPr>
          <w:p>
            <w:pPr>
              <w:jc w:val="center"/>
              <w:rPr>
                <w:rFonts w:hint="eastAsia"/>
              </w:rPr>
            </w:pPr>
            <w:r>
              <w:rPr>
                <w:rFonts w:hint="eastAsia"/>
              </w:rPr>
              <w:t>持有期＜7日</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hint="eastAsia"/>
              </w:rPr>
              <w:t>1.5%</w:t>
            </w:r>
          </w:p>
        </w:tc>
      </w:tr>
      <w:tr>
        <w:tblPrEx>
          <w:tblLayout w:type="fixed"/>
          <w:tblCellMar>
            <w:top w:w="0" w:type="dxa"/>
            <w:left w:w="108" w:type="dxa"/>
            <w:bottom w:w="0" w:type="dxa"/>
            <w:right w:w="108" w:type="dxa"/>
          </w:tblCellMar>
        </w:tblPrEx>
        <w:trPr>
          <w:trHeight w:val="366" w:hRule="atLeast"/>
        </w:trPr>
        <w:tc>
          <w:tcPr>
            <w:tcW w:w="2217"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eastAsia" w:ascii="宋体" w:hAnsi="宋体" w:cs="宋体"/>
                <w:szCs w:val="21"/>
              </w:rPr>
            </w:pPr>
          </w:p>
        </w:tc>
        <w:tc>
          <w:tcPr>
            <w:tcW w:w="3080" w:type="dxa"/>
            <w:tcBorders>
              <w:top w:val="single" w:color="000000" w:sz="4" w:space="0"/>
              <w:left w:val="single" w:color="000000" w:sz="4" w:space="0"/>
              <w:bottom w:val="single" w:color="000000" w:sz="4" w:space="0"/>
            </w:tcBorders>
            <w:shd w:val="clear" w:color="auto" w:fill="auto"/>
            <w:noWrap w:val="0"/>
            <w:vAlign w:val="top"/>
          </w:tcPr>
          <w:p>
            <w:pPr>
              <w:jc w:val="center"/>
              <w:rPr>
                <w:rFonts w:hint="eastAsia"/>
              </w:rPr>
            </w:pPr>
            <w:r>
              <w:rPr>
                <w:rFonts w:hint="eastAsia"/>
              </w:rPr>
              <w:t>7日≤持有期＜20日</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hint="eastAsia"/>
              </w:rPr>
              <w:t>0.3%</w:t>
            </w:r>
          </w:p>
        </w:tc>
      </w:tr>
      <w:tr>
        <w:tblPrEx>
          <w:tblLayout w:type="fixed"/>
          <w:tblCellMar>
            <w:top w:w="0" w:type="dxa"/>
            <w:left w:w="108" w:type="dxa"/>
            <w:bottom w:w="0" w:type="dxa"/>
            <w:right w:w="108" w:type="dxa"/>
          </w:tblCellMar>
        </w:tblPrEx>
        <w:trPr>
          <w:trHeight w:val="366" w:hRule="atLeast"/>
        </w:trPr>
        <w:tc>
          <w:tcPr>
            <w:tcW w:w="2217" w:type="dxa"/>
            <w:vMerge w:val="continue"/>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eastAsia" w:ascii="宋体" w:hAnsi="宋体" w:cs="宋体"/>
                <w:szCs w:val="21"/>
              </w:rPr>
            </w:pPr>
          </w:p>
        </w:tc>
        <w:tc>
          <w:tcPr>
            <w:tcW w:w="3080" w:type="dxa"/>
            <w:tcBorders>
              <w:top w:val="single" w:color="000000" w:sz="4" w:space="0"/>
              <w:left w:val="single" w:color="000000" w:sz="4" w:space="0"/>
              <w:bottom w:val="single" w:color="000000" w:sz="4" w:space="0"/>
            </w:tcBorders>
            <w:shd w:val="clear" w:color="auto" w:fill="auto"/>
            <w:noWrap w:val="0"/>
            <w:vAlign w:val="center"/>
          </w:tcPr>
          <w:p>
            <w:pPr>
              <w:jc w:val="center"/>
              <w:rPr>
                <w:rFonts w:hint="eastAsia" w:ascii="宋体" w:hAnsi="宋体" w:cs="宋体"/>
                <w:szCs w:val="21"/>
              </w:rPr>
            </w:pPr>
            <w:r>
              <w:rPr>
                <w:rFonts w:hint="eastAsia" w:ascii="宋体" w:hAnsi="宋体" w:cs="宋体"/>
                <w:szCs w:val="21"/>
              </w:rPr>
              <w:t>N≥20天</w:t>
            </w:r>
          </w:p>
        </w:tc>
        <w:tc>
          <w:tcPr>
            <w:tcW w:w="265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hint="eastAsia" w:ascii="宋体" w:hAnsi="宋体" w:cs="宋体"/>
                <w:szCs w:val="21"/>
              </w:rPr>
              <w:t>0</w:t>
            </w:r>
          </w:p>
        </w:tc>
      </w:tr>
    </w:tbl>
    <w:p>
      <w:pPr>
        <w:spacing w:line="360" w:lineRule="auto"/>
        <w:ind w:firstLine="420"/>
        <w:rPr>
          <w:rFonts w:hint="eastAsia" w:ascii="宋体" w:hAnsi="宋体" w:cs="宋体"/>
          <w:bCs/>
          <w:color w:val="000000"/>
          <w:sz w:val="24"/>
        </w:rPr>
      </w:pPr>
      <w:r>
        <w:rPr>
          <w:rFonts w:hint="eastAsia" w:ascii="宋体" w:hAnsi="宋体" w:cs="宋体"/>
          <w:bCs/>
          <w:color w:val="000000"/>
          <w:szCs w:val="21"/>
        </w:rPr>
        <w:t>注： N为基金份额持有期限；1年指365天。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赎回费用由赎回基金份额的基金份额持有人承担。对持续持有期少于7日的投资者收取的赎回费全额计入基金财产；对持有期长于7日的基金份额所收取的赎回费，赎回费的25%应归基金财产，其余用于支付市场推广、注册登记费和其他必要的手续费。基金管理人可以按照《基金合同》的相关规定调整申购费率或收费方式，或者调低赎回费率，基金管理人最迟应于新的费率或收费方式实施日前2个工作日在至少一家中国证监会指定媒体及基金管理人网站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七、申购份数与赎回金额的计算方式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1、申购份额的计算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申购本基金的申购费用采用前端收费模式（即申购基金时缴纳申购费），投资人的申购金额包括申购费用和净申购金额。申购份额的计算方式如下：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净申购金额 =申购金额/（1＋申购费率）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申购费用=申购金额-净申购金额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申购份数=净申购金额/申购当日基金份额净值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申购份额计算结果按照四舍五入方法，保留到小数点后两位，由此产生的误差计入基金财产</w:t>
      </w:r>
      <w:r>
        <w:rPr>
          <w:rFonts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例一：某投资人投资5万元申购本基金的A类基金份额，假设申购当日基金份额净值为1.05元，则可得到的申购份额为：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净申购金额=50000/（1+0.8%）=49603.17元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申购费用=50000-49603.17=396.83元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申购份额=49603.17/1.05=47241.11份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即：投资人投资5万元申购本基金的A类基金份额，假设申购当日A类基金份额净值为1.05元，则其可得到47241.11份A类基金份额。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例二：某投资人投资5万元申购本基金的C类基金份额，假设申购当日基金份额净值为1.05元，则可得到的申购份额为：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净申购金额=50000/（1+0%）=50000元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申购费用=50000-50000=0元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申购份额=50000/1.05=47619.05份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即：投资人投资5万元申购本基金的C类基金份额，假设申购当日C类基金份额净值为1.05元，则其可得到47619.05份C类基金份额。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2、赎回净额的计算</w:t>
      </w:r>
    </w:p>
    <w:p>
      <w:pPr>
        <w:spacing w:line="360" w:lineRule="auto"/>
        <w:ind w:firstLine="480"/>
        <w:rPr>
          <w:rFonts w:ascii="宋体" w:hAnsi="宋体" w:cs="宋体"/>
          <w:bCs/>
          <w:color w:val="000000"/>
          <w:sz w:val="24"/>
        </w:rPr>
      </w:pPr>
      <w:r>
        <w:rPr>
          <w:rFonts w:hint="eastAsia" w:ascii="宋体" w:hAnsi="宋体" w:cs="宋体"/>
          <w:bCs/>
          <w:color w:val="000000"/>
          <w:sz w:val="24"/>
        </w:rPr>
        <w:t>基金份额持有人在赎回本基金时缴纳赎回费，基金份额持有人的赎回净额为赎回金额扣减赎回费用。其中：</w:t>
      </w:r>
    </w:p>
    <w:p>
      <w:pPr>
        <w:spacing w:line="360" w:lineRule="auto"/>
        <w:ind w:firstLine="480"/>
        <w:rPr>
          <w:rFonts w:ascii="宋体" w:hAnsi="宋体" w:cs="宋体"/>
          <w:bCs/>
          <w:color w:val="000000"/>
          <w:sz w:val="24"/>
        </w:rPr>
      </w:pPr>
      <w:r>
        <w:rPr>
          <w:rFonts w:ascii="宋体" w:hAnsi="宋体" w:cs="宋体"/>
          <w:bCs/>
          <w:color w:val="000000"/>
          <w:sz w:val="24"/>
        </w:rPr>
        <w:t>赎回总金额</w:t>
      </w:r>
      <w:r>
        <w:rPr>
          <w:rFonts w:hint="eastAsia" w:ascii="宋体" w:hAnsi="宋体" w:cs="宋体"/>
          <w:bCs/>
          <w:color w:val="000000"/>
          <w:sz w:val="24"/>
        </w:rPr>
        <w:t>=</w:t>
      </w:r>
      <w:r>
        <w:rPr>
          <w:rFonts w:ascii="宋体" w:hAnsi="宋体" w:cs="宋体"/>
          <w:bCs/>
          <w:color w:val="000000"/>
          <w:sz w:val="24"/>
        </w:rPr>
        <w:t>赎回份额</w:t>
      </w:r>
      <w:r>
        <w:rPr>
          <w:rFonts w:hint="eastAsia" w:ascii="Symbol" w:hAnsi="Symbol"/>
          <w:bCs/>
          <w:color w:val="000000"/>
          <w:sz w:val="24"/>
        </w:rPr>
        <w:t></w:t>
      </w:r>
      <w:r>
        <w:rPr>
          <w:rFonts w:ascii="宋体" w:hAnsi="宋体" w:cs="宋体"/>
          <w:bCs/>
          <w:color w:val="000000"/>
          <w:sz w:val="24"/>
        </w:rPr>
        <w:t>赎回当日基金</w:t>
      </w:r>
      <w:r>
        <w:rPr>
          <w:rFonts w:hint="eastAsia" w:ascii="宋体" w:hAnsi="宋体" w:cs="宋体"/>
          <w:bCs/>
          <w:color w:val="000000"/>
          <w:sz w:val="24"/>
        </w:rPr>
        <w:t>份额</w:t>
      </w:r>
      <w:r>
        <w:rPr>
          <w:rFonts w:ascii="宋体" w:hAnsi="宋体" w:cs="宋体"/>
          <w:bCs/>
          <w:color w:val="000000"/>
          <w:sz w:val="24"/>
        </w:rPr>
        <w:t>净值</w:t>
      </w:r>
    </w:p>
    <w:p>
      <w:pPr>
        <w:spacing w:line="360" w:lineRule="auto"/>
        <w:ind w:firstLine="480"/>
        <w:rPr>
          <w:rFonts w:ascii="宋体" w:hAnsi="宋体" w:cs="宋体"/>
          <w:bCs/>
          <w:color w:val="000000"/>
          <w:sz w:val="24"/>
        </w:rPr>
      </w:pPr>
      <w:r>
        <w:rPr>
          <w:rFonts w:ascii="宋体" w:hAnsi="宋体" w:cs="宋体"/>
          <w:bCs/>
          <w:color w:val="000000"/>
          <w:sz w:val="24"/>
        </w:rPr>
        <w:t>赎回费</w:t>
      </w:r>
      <w:r>
        <w:rPr>
          <w:rFonts w:hint="eastAsia" w:ascii="宋体" w:hAnsi="宋体" w:cs="宋体"/>
          <w:bCs/>
          <w:color w:val="000000"/>
          <w:sz w:val="24"/>
        </w:rPr>
        <w:t>用=</w:t>
      </w:r>
      <w:r>
        <w:rPr>
          <w:rFonts w:ascii="宋体" w:hAnsi="宋体" w:cs="宋体"/>
          <w:bCs/>
          <w:color w:val="000000"/>
          <w:sz w:val="24"/>
        </w:rPr>
        <w:t>赎回总金额</w:t>
      </w:r>
      <w:r>
        <w:rPr>
          <w:rFonts w:hint="eastAsia" w:ascii="Symbol" w:hAnsi="Symbol"/>
          <w:bCs/>
          <w:color w:val="000000"/>
          <w:sz w:val="24"/>
        </w:rPr>
        <w:t></w:t>
      </w:r>
      <w:r>
        <w:rPr>
          <w:rFonts w:ascii="宋体" w:hAnsi="宋体" w:cs="宋体"/>
          <w:bCs/>
          <w:color w:val="000000"/>
          <w:sz w:val="24"/>
        </w:rPr>
        <w:t>赎回费率</w:t>
      </w:r>
    </w:p>
    <w:p>
      <w:pPr>
        <w:spacing w:line="360" w:lineRule="auto"/>
        <w:ind w:firstLine="480"/>
        <w:rPr>
          <w:rFonts w:hint="eastAsia" w:ascii="宋体" w:hAnsi="宋体" w:cs="宋体"/>
          <w:bCs/>
          <w:color w:val="000000"/>
          <w:sz w:val="24"/>
        </w:rPr>
      </w:pPr>
      <w:r>
        <w:rPr>
          <w:rFonts w:ascii="宋体" w:hAnsi="宋体" w:cs="宋体"/>
          <w:bCs/>
          <w:color w:val="000000"/>
          <w:sz w:val="24"/>
        </w:rPr>
        <w:t>净赎回金额</w:t>
      </w:r>
      <w:r>
        <w:rPr>
          <w:rFonts w:hint="eastAsia" w:ascii="宋体" w:hAnsi="宋体" w:cs="宋体"/>
          <w:bCs/>
          <w:color w:val="000000"/>
          <w:sz w:val="24"/>
        </w:rPr>
        <w:t>=</w:t>
      </w:r>
      <w:r>
        <w:rPr>
          <w:rFonts w:ascii="宋体" w:hAnsi="宋体" w:cs="宋体"/>
          <w:bCs/>
          <w:color w:val="000000"/>
          <w:sz w:val="24"/>
        </w:rPr>
        <w:t>赎回总金额</w:t>
      </w:r>
      <w:r>
        <w:rPr>
          <w:rFonts w:hint="eastAsia" w:ascii="Symbol" w:hAnsi="Symbol"/>
          <w:bCs/>
          <w:color w:val="000000"/>
          <w:sz w:val="24"/>
        </w:rPr>
        <w:t></w:t>
      </w:r>
      <w:r>
        <w:rPr>
          <w:rFonts w:ascii="宋体" w:hAnsi="宋体" w:cs="宋体"/>
          <w:bCs/>
          <w:color w:val="000000"/>
          <w:sz w:val="24"/>
        </w:rPr>
        <w:t>赎回费</w:t>
      </w:r>
      <w:r>
        <w:rPr>
          <w:rFonts w:hint="eastAsia" w:ascii="宋体" w:hAnsi="宋体" w:cs="宋体"/>
          <w:bCs/>
          <w:color w:val="000000"/>
          <w:sz w:val="24"/>
        </w:rPr>
        <w:t>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赎回费用以人民币元为单位，计算结果按照四舍五入方法，保留到小数点后两位；赎回净额结果按照四舍五入方法，保留到小数点后两位，由此产生的误差计入基金财产。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例一：某投资人赎回本基金</w:t>
      </w:r>
      <w:r>
        <w:rPr>
          <w:rFonts w:ascii="宋体" w:hAnsi="宋体" w:cs="宋体"/>
          <w:bCs/>
          <w:color w:val="000000"/>
          <w:sz w:val="24"/>
        </w:rPr>
        <w:t>1000</w:t>
      </w:r>
      <w:r>
        <w:rPr>
          <w:rFonts w:hint="eastAsia" w:ascii="宋体" w:hAnsi="宋体" w:cs="宋体"/>
          <w:bCs/>
          <w:color w:val="000000"/>
          <w:sz w:val="24"/>
        </w:rPr>
        <w:t>0份A类基金份额，赎回适用费率为</w:t>
      </w:r>
      <w:r>
        <w:rPr>
          <w:rFonts w:ascii="宋体" w:hAnsi="宋体" w:cs="宋体"/>
          <w:bCs/>
          <w:color w:val="000000"/>
          <w:sz w:val="24"/>
        </w:rPr>
        <w:t>0.</w:t>
      </w:r>
      <w:r>
        <w:rPr>
          <w:rFonts w:hint="eastAsia" w:ascii="宋体" w:hAnsi="宋体" w:cs="宋体"/>
          <w:bCs/>
          <w:color w:val="000000"/>
          <w:sz w:val="24"/>
        </w:rPr>
        <w:t>1</w:t>
      </w:r>
      <w:r>
        <w:rPr>
          <w:rFonts w:ascii="宋体" w:hAnsi="宋体" w:cs="宋体"/>
          <w:bCs/>
          <w:color w:val="000000"/>
          <w:sz w:val="24"/>
        </w:rPr>
        <w:t>%</w:t>
      </w:r>
      <w:r>
        <w:rPr>
          <w:rFonts w:hint="eastAsia" w:ascii="宋体" w:hAnsi="宋体" w:cs="宋体"/>
          <w:bCs/>
          <w:color w:val="000000"/>
          <w:sz w:val="24"/>
        </w:rPr>
        <w:t>，假设赎回当日A类基金份额净值为</w:t>
      </w:r>
      <w:r>
        <w:rPr>
          <w:rFonts w:ascii="宋体" w:hAnsi="宋体" w:cs="宋体"/>
          <w:bCs/>
          <w:color w:val="000000"/>
          <w:sz w:val="24"/>
        </w:rPr>
        <w:t>1.148</w:t>
      </w:r>
      <w:r>
        <w:rPr>
          <w:rFonts w:hint="eastAsia" w:ascii="宋体" w:hAnsi="宋体" w:cs="宋体"/>
          <w:bCs/>
          <w:color w:val="000000"/>
          <w:sz w:val="24"/>
        </w:rPr>
        <w:t>元，则其可得净赎回金额为：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赎回总金额＝</w:t>
      </w:r>
      <w:r>
        <w:rPr>
          <w:rFonts w:ascii="宋体" w:hAnsi="宋体" w:cs="宋体"/>
          <w:bCs/>
          <w:color w:val="000000"/>
          <w:sz w:val="24"/>
        </w:rPr>
        <w:t>10000</w:t>
      </w:r>
      <w:r>
        <w:rPr>
          <w:rFonts w:hint="eastAsia" w:ascii="宋体" w:hAnsi="宋体" w:cs="宋体"/>
          <w:bCs/>
          <w:color w:val="000000"/>
          <w:sz w:val="24"/>
        </w:rPr>
        <w:t>×</w:t>
      </w:r>
      <w:r>
        <w:rPr>
          <w:rFonts w:ascii="宋体" w:hAnsi="宋体" w:cs="宋体"/>
          <w:bCs/>
          <w:color w:val="000000"/>
          <w:sz w:val="24"/>
        </w:rPr>
        <w:t>1.148</w:t>
      </w:r>
      <w:r>
        <w:rPr>
          <w:rFonts w:hint="eastAsia" w:ascii="宋体" w:hAnsi="宋体" w:cs="宋体"/>
          <w:bCs/>
          <w:color w:val="000000"/>
          <w:sz w:val="24"/>
        </w:rPr>
        <w:t>＝</w:t>
      </w:r>
      <w:r>
        <w:rPr>
          <w:rFonts w:ascii="宋体" w:hAnsi="宋体" w:cs="宋体"/>
          <w:bCs/>
          <w:color w:val="000000"/>
          <w:sz w:val="24"/>
        </w:rPr>
        <w:t>11480</w:t>
      </w:r>
      <w:r>
        <w:rPr>
          <w:rFonts w:hint="eastAsia" w:ascii="宋体" w:hAnsi="宋体" w:cs="宋体"/>
          <w:bCs/>
          <w:color w:val="000000"/>
          <w:sz w:val="24"/>
        </w:rPr>
        <w:t>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赎回费用＝</w:t>
      </w:r>
      <w:r>
        <w:rPr>
          <w:rFonts w:ascii="宋体" w:hAnsi="宋体" w:cs="宋体"/>
          <w:bCs/>
          <w:color w:val="000000"/>
          <w:sz w:val="24"/>
        </w:rPr>
        <w:t>11480</w:t>
      </w:r>
      <w:r>
        <w:rPr>
          <w:rFonts w:hint="eastAsia" w:ascii="宋体" w:hAnsi="宋体" w:cs="宋体"/>
          <w:bCs/>
          <w:color w:val="000000"/>
          <w:sz w:val="24"/>
        </w:rPr>
        <w:t>×</w:t>
      </w:r>
      <w:r>
        <w:rPr>
          <w:rFonts w:ascii="宋体" w:hAnsi="宋体" w:cs="宋体"/>
          <w:bCs/>
          <w:color w:val="000000"/>
          <w:sz w:val="24"/>
        </w:rPr>
        <w:t>0.</w:t>
      </w:r>
      <w:r>
        <w:rPr>
          <w:rFonts w:hint="eastAsia" w:ascii="宋体" w:hAnsi="宋体" w:cs="宋体"/>
          <w:bCs/>
          <w:color w:val="000000"/>
          <w:sz w:val="24"/>
        </w:rPr>
        <w:t>1</w:t>
      </w:r>
      <w:r>
        <w:rPr>
          <w:rFonts w:ascii="宋体" w:hAnsi="宋体" w:cs="宋体"/>
          <w:bCs/>
          <w:color w:val="000000"/>
          <w:sz w:val="24"/>
        </w:rPr>
        <w:t>%</w:t>
      </w:r>
      <w:r>
        <w:rPr>
          <w:rFonts w:hint="eastAsia" w:ascii="宋体" w:hAnsi="宋体" w:cs="宋体"/>
          <w:bCs/>
          <w:color w:val="000000"/>
          <w:sz w:val="24"/>
        </w:rPr>
        <w:t>＝11.48元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净赎回金额＝</w:t>
      </w:r>
      <w:r>
        <w:rPr>
          <w:rFonts w:ascii="宋体" w:hAnsi="宋体" w:cs="宋体"/>
          <w:bCs/>
          <w:color w:val="000000"/>
          <w:sz w:val="24"/>
        </w:rPr>
        <w:t>11480</w:t>
      </w:r>
      <w:r>
        <w:rPr>
          <w:rFonts w:hint="eastAsia" w:ascii="宋体" w:hAnsi="宋体" w:cs="宋体"/>
          <w:bCs/>
          <w:color w:val="000000"/>
          <w:sz w:val="24"/>
        </w:rPr>
        <w:t>－11.48＝</w:t>
      </w:r>
      <w:r>
        <w:rPr>
          <w:rFonts w:ascii="宋体" w:hAnsi="宋体" w:cs="宋体"/>
          <w:bCs/>
          <w:color w:val="000000"/>
          <w:sz w:val="24"/>
        </w:rPr>
        <w:t>11</w:t>
      </w:r>
      <w:r>
        <w:rPr>
          <w:rFonts w:hint="eastAsia" w:ascii="宋体" w:hAnsi="宋体" w:cs="宋体"/>
          <w:bCs/>
          <w:color w:val="000000"/>
          <w:sz w:val="24"/>
        </w:rPr>
        <w:t>468.52元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即：投资人赎回本基金</w:t>
      </w:r>
      <w:r>
        <w:rPr>
          <w:rFonts w:ascii="宋体" w:hAnsi="宋体" w:cs="宋体"/>
          <w:bCs/>
          <w:color w:val="000000"/>
          <w:sz w:val="24"/>
        </w:rPr>
        <w:t>10000</w:t>
      </w:r>
      <w:r>
        <w:rPr>
          <w:rFonts w:hint="eastAsia" w:ascii="宋体" w:hAnsi="宋体" w:cs="宋体"/>
          <w:bCs/>
          <w:color w:val="000000"/>
          <w:sz w:val="24"/>
        </w:rPr>
        <w:t>份A类基金份额，假设赎回当日A类基金份额净值为</w:t>
      </w:r>
      <w:r>
        <w:rPr>
          <w:rFonts w:ascii="宋体" w:hAnsi="宋体" w:cs="宋体"/>
          <w:bCs/>
          <w:color w:val="000000"/>
          <w:sz w:val="24"/>
        </w:rPr>
        <w:t>1.148</w:t>
      </w:r>
      <w:r>
        <w:rPr>
          <w:rFonts w:hint="eastAsia" w:ascii="宋体" w:hAnsi="宋体" w:cs="宋体"/>
          <w:bCs/>
          <w:color w:val="000000"/>
          <w:sz w:val="24"/>
        </w:rPr>
        <w:t>元，则可得到的净赎回金额为</w:t>
      </w:r>
      <w:r>
        <w:rPr>
          <w:rFonts w:ascii="宋体" w:hAnsi="宋体" w:cs="宋体"/>
          <w:bCs/>
          <w:color w:val="000000"/>
          <w:sz w:val="24"/>
        </w:rPr>
        <w:t>11</w:t>
      </w:r>
      <w:r>
        <w:rPr>
          <w:rFonts w:hint="eastAsia" w:ascii="宋体" w:hAnsi="宋体" w:cs="宋体"/>
          <w:bCs/>
          <w:color w:val="000000"/>
          <w:sz w:val="24"/>
        </w:rPr>
        <w:t>468.52元。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例二：某投资人赎回本基金</w:t>
      </w:r>
      <w:r>
        <w:rPr>
          <w:rFonts w:ascii="宋体" w:hAnsi="宋体" w:cs="宋体"/>
          <w:bCs/>
          <w:color w:val="000000"/>
          <w:sz w:val="24"/>
        </w:rPr>
        <w:t>1000</w:t>
      </w:r>
      <w:r>
        <w:rPr>
          <w:rFonts w:hint="eastAsia" w:ascii="宋体" w:hAnsi="宋体" w:cs="宋体"/>
          <w:bCs/>
          <w:color w:val="000000"/>
          <w:sz w:val="24"/>
        </w:rPr>
        <w:t>0份C类基金份额，假设持有期大于20天，则赎回适用费率为</w:t>
      </w:r>
      <w:r>
        <w:rPr>
          <w:rFonts w:ascii="宋体" w:hAnsi="宋体" w:cs="宋体"/>
          <w:bCs/>
          <w:color w:val="000000"/>
          <w:sz w:val="24"/>
        </w:rPr>
        <w:t>0%</w:t>
      </w:r>
      <w:r>
        <w:rPr>
          <w:rFonts w:hint="eastAsia" w:ascii="宋体" w:hAnsi="宋体" w:cs="宋体"/>
          <w:bCs/>
          <w:color w:val="000000"/>
          <w:sz w:val="24"/>
        </w:rPr>
        <w:t>，假设赎回当日C类基金份额净值为</w:t>
      </w:r>
      <w:r>
        <w:rPr>
          <w:rFonts w:ascii="宋体" w:hAnsi="宋体" w:cs="宋体"/>
          <w:bCs/>
          <w:color w:val="000000"/>
          <w:sz w:val="24"/>
        </w:rPr>
        <w:t>1.148</w:t>
      </w:r>
      <w:r>
        <w:rPr>
          <w:rFonts w:hint="eastAsia" w:ascii="宋体" w:hAnsi="宋体" w:cs="宋体"/>
          <w:bCs/>
          <w:color w:val="000000"/>
          <w:sz w:val="24"/>
        </w:rPr>
        <w:t>元，则其可得净赎回金额为：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赎回总金额＝</w:t>
      </w:r>
      <w:r>
        <w:rPr>
          <w:rFonts w:ascii="宋体" w:hAnsi="宋体" w:cs="宋体"/>
          <w:bCs/>
          <w:color w:val="000000"/>
          <w:sz w:val="24"/>
        </w:rPr>
        <w:t>10000</w:t>
      </w:r>
      <w:r>
        <w:rPr>
          <w:rFonts w:hint="eastAsia" w:ascii="宋体" w:hAnsi="宋体" w:cs="宋体"/>
          <w:bCs/>
          <w:color w:val="000000"/>
          <w:sz w:val="24"/>
        </w:rPr>
        <w:t>×</w:t>
      </w:r>
      <w:r>
        <w:rPr>
          <w:rFonts w:ascii="宋体" w:hAnsi="宋体" w:cs="宋体"/>
          <w:bCs/>
          <w:color w:val="000000"/>
          <w:sz w:val="24"/>
        </w:rPr>
        <w:t>1.148</w:t>
      </w:r>
      <w:r>
        <w:rPr>
          <w:rFonts w:hint="eastAsia" w:ascii="宋体" w:hAnsi="宋体" w:cs="宋体"/>
          <w:bCs/>
          <w:color w:val="000000"/>
          <w:sz w:val="24"/>
        </w:rPr>
        <w:t>＝</w:t>
      </w:r>
      <w:r>
        <w:rPr>
          <w:rFonts w:ascii="宋体" w:hAnsi="宋体" w:cs="宋体"/>
          <w:bCs/>
          <w:color w:val="000000"/>
          <w:sz w:val="24"/>
        </w:rPr>
        <w:t>11480</w:t>
      </w:r>
      <w:r>
        <w:rPr>
          <w:rFonts w:hint="eastAsia" w:ascii="宋体" w:hAnsi="宋体" w:cs="宋体"/>
          <w:bCs/>
          <w:color w:val="000000"/>
          <w:sz w:val="24"/>
        </w:rPr>
        <w:t>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赎回费用＝</w:t>
      </w:r>
      <w:r>
        <w:rPr>
          <w:rFonts w:ascii="宋体" w:hAnsi="宋体" w:cs="宋体"/>
          <w:bCs/>
          <w:color w:val="000000"/>
          <w:sz w:val="24"/>
        </w:rPr>
        <w:t>11480</w:t>
      </w:r>
      <w:r>
        <w:rPr>
          <w:rFonts w:hint="eastAsia" w:ascii="宋体" w:hAnsi="宋体" w:cs="宋体"/>
          <w:bCs/>
          <w:color w:val="000000"/>
          <w:sz w:val="24"/>
        </w:rPr>
        <w:t>×</w:t>
      </w:r>
      <w:r>
        <w:rPr>
          <w:rFonts w:ascii="宋体" w:hAnsi="宋体" w:cs="宋体"/>
          <w:bCs/>
          <w:color w:val="000000"/>
          <w:sz w:val="24"/>
        </w:rPr>
        <w:t>0%</w:t>
      </w:r>
      <w:r>
        <w:rPr>
          <w:rFonts w:hint="eastAsia" w:ascii="宋体" w:hAnsi="宋体" w:cs="宋体"/>
          <w:bCs/>
          <w:color w:val="000000"/>
          <w:sz w:val="24"/>
        </w:rPr>
        <w:t>＝0元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净赎回金额＝</w:t>
      </w:r>
      <w:r>
        <w:rPr>
          <w:rFonts w:ascii="宋体" w:hAnsi="宋体" w:cs="宋体"/>
          <w:bCs/>
          <w:color w:val="000000"/>
          <w:sz w:val="24"/>
        </w:rPr>
        <w:t>11480</w:t>
      </w:r>
      <w:r>
        <w:rPr>
          <w:rFonts w:hint="eastAsia" w:ascii="宋体" w:hAnsi="宋体" w:cs="宋体"/>
          <w:bCs/>
          <w:color w:val="000000"/>
          <w:sz w:val="24"/>
        </w:rPr>
        <w:t>－0＝</w:t>
      </w:r>
      <w:r>
        <w:rPr>
          <w:rFonts w:ascii="宋体" w:hAnsi="宋体" w:cs="宋体"/>
          <w:bCs/>
          <w:color w:val="000000"/>
          <w:sz w:val="24"/>
        </w:rPr>
        <w:t>11480</w:t>
      </w:r>
      <w:r>
        <w:rPr>
          <w:rFonts w:hint="eastAsia" w:ascii="宋体" w:hAnsi="宋体" w:cs="宋体"/>
          <w:bCs/>
          <w:color w:val="000000"/>
          <w:sz w:val="24"/>
        </w:rPr>
        <w:t>.00元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即：投资人赎回本基金</w:t>
      </w:r>
      <w:r>
        <w:rPr>
          <w:rFonts w:ascii="宋体" w:hAnsi="宋体" w:cs="宋体"/>
          <w:bCs/>
          <w:color w:val="000000"/>
          <w:sz w:val="24"/>
        </w:rPr>
        <w:t>10000</w:t>
      </w:r>
      <w:r>
        <w:rPr>
          <w:rFonts w:hint="eastAsia" w:ascii="宋体" w:hAnsi="宋体" w:cs="宋体"/>
          <w:bCs/>
          <w:color w:val="000000"/>
          <w:sz w:val="24"/>
        </w:rPr>
        <w:t>份C类基金份额，假设赎回当日C类基金份额净值为</w:t>
      </w:r>
      <w:r>
        <w:rPr>
          <w:rFonts w:ascii="宋体" w:hAnsi="宋体" w:cs="宋体"/>
          <w:bCs/>
          <w:color w:val="000000"/>
          <w:sz w:val="24"/>
        </w:rPr>
        <w:t>1.148</w:t>
      </w:r>
      <w:r>
        <w:rPr>
          <w:rFonts w:hint="eastAsia" w:ascii="宋体" w:hAnsi="宋体" w:cs="宋体"/>
          <w:bCs/>
          <w:color w:val="000000"/>
          <w:sz w:val="24"/>
        </w:rPr>
        <w:t>元，持有期大于20天，则可得到的净赎回金额为</w:t>
      </w:r>
      <w:r>
        <w:rPr>
          <w:rFonts w:ascii="宋体" w:hAnsi="宋体" w:cs="宋体"/>
          <w:bCs/>
          <w:color w:val="000000"/>
          <w:sz w:val="24"/>
        </w:rPr>
        <w:t>11480</w:t>
      </w:r>
      <w:r>
        <w:rPr>
          <w:rFonts w:hint="eastAsia" w:ascii="宋体" w:hAnsi="宋体" w:cs="宋体"/>
          <w:bCs/>
          <w:color w:val="000000"/>
          <w:sz w:val="24"/>
        </w:rPr>
        <w:t>.00元。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3、基金份额净值计算</w:t>
      </w:r>
    </w:p>
    <w:p>
      <w:pPr>
        <w:spacing w:line="360" w:lineRule="auto"/>
        <w:ind w:firstLine="480"/>
        <w:rPr>
          <w:rFonts w:ascii="宋体" w:hAnsi="宋体" w:cs="宋体"/>
          <w:bCs/>
          <w:color w:val="000000"/>
          <w:sz w:val="24"/>
        </w:rPr>
      </w:pPr>
      <w:r>
        <w:rPr>
          <w:rFonts w:hint="eastAsia" w:ascii="宋体" w:hAnsi="宋体" w:cs="宋体"/>
          <w:bCs/>
          <w:color w:val="000000"/>
          <w:sz w:val="24"/>
        </w:rPr>
        <w:t>基金份额净值单位为人民币元，计算结果保留到小数点后三位，小数点后第四位四舍五入。</w:t>
      </w:r>
    </w:p>
    <w:p>
      <w:pPr>
        <w:spacing w:line="360" w:lineRule="auto"/>
        <w:ind w:firstLine="480"/>
        <w:rPr>
          <w:rFonts w:hint="eastAsia" w:ascii="宋体" w:hAnsi="宋体" w:cs="宋体"/>
          <w:bCs/>
          <w:color w:val="000000"/>
          <w:sz w:val="24"/>
        </w:rPr>
      </w:pPr>
      <w:r>
        <w:rPr>
          <w:rFonts w:ascii="宋体" w:hAnsi="宋体" w:cs="宋体"/>
          <w:bCs/>
          <w:color w:val="000000"/>
          <w:sz w:val="24"/>
        </w:rPr>
        <w:t>T</w:t>
      </w:r>
      <w:r>
        <w:rPr>
          <w:rFonts w:hint="eastAsia" w:ascii="宋体" w:hAnsi="宋体" w:cs="宋体"/>
          <w:bCs/>
          <w:color w:val="000000"/>
          <w:sz w:val="24"/>
        </w:rPr>
        <w:t>日的基金份额净值在当天收市后计算，并在</w:t>
      </w:r>
      <w:r>
        <w:rPr>
          <w:rFonts w:ascii="宋体" w:hAnsi="宋体" w:cs="宋体"/>
          <w:bCs/>
          <w:color w:val="000000"/>
          <w:sz w:val="24"/>
        </w:rPr>
        <w:t>T+1</w:t>
      </w:r>
      <w:r>
        <w:rPr>
          <w:rFonts w:hint="eastAsia" w:ascii="宋体" w:hAnsi="宋体" w:cs="宋体"/>
          <w:bCs/>
          <w:color w:val="000000"/>
          <w:sz w:val="24"/>
        </w:rPr>
        <w:t>日内公告。遇特殊情况，经中国证监会同意，可以适当延迟计算或公告。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八、申购与赎回的注册登记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投资人申购基金成功后，基金注册登记机构在</w:t>
      </w:r>
      <w:r>
        <w:rPr>
          <w:rFonts w:ascii="宋体" w:hAnsi="宋体" w:cs="宋体"/>
          <w:bCs/>
          <w:color w:val="000000"/>
          <w:sz w:val="24"/>
        </w:rPr>
        <w:t>T+1</w:t>
      </w:r>
      <w:r>
        <w:rPr>
          <w:rFonts w:hint="eastAsia" w:ascii="宋体" w:hAnsi="宋体" w:cs="宋体"/>
          <w:bCs/>
          <w:color w:val="000000"/>
          <w:sz w:val="24"/>
        </w:rPr>
        <w:t>日为投资人登记权益并办理注册登记手续，投资人自</w:t>
      </w:r>
      <w:r>
        <w:rPr>
          <w:rFonts w:ascii="宋体" w:hAnsi="宋体" w:cs="宋体"/>
          <w:bCs/>
          <w:color w:val="000000"/>
          <w:sz w:val="24"/>
        </w:rPr>
        <w:t>T+2</w:t>
      </w:r>
      <w:r>
        <w:rPr>
          <w:rFonts w:hint="eastAsia" w:ascii="宋体" w:hAnsi="宋体" w:cs="宋体"/>
          <w:bCs/>
          <w:color w:val="000000"/>
          <w:sz w:val="24"/>
        </w:rPr>
        <w:t>日（含该日）后有权赎回该部分基金份额。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投资人赎回基金成功后，基金注册登记机构在</w:t>
      </w:r>
      <w:r>
        <w:rPr>
          <w:rFonts w:ascii="宋体" w:hAnsi="宋体" w:cs="宋体"/>
          <w:bCs/>
          <w:color w:val="000000"/>
          <w:sz w:val="24"/>
        </w:rPr>
        <w:t>T+1</w:t>
      </w:r>
      <w:r>
        <w:rPr>
          <w:rFonts w:hint="eastAsia" w:ascii="宋体" w:hAnsi="宋体" w:cs="宋体"/>
          <w:bCs/>
          <w:color w:val="000000"/>
          <w:sz w:val="24"/>
        </w:rPr>
        <w:t>日为投资人办理扣除权益的注册登记手续。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基金管理人可以在法律法规允许的范围内，对上述注册登记办理时间进行调整，但不得实质影响投资人的合法权益，并最迟于开始实施前3个工作日在至少一家指定媒体及基金管理人网站公告。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九、巨额赎回的认定及处理方式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1、巨额赎回的认定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本基金单个开放日，基金净赎回申请（赎回申请总数加上基金转换中转出申请份额总数后扣除申购申请总数及基金转换中转入申请份额总数后的余额）超过上一日基金总份额的</w:t>
      </w:r>
      <w:r>
        <w:rPr>
          <w:rFonts w:ascii="宋体" w:hAnsi="宋体" w:cs="宋体"/>
          <w:bCs/>
          <w:color w:val="000000"/>
          <w:sz w:val="24"/>
        </w:rPr>
        <w:t>10%</w:t>
      </w:r>
      <w:r>
        <w:rPr>
          <w:rFonts w:hint="eastAsia" w:ascii="宋体" w:hAnsi="宋体" w:cs="宋体"/>
          <w:bCs/>
          <w:color w:val="000000"/>
          <w:sz w:val="24"/>
        </w:rPr>
        <w:t>时，即认为发生了巨额赎回。</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2、巨额赎回的处理方式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当出现巨额赎回时，基金管理人可以根据本基金当时的资产组合状况决定全额赎回或部分延期赎回。</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w:t>
      </w:r>
      <w:r>
        <w:rPr>
          <w:rFonts w:ascii="宋体" w:hAnsi="宋体" w:cs="宋体"/>
          <w:bCs/>
          <w:color w:val="000000"/>
          <w:sz w:val="24"/>
        </w:rPr>
        <w:t>）</w:t>
      </w:r>
      <w:r>
        <w:rPr>
          <w:rFonts w:hint="eastAsia" w:ascii="宋体" w:hAnsi="宋体" w:cs="宋体"/>
          <w:bCs/>
          <w:color w:val="000000"/>
          <w:sz w:val="24"/>
        </w:rPr>
        <w:t>全额赎回：当基金管理人认为有能力支付投资人的全部赎回申请时，按正常赎回程序执行。</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若本基金发生巨额赎回、在单个基金份额持有人超过上一日基金总份额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（3）巨额赎回的公告：当发生巨额赎回并延期赎回时，基金管理人应在2个工作日内通过指定媒体及基金管理人的公司网站或代销机构的网点刊登公告，并在公开披露日向中国证监会和</w:t>
      </w:r>
      <w:r>
        <w:rPr>
          <w:rFonts w:ascii="宋体" w:hAnsi="宋体" w:cs="宋体"/>
          <w:bCs/>
          <w:color w:val="000000"/>
          <w:sz w:val="24"/>
        </w:rPr>
        <w:t>基金管理人主要办公场所所在地中国证监会派出机构备案</w:t>
      </w:r>
      <w:r>
        <w:rPr>
          <w:rFonts w:hint="eastAsia" w:ascii="宋体" w:hAnsi="宋体" w:cs="宋体"/>
          <w:bCs/>
          <w:color w:val="000000"/>
          <w:sz w:val="24"/>
        </w:rPr>
        <w:t>。同时在3个工作日内以</w:t>
      </w:r>
      <w:r>
        <w:rPr>
          <w:rFonts w:ascii="宋体" w:hAnsi="宋体" w:cs="宋体"/>
          <w:bCs/>
          <w:color w:val="000000"/>
          <w:sz w:val="24"/>
        </w:rPr>
        <w:t>邮寄、传真</w:t>
      </w:r>
      <w:r>
        <w:rPr>
          <w:rFonts w:hint="eastAsia" w:ascii="宋体" w:hAnsi="宋体" w:cs="宋体"/>
          <w:bCs/>
          <w:color w:val="000000"/>
          <w:sz w:val="24"/>
        </w:rPr>
        <w:t>或《招募说明书》规定的其他方式</w:t>
      </w:r>
      <w:r>
        <w:rPr>
          <w:rFonts w:ascii="宋体" w:hAnsi="宋体" w:cs="宋体"/>
          <w:bCs/>
          <w:color w:val="000000"/>
          <w:sz w:val="24"/>
        </w:rPr>
        <w:t>通知基金份额持有人</w:t>
      </w:r>
      <w:r>
        <w:rPr>
          <w:rFonts w:hint="eastAsia" w:ascii="宋体" w:hAnsi="宋体" w:cs="宋体"/>
          <w:bCs/>
          <w:color w:val="000000"/>
          <w:sz w:val="24"/>
        </w:rPr>
        <w:t>，并说明有关处理方法。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本基金连续2个开放日以上发生巨额赎回，如基金管理人认为有必要，可暂停接受赎回申请；已经接受的赎回申请可以延缓支付赎回款项，但不得超过</w:t>
      </w:r>
      <w:r>
        <w:rPr>
          <w:rFonts w:ascii="宋体" w:hAnsi="宋体" w:cs="宋体"/>
          <w:bCs/>
          <w:color w:val="000000"/>
          <w:sz w:val="24"/>
        </w:rPr>
        <w:t>20</w:t>
      </w:r>
      <w:r>
        <w:rPr>
          <w:rFonts w:hint="eastAsia" w:ascii="宋体" w:hAnsi="宋体" w:cs="宋体"/>
          <w:bCs/>
          <w:color w:val="000000"/>
          <w:sz w:val="24"/>
        </w:rPr>
        <w:t>个工作日，并应当在至少一家指定媒体及基金管理人网站公告。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十、拒绝或暂停申购、暂停赎回的情形及处理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1、在如下情况下，基金管理人可以拒绝或暂停接受投资人的全部或部分申购申请：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w:t>
      </w:r>
      <w:r>
        <w:rPr>
          <w:rFonts w:ascii="宋体" w:hAnsi="宋体" w:cs="宋体"/>
          <w:bCs/>
          <w:color w:val="000000"/>
          <w:sz w:val="24"/>
        </w:rPr>
        <w:t>因不可抗力导致基金无法正常运作。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发生基金合同规定的暂停基金资产估值情况时，基金管理人可暂停接收投资人的申购申请。</w:t>
      </w:r>
      <w:r>
        <w:rPr>
          <w:rFonts w:hint="eastAsia" w:ascii="宋体" w:hAnsi="宋体" w:cs="宋体"/>
          <w:bCs/>
          <w:color w:val="000000"/>
          <w:sz w:val="24"/>
        </w:rPr>
        <w:t>当前一估值日基金资产净值50%以上的资产出现无可参考的活跃市场价格且采用估值技术仍导致公允价值存在重大不确定性时，经与基金托管人协商确认后，基金管理人暂停估值并采取暂停接受基金申购申请的措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3</w:t>
      </w:r>
      <w:r>
        <w:rPr>
          <w:rFonts w:hint="eastAsia" w:ascii="宋体" w:hAnsi="宋体" w:cs="宋体"/>
          <w:bCs/>
          <w:color w:val="000000"/>
          <w:sz w:val="24"/>
        </w:rPr>
        <w:t>）</w:t>
      </w:r>
      <w:r>
        <w:rPr>
          <w:rFonts w:ascii="宋体" w:hAnsi="宋体" w:cs="宋体"/>
          <w:bCs/>
          <w:color w:val="000000"/>
          <w:sz w:val="24"/>
        </w:rPr>
        <w:t>证券交易所交易时间非正常停市，导致基金管理人无法计算当日基金资产净值。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4</w:t>
      </w:r>
      <w:r>
        <w:rPr>
          <w:rFonts w:hint="eastAsia" w:ascii="宋体" w:hAnsi="宋体" w:cs="宋体"/>
          <w:bCs/>
          <w:color w:val="000000"/>
          <w:sz w:val="24"/>
        </w:rPr>
        <w:t>）</w:t>
      </w:r>
      <w:r>
        <w:rPr>
          <w:rFonts w:ascii="宋体" w:hAnsi="宋体" w:cs="宋体"/>
          <w:bCs/>
          <w:color w:val="000000"/>
          <w:sz w:val="24"/>
        </w:rPr>
        <w:t>基金管理人认为接受某笔或某些申购申请可能会影响或损害现有基金份额持有人利益时。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5</w:t>
      </w:r>
      <w:r>
        <w:rPr>
          <w:rFonts w:hint="eastAsia" w:ascii="宋体" w:hAnsi="宋体" w:cs="宋体"/>
          <w:bCs/>
          <w:color w:val="000000"/>
          <w:sz w:val="24"/>
        </w:rPr>
        <w:t>）</w:t>
      </w:r>
      <w:r>
        <w:rPr>
          <w:rFonts w:ascii="宋体" w:hAnsi="宋体" w:cs="宋体"/>
          <w:bCs/>
          <w:color w:val="000000"/>
          <w:sz w:val="24"/>
        </w:rPr>
        <w:t>基金资产规模过大，使基金管理人无法找到合适的投资品种，或其他可能对基金业绩产生负面影响，从而损害现有基金份额持有人利益的情形。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6</w:t>
      </w:r>
      <w:r>
        <w:rPr>
          <w:rFonts w:hint="eastAsia" w:ascii="宋体" w:hAnsi="宋体" w:cs="宋体"/>
          <w:bCs/>
          <w:color w:val="000000"/>
          <w:sz w:val="24"/>
        </w:rPr>
        <w:t>）基金管理人接受某笔或者某些申购申请或基金转换入申请有可能导致单一投资者持有基金份额数的比例达到或者超过基金份额总数的50%，或者变相规避前述50%比例要求的情形时。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（7）申购申请超过基金管理人设定的基金总规模、单日净申购比例上限、单一投资者单日或单笔申购金额上限、单一投资人累计持有份额上限的情形。</w:t>
      </w:r>
    </w:p>
    <w:p>
      <w:pPr>
        <w:spacing w:line="360" w:lineRule="auto"/>
        <w:ind w:firstLine="480"/>
        <w:rPr>
          <w:rFonts w:ascii="宋体" w:hAnsi="宋体" w:cs="宋体"/>
          <w:bCs/>
          <w:color w:val="000000"/>
          <w:sz w:val="24"/>
        </w:rPr>
      </w:pPr>
      <w:r>
        <w:rPr>
          <w:rFonts w:hint="eastAsia" w:ascii="宋体" w:hAnsi="宋体" w:cs="宋体"/>
          <w:bCs/>
          <w:color w:val="000000"/>
          <w:sz w:val="24"/>
        </w:rPr>
        <w:t>（8）</w:t>
      </w:r>
      <w:r>
        <w:rPr>
          <w:rFonts w:ascii="宋体" w:hAnsi="宋体" w:cs="宋体"/>
          <w:bCs/>
          <w:color w:val="000000"/>
          <w:sz w:val="24"/>
        </w:rPr>
        <w:t>法律法规规定或中国证监会认定的其他情形。</w:t>
      </w:r>
    </w:p>
    <w:p>
      <w:pPr>
        <w:spacing w:line="360" w:lineRule="auto"/>
        <w:ind w:firstLine="480"/>
        <w:rPr>
          <w:rFonts w:hint="eastAsia" w:ascii="宋体" w:hAnsi="宋体" w:cs="宋体"/>
          <w:bCs/>
          <w:color w:val="000000"/>
          <w:sz w:val="24"/>
        </w:rPr>
      </w:pPr>
      <w:r>
        <w:rPr>
          <w:rFonts w:ascii="宋体" w:hAnsi="宋体" w:cs="宋体"/>
          <w:bCs/>
          <w:color w:val="000000"/>
          <w:sz w:val="24"/>
        </w:rPr>
        <w:t>发生上述第</w:t>
      </w: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w:t>
      </w:r>
      <w:r>
        <w:rPr>
          <w:rFonts w:ascii="宋体" w:hAnsi="宋体" w:cs="宋体"/>
          <w:bCs/>
          <w:color w:val="000000"/>
          <w:sz w:val="24"/>
        </w:rPr>
        <w:t>、</w:t>
      </w: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w:t>
      </w:r>
      <w:r>
        <w:rPr>
          <w:rFonts w:hint="eastAsia" w:ascii="宋体" w:hAnsi="宋体" w:cs="宋体"/>
          <w:bCs/>
          <w:color w:val="000000"/>
          <w:sz w:val="24"/>
        </w:rPr>
        <w:t>（</w:t>
      </w:r>
      <w:r>
        <w:rPr>
          <w:rFonts w:ascii="宋体" w:hAnsi="宋体" w:cs="宋体"/>
          <w:bCs/>
          <w:color w:val="000000"/>
          <w:sz w:val="24"/>
        </w:rPr>
        <w:t>3</w:t>
      </w:r>
      <w:r>
        <w:rPr>
          <w:rFonts w:hint="eastAsia" w:ascii="宋体" w:hAnsi="宋体" w:cs="宋体"/>
          <w:bCs/>
          <w:color w:val="000000"/>
          <w:sz w:val="24"/>
        </w:rPr>
        <w:t>）</w:t>
      </w:r>
      <w:r>
        <w:rPr>
          <w:rFonts w:ascii="宋体" w:hAnsi="宋体" w:cs="宋体"/>
          <w:bCs/>
          <w:color w:val="000000"/>
          <w:sz w:val="24"/>
        </w:rPr>
        <w:t>、</w:t>
      </w:r>
      <w:r>
        <w:rPr>
          <w:rFonts w:hint="eastAsia" w:ascii="宋体" w:hAnsi="宋体" w:cs="宋体"/>
          <w:bCs/>
          <w:color w:val="000000"/>
          <w:sz w:val="24"/>
        </w:rPr>
        <w:t>（</w:t>
      </w:r>
      <w:r>
        <w:rPr>
          <w:rFonts w:ascii="宋体" w:hAnsi="宋体" w:cs="宋体"/>
          <w:bCs/>
          <w:color w:val="000000"/>
          <w:sz w:val="24"/>
        </w:rPr>
        <w:t>5</w:t>
      </w:r>
      <w:r>
        <w:rPr>
          <w:rFonts w:hint="eastAsia" w:ascii="宋体" w:hAnsi="宋体" w:cs="宋体"/>
          <w:bCs/>
          <w:color w:val="000000"/>
          <w:sz w:val="24"/>
        </w:rPr>
        <w:t>）</w:t>
      </w:r>
      <w:r>
        <w:rPr>
          <w:rFonts w:ascii="宋体" w:hAnsi="宋体" w:cs="宋体"/>
          <w:bCs/>
          <w:color w:val="000000"/>
          <w:sz w:val="24"/>
        </w:rPr>
        <w:t>、</w:t>
      </w:r>
      <w:r>
        <w:rPr>
          <w:rFonts w:hint="eastAsia" w:ascii="宋体" w:hAnsi="宋体" w:cs="宋体"/>
          <w:bCs/>
          <w:color w:val="000000"/>
          <w:sz w:val="24"/>
        </w:rPr>
        <w:t>（8）</w:t>
      </w:r>
      <w:r>
        <w:rPr>
          <w:rFonts w:ascii="宋体" w:hAnsi="宋体" w:cs="宋体"/>
          <w:bCs/>
          <w:color w:val="000000"/>
          <w:sz w:val="24"/>
        </w:rPr>
        <w:t>项暂停申购情形</w:t>
      </w:r>
      <w:r>
        <w:rPr>
          <w:rFonts w:hint="eastAsia" w:ascii="宋体" w:hAnsi="宋体" w:cs="宋体"/>
          <w:bCs/>
          <w:color w:val="000000"/>
          <w:sz w:val="24"/>
        </w:rPr>
        <w:t>之一且基金管理人决定暂停接受投资人的申购申请</w:t>
      </w:r>
      <w:r>
        <w:rPr>
          <w:rFonts w:ascii="宋体" w:hAnsi="宋体" w:cs="宋体"/>
          <w:bCs/>
          <w:color w:val="000000"/>
          <w:sz w:val="24"/>
        </w:rPr>
        <w:t>时，基金管理人应当根据有关规定在指定媒体上刊登暂停申购公告。如果投资人的申购申请被拒绝，被拒绝的申购款项将退还给投资人。在暂停申购的情况消除时，基金管理人应及时恢复申购业务的办理。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2、在以下情况下，基金管理人可以暂停接受投资人的赎回申请：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（1）因不可抗力导致基金管理人无法支付赎回款项；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证券交易场所交易时间非正常停市，导致基金管理人无法计算当日基金资产净值；当前一估值日基金资产净值50%以上的资产出现无可参考的活跃市场价格且采用估值技术仍导致公允价值存在重大不确定性时，经与基金托管人协商确认后，基金管理人暂停估值并采取延缓支付赎回款项或暂停接受基金赎回申请的措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（3）基金连续两个或两个以上开放日发生巨额赎回，根据基金合同规定，可以暂停接受赎回申请的情况；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（4）发生基金合同规定的暂停基金资产估值的情况；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（5）法律法规规定或经中国证监会认定的其他情形。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发生上述情形之一的，基金管理人应当在当日向中国证监会备案，并及时公告。除非发生巨额赎回，已接受的赎回申请，基金管理人应当足额支付。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在暂停赎回的情况消除时，基金管理人应及时恢复赎回业务的办理并依法公告。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3、暂停基金的申购、赎回，基金管理人应按规定公告并报中国证监会备案。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w:t>
      </w:r>
      <w:r>
        <w:rPr>
          <w:rFonts w:ascii="宋体" w:hAnsi="宋体" w:cs="宋体"/>
          <w:bCs/>
          <w:color w:val="000000"/>
          <w:sz w:val="24"/>
        </w:rPr>
        <w:t>暂停申购或赎回的公告和重新开放申购或赎回的公告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w:t>
      </w:r>
      <w:r>
        <w:rPr>
          <w:rFonts w:ascii="宋体" w:hAnsi="宋体" w:cs="宋体"/>
          <w:bCs/>
          <w:color w:val="000000"/>
          <w:sz w:val="24"/>
        </w:rPr>
        <w:t>发生上述暂停申购或赎回情况的，基金管理人当日应立即向中国证监会备案，并在规定期限内在指定媒体上刊登暂停公告。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如发生暂停的时间为1日，基金管理人应于重新开放日，在指定媒体上刊登基金重新开放申购或赎回公告，并公布最近1个开放日的基金份额净值。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3</w:t>
      </w:r>
      <w:r>
        <w:rPr>
          <w:rFonts w:hint="eastAsia" w:ascii="宋体" w:hAnsi="宋体" w:cs="宋体"/>
          <w:bCs/>
          <w:color w:val="000000"/>
          <w:sz w:val="24"/>
        </w:rPr>
        <w:t>）</w:t>
      </w:r>
      <w:r>
        <w:rPr>
          <w:rFonts w:ascii="宋体" w:hAnsi="宋体" w:cs="宋体"/>
          <w:bCs/>
          <w:color w:val="000000"/>
          <w:sz w:val="24"/>
        </w:rPr>
        <w:t>如果发生暂停的时间超过1日，暂停结束，基金重新开放申购或赎回时，基金管理人将提前1个工作日，在至少一种指定媒体刊登基金重新开放申购或赎回的公告，并在重新开放申购或赎回日公告最近1个开放日的基金份额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十一、基金转换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可以根据相关法律、法规以及本基金《基金合同》的规定决定开办本基金和基金管理人管理的、已开通基金转换业务的其他基金之间进行转换业务。基金转换的数额限制、转换费率等具体事项可以由基金管理人届时另行规定且公告，并提前告知基金托管人与其他相关机构。</w:t>
      </w:r>
    </w:p>
    <w:p>
      <w:pPr>
        <w:spacing w:line="360" w:lineRule="auto"/>
        <w:ind w:firstLine="480"/>
        <w:rPr>
          <w:rFonts w:ascii="宋体" w:hAnsi="宋体" w:cs="宋体"/>
          <w:bCs/>
          <w:color w:val="000000"/>
          <w:sz w:val="24"/>
        </w:rPr>
      </w:pPr>
      <w:r>
        <w:rPr>
          <w:rFonts w:hint="eastAsia" w:ascii="宋体" w:hAnsi="宋体" w:cs="宋体"/>
          <w:bCs/>
          <w:color w:val="000000"/>
          <w:sz w:val="24"/>
        </w:rPr>
        <w:t>十二、定期定额投资计划</w:t>
      </w:r>
    </w:p>
    <w:p>
      <w:pPr>
        <w:spacing w:line="360" w:lineRule="auto"/>
        <w:ind w:firstLine="480"/>
        <w:rPr>
          <w:rFonts w:hint="eastAsia"/>
          <w:sz w:val="30"/>
        </w:rPr>
      </w:pPr>
      <w:r>
        <w:rPr>
          <w:rFonts w:ascii="宋体" w:hAnsi="宋体" w:cs="宋体"/>
          <w:bCs/>
          <w:color w:val="000000"/>
          <w:sz w:val="24"/>
        </w:rPr>
        <w:t>基金管理人可以为投资人办理定期定额投资计划，具体规则由基金管理人在届时发布公告或更新的招募说明书中确定。</w:t>
      </w:r>
    </w:p>
    <w:p>
      <w:pPr>
        <w:pStyle w:val="2"/>
        <w:pageBreakBefore/>
        <w:spacing w:before="0" w:after="0"/>
        <w:jc w:val="center"/>
        <w:rPr>
          <w:rFonts w:hint="eastAsia" w:cs="宋体"/>
          <w:bCs/>
        </w:rPr>
      </w:pPr>
      <w:bookmarkStart w:id="10" w:name="_Toc521587221"/>
      <w:r>
        <w:rPr>
          <w:rFonts w:hint="eastAsia" w:ascii="Times New Roman" w:hAnsi="Times New Roman"/>
          <w:color w:val="auto"/>
          <w:sz w:val="30"/>
        </w:rPr>
        <w:t>第九部分 基金的投资</w:t>
      </w:r>
      <w:bookmarkEnd w:id="10"/>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w:t>
      </w:r>
      <w:r>
        <w:rPr>
          <w:rFonts w:ascii="宋体" w:hAnsi="宋体" w:cs="宋体"/>
          <w:bCs/>
          <w:color w:val="000000"/>
          <w:sz w:val="24"/>
        </w:rPr>
        <w:t>投资目标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在严格控制风险并保持良好流动性的基础上，通过主动的组合管理为投资人创造</w:t>
      </w:r>
      <w:r>
        <w:rPr>
          <w:rFonts w:ascii="宋体" w:hAnsi="宋体" w:cs="宋体"/>
          <w:bCs/>
          <w:color w:val="000000"/>
          <w:sz w:val="24"/>
        </w:rPr>
        <w:t>较高的当期收入和总回报</w:t>
      </w:r>
      <w:r>
        <w:rPr>
          <w:rFonts w:hint="eastAsia" w:ascii="宋体" w:hAnsi="宋体" w:cs="宋体"/>
          <w:bCs/>
          <w:color w:val="000000"/>
          <w:sz w:val="24"/>
        </w:rPr>
        <w:t>。</w:t>
      </w:r>
    </w:p>
    <w:p>
      <w:pPr>
        <w:spacing w:line="360" w:lineRule="auto"/>
        <w:ind w:firstLine="480"/>
        <w:rPr>
          <w:rFonts w:ascii="宋体" w:hAnsi="宋体" w:cs="宋体"/>
          <w:bCs/>
          <w:color w:val="000000"/>
          <w:sz w:val="24"/>
        </w:rPr>
      </w:pPr>
      <w:r>
        <w:rPr>
          <w:rFonts w:hint="eastAsia" w:ascii="宋体" w:hAnsi="宋体" w:cs="宋体"/>
          <w:bCs/>
          <w:color w:val="000000"/>
          <w:sz w:val="24"/>
        </w:rPr>
        <w:t>二、投资范围</w:t>
      </w:r>
    </w:p>
    <w:p>
      <w:pPr>
        <w:spacing w:line="360" w:lineRule="auto"/>
        <w:ind w:firstLine="480"/>
        <w:rPr>
          <w:rFonts w:ascii="宋体" w:hAnsi="宋体" w:cs="宋体"/>
          <w:bCs/>
          <w:color w:val="000000"/>
          <w:sz w:val="24"/>
        </w:rPr>
      </w:pPr>
      <w:r>
        <w:rPr>
          <w:rFonts w:ascii="宋体" w:hAnsi="宋体" w:cs="宋体"/>
          <w:bCs/>
          <w:color w:val="000000"/>
          <w:sz w:val="24"/>
        </w:rPr>
        <w:t>本基金的投资范围为具有良好流动性的金融工具，包括国内依法发行上市的债券、货币市场工具以及法律法规或中国证监会允许基金投资的其他金融工具(但须符合中国证监会相关规定)。</w:t>
      </w:r>
    </w:p>
    <w:p>
      <w:pPr>
        <w:spacing w:line="360" w:lineRule="auto"/>
        <w:ind w:firstLine="480"/>
        <w:rPr>
          <w:rFonts w:ascii="宋体" w:hAnsi="宋体" w:cs="宋体"/>
          <w:bCs/>
          <w:color w:val="000000"/>
          <w:sz w:val="24"/>
        </w:rPr>
      </w:pPr>
      <w:r>
        <w:rPr>
          <w:rFonts w:ascii="宋体" w:hAnsi="宋体" w:cs="宋体"/>
          <w:bCs/>
          <w:color w:val="000000"/>
          <w:sz w:val="24"/>
        </w:rPr>
        <w:t>本基金主要投资于国债、央行票据、金融债、次级债、地方政府债、企业债和公司债、中期票据、短期融资券、资产支持证券、可转债（含分离交易可转债）、债券回购、银行存款以及法律法规或监管部门允许基金投资的其他固定收益类金融工具。基金不直接从二级市场买入股票、权证等权益类资产，但可参与一级市场新股申购或增发，持有因可转债转股所形成的股票或分离交易可转债分离交易的权证等资产。因上述原因持有的股票和权证等资产，基金将在其可交易之日起的</w:t>
      </w:r>
      <w:r>
        <w:rPr>
          <w:rFonts w:hint="eastAsia" w:ascii="宋体" w:hAnsi="宋体" w:cs="宋体"/>
          <w:bCs/>
          <w:color w:val="000000"/>
          <w:sz w:val="24"/>
        </w:rPr>
        <w:t>10个交易日</w:t>
      </w:r>
      <w:r>
        <w:rPr>
          <w:rFonts w:ascii="宋体" w:hAnsi="宋体" w:cs="宋体"/>
          <w:bCs/>
          <w:color w:val="000000"/>
          <w:sz w:val="24"/>
        </w:rPr>
        <w:t>内卖出。</w:t>
      </w:r>
    </w:p>
    <w:p>
      <w:pPr>
        <w:spacing w:line="360" w:lineRule="auto"/>
        <w:ind w:firstLine="480"/>
        <w:rPr>
          <w:rFonts w:ascii="宋体" w:hAnsi="宋体" w:cs="宋体"/>
          <w:bCs/>
          <w:color w:val="000000"/>
          <w:sz w:val="24"/>
        </w:rPr>
      </w:pPr>
      <w:r>
        <w:rPr>
          <w:rFonts w:ascii="宋体" w:hAnsi="宋体" w:cs="宋体"/>
          <w:bCs/>
          <w:color w:val="000000"/>
          <w:sz w:val="24"/>
        </w:rPr>
        <w:t>如法律法规或监管机构以后允许基金投资其他品种（如国债期货），基金管理人在履行适当程序后，可以将其纳入投资范围。</w:t>
      </w:r>
    </w:p>
    <w:p>
      <w:pPr>
        <w:spacing w:line="360" w:lineRule="auto"/>
        <w:ind w:firstLine="480"/>
        <w:rPr>
          <w:rFonts w:hint="eastAsia" w:ascii="宋体" w:hAnsi="宋体" w:cs="宋体"/>
          <w:bCs/>
          <w:color w:val="000000"/>
          <w:sz w:val="24"/>
        </w:rPr>
      </w:pPr>
      <w:r>
        <w:rPr>
          <w:rFonts w:ascii="宋体" w:hAnsi="宋体" w:cs="宋体"/>
          <w:bCs/>
          <w:color w:val="000000"/>
          <w:sz w:val="24"/>
        </w:rPr>
        <w:t>基金的投资组合比例为：本基金</w:t>
      </w:r>
      <w:r>
        <w:rPr>
          <w:rFonts w:hint="eastAsia" w:ascii="宋体" w:hAnsi="宋体" w:cs="宋体"/>
          <w:bCs/>
          <w:color w:val="000000"/>
          <w:sz w:val="24"/>
        </w:rPr>
        <w:t>债券</w:t>
      </w:r>
      <w:r>
        <w:rPr>
          <w:rFonts w:ascii="宋体" w:hAnsi="宋体" w:cs="宋体"/>
          <w:bCs/>
          <w:color w:val="000000"/>
          <w:sz w:val="24"/>
        </w:rPr>
        <w:t>资产的投资比例不低于基金资产的80%</w:t>
      </w:r>
      <w:r>
        <w:rPr>
          <w:rFonts w:hint="eastAsia" w:ascii="宋体" w:hAnsi="宋体" w:cs="宋体"/>
          <w:bCs/>
          <w:color w:val="000000"/>
          <w:sz w:val="24"/>
        </w:rPr>
        <w:t>，</w:t>
      </w:r>
      <w:r>
        <w:rPr>
          <w:rFonts w:ascii="宋体" w:hAnsi="宋体" w:cs="宋体"/>
          <w:bCs/>
          <w:color w:val="000000"/>
          <w:sz w:val="24"/>
        </w:rPr>
        <w:t>其中投资于信用债和可转债的比例合计不低于</w:t>
      </w:r>
      <w:r>
        <w:rPr>
          <w:rFonts w:hint="eastAsia" w:ascii="宋体" w:hAnsi="宋体" w:cs="宋体"/>
          <w:bCs/>
          <w:color w:val="000000"/>
          <w:sz w:val="24"/>
        </w:rPr>
        <w:t>非现金基金</w:t>
      </w:r>
      <w:r>
        <w:rPr>
          <w:rFonts w:ascii="宋体" w:hAnsi="宋体" w:cs="宋体"/>
          <w:bCs/>
          <w:color w:val="000000"/>
          <w:sz w:val="24"/>
        </w:rPr>
        <w:t>资产的80%</w:t>
      </w:r>
      <w:r>
        <w:rPr>
          <w:rFonts w:hint="eastAsia" w:ascii="宋体" w:hAnsi="宋体" w:cs="宋体"/>
          <w:bCs/>
          <w:color w:val="000000"/>
          <w:sz w:val="24"/>
        </w:rPr>
        <w:t>；</w:t>
      </w:r>
      <w:r>
        <w:rPr>
          <w:rFonts w:ascii="宋体" w:hAnsi="宋体" w:cs="宋体"/>
          <w:bCs/>
          <w:color w:val="000000"/>
          <w:sz w:val="24"/>
        </w:rPr>
        <w:t>基金持有的现金以及到期日在1年以内的政府债券不低于基金资产净值的5%</w:t>
      </w:r>
      <w:r>
        <w:rPr>
          <w:rFonts w:hint="eastAsia" w:ascii="宋体" w:hAnsi="宋体" w:cs="宋体"/>
          <w:bCs/>
          <w:color w:val="000000"/>
          <w:sz w:val="24"/>
        </w:rPr>
        <w:t>，其中，现金不包括结算备付金、存出保证金、应收申购款等</w:t>
      </w:r>
      <w:r>
        <w:rPr>
          <w:rFonts w:ascii="宋体" w:hAnsi="宋体" w:cs="宋体"/>
          <w:bCs/>
          <w:color w:val="000000"/>
          <w:sz w:val="24"/>
        </w:rPr>
        <w:t>。</w:t>
      </w:r>
    </w:p>
    <w:p>
      <w:pPr>
        <w:spacing w:line="360" w:lineRule="auto"/>
        <w:ind w:firstLine="480"/>
        <w:rPr>
          <w:rFonts w:ascii="宋体" w:hAnsi="宋体" w:cs="宋体"/>
          <w:bCs/>
          <w:color w:val="000000"/>
          <w:sz w:val="24"/>
        </w:rPr>
      </w:pPr>
      <w:r>
        <w:rPr>
          <w:rFonts w:hint="eastAsia" w:ascii="宋体" w:hAnsi="宋体" w:cs="宋体"/>
          <w:bCs/>
          <w:color w:val="000000"/>
          <w:sz w:val="24"/>
        </w:rPr>
        <w:t>三、</w:t>
      </w:r>
      <w:r>
        <w:rPr>
          <w:rFonts w:ascii="宋体" w:hAnsi="宋体" w:cs="宋体"/>
          <w:bCs/>
          <w:color w:val="000000"/>
          <w:sz w:val="24"/>
        </w:rPr>
        <w:t>投资策略</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w:t>
      </w:r>
      <w:r>
        <w:rPr>
          <w:rFonts w:ascii="宋体" w:hAnsi="宋体" w:cs="宋体"/>
          <w:bCs/>
          <w:color w:val="000000"/>
          <w:sz w:val="24"/>
        </w:rPr>
        <w:t>债券类属配置策略</w:t>
      </w:r>
    </w:p>
    <w:p>
      <w:pPr>
        <w:spacing w:line="360" w:lineRule="auto"/>
        <w:ind w:firstLine="480"/>
        <w:rPr>
          <w:rFonts w:ascii="宋体" w:hAnsi="宋体" w:cs="宋体"/>
          <w:bCs/>
          <w:color w:val="000000"/>
          <w:sz w:val="24"/>
        </w:rPr>
      </w:pPr>
      <w:r>
        <w:rPr>
          <w:rFonts w:ascii="宋体" w:hAnsi="宋体" w:cs="宋体"/>
          <w:bCs/>
          <w:color w:val="000000"/>
          <w:sz w:val="24"/>
        </w:rPr>
        <w:t>本基金的固定收益类资产将主要在信用债、可转债及其他资产间进行配置。根据对不同债券板块之间的相对投资价值分析，确定债券类属配置策略，并根据市场变化及时进行调整，从而选择既能匹配目标久期、同时又能获得较高持有期收益的类属债券配置比例。</w:t>
      </w:r>
    </w:p>
    <w:p>
      <w:pPr>
        <w:spacing w:line="360" w:lineRule="auto"/>
        <w:ind w:firstLine="480"/>
        <w:rPr>
          <w:rFonts w:ascii="宋体" w:hAnsi="宋体" w:cs="宋体"/>
          <w:bCs/>
          <w:color w:val="000000"/>
          <w:sz w:val="24"/>
        </w:rPr>
      </w:pP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信用债投资策略</w:t>
      </w:r>
    </w:p>
    <w:p>
      <w:pPr>
        <w:spacing w:line="360" w:lineRule="auto"/>
        <w:ind w:firstLine="480"/>
        <w:rPr>
          <w:rFonts w:ascii="宋体" w:hAnsi="宋体" w:cs="宋体"/>
          <w:bCs/>
          <w:color w:val="000000"/>
          <w:sz w:val="24"/>
        </w:rPr>
      </w:pPr>
      <w:r>
        <w:rPr>
          <w:rFonts w:ascii="宋体" w:hAnsi="宋体" w:cs="宋体"/>
          <w:bCs/>
          <w:color w:val="000000"/>
          <w:sz w:val="24"/>
        </w:rPr>
        <w:t>本基金将主要通过买入并持有信用风险可承担、期限与收益率相对合理的信用债券产品，获取票息收益。此外，本基金还将通过对内外部评级、利差曲线研究和经济周期的判断，主动采用信用利差投资策略，获取利差收益。</w:t>
      </w:r>
    </w:p>
    <w:p>
      <w:pPr>
        <w:spacing w:line="360" w:lineRule="auto"/>
        <w:ind w:firstLine="480"/>
        <w:rPr>
          <w:rFonts w:ascii="宋体" w:hAnsi="宋体" w:cs="宋体"/>
          <w:bCs/>
          <w:color w:val="000000"/>
          <w:sz w:val="24"/>
        </w:rPr>
      </w:pPr>
      <w:r>
        <w:rPr>
          <w:rFonts w:ascii="宋体" w:hAnsi="宋体" w:cs="宋体"/>
          <w:bCs/>
          <w:color w:val="000000"/>
          <w:sz w:val="24"/>
        </w:rPr>
        <w:t>3</w:t>
      </w:r>
      <w:r>
        <w:rPr>
          <w:rFonts w:hint="eastAsia" w:ascii="宋体" w:hAnsi="宋体" w:cs="宋体"/>
          <w:bCs/>
          <w:color w:val="000000"/>
          <w:sz w:val="24"/>
        </w:rPr>
        <w:t>、</w:t>
      </w:r>
      <w:r>
        <w:rPr>
          <w:rFonts w:ascii="宋体" w:hAnsi="宋体" w:cs="宋体"/>
          <w:bCs/>
          <w:color w:val="000000"/>
          <w:sz w:val="24"/>
        </w:rPr>
        <w:t>可转债投资策略</w:t>
      </w:r>
    </w:p>
    <w:p>
      <w:pPr>
        <w:spacing w:line="360" w:lineRule="auto"/>
        <w:ind w:firstLine="480"/>
        <w:rPr>
          <w:rFonts w:ascii="宋体" w:hAnsi="宋体" w:cs="宋体"/>
          <w:bCs/>
          <w:color w:val="000000"/>
          <w:sz w:val="24"/>
        </w:rPr>
      </w:pPr>
      <w:r>
        <w:rPr>
          <w:rFonts w:ascii="宋体" w:hAnsi="宋体" w:cs="宋体"/>
          <w:bCs/>
          <w:color w:val="000000"/>
          <w:sz w:val="24"/>
        </w:rPr>
        <w:t>本基金将着重对可转债对应的基础股票进行分析与研究，对那些有着较好盈利能力或成长前景的上市公司的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pPr>
        <w:spacing w:line="360" w:lineRule="auto"/>
        <w:ind w:firstLine="480"/>
        <w:rPr>
          <w:rFonts w:ascii="宋体" w:hAnsi="宋体" w:cs="宋体"/>
          <w:bCs/>
          <w:color w:val="000000"/>
          <w:sz w:val="24"/>
        </w:rPr>
      </w:pPr>
      <w:r>
        <w:rPr>
          <w:rFonts w:ascii="宋体" w:hAnsi="宋体" w:cs="宋体"/>
          <w:bCs/>
          <w:color w:val="000000"/>
          <w:sz w:val="24"/>
        </w:rPr>
        <w:t>此外，在严格控制风险的前提下，本基金将适度参与新股申购、增发、证券借贷交易、回购交易等投资，以增加收益。</w:t>
      </w:r>
    </w:p>
    <w:p>
      <w:pPr>
        <w:spacing w:line="360" w:lineRule="auto"/>
        <w:ind w:firstLine="480"/>
        <w:rPr>
          <w:rFonts w:hint="eastAsia" w:ascii="宋体" w:hAnsi="宋体" w:cs="宋体"/>
          <w:bCs/>
          <w:color w:val="000000"/>
          <w:sz w:val="24"/>
        </w:rPr>
      </w:pPr>
      <w:r>
        <w:rPr>
          <w:rFonts w:ascii="宋体" w:hAnsi="宋体" w:cs="宋体"/>
          <w:bCs/>
          <w:color w:val="000000"/>
          <w:sz w:val="24"/>
        </w:rPr>
        <w:t>未来，随着证券市场投资工具的发展和丰富，本基金可相应调整和更新相关投资策略，并在招募说明书更新中公告。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四、投资限制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1、禁止行为</w:t>
      </w:r>
    </w:p>
    <w:p>
      <w:pPr>
        <w:spacing w:line="360" w:lineRule="auto"/>
        <w:ind w:firstLine="480"/>
        <w:rPr>
          <w:rFonts w:ascii="宋体" w:hAnsi="宋体" w:cs="宋体"/>
          <w:bCs/>
          <w:color w:val="000000"/>
          <w:sz w:val="24"/>
        </w:rPr>
      </w:pPr>
      <w:r>
        <w:rPr>
          <w:rFonts w:hint="eastAsia" w:ascii="宋体" w:hAnsi="宋体" w:cs="宋体"/>
          <w:bCs/>
          <w:color w:val="000000"/>
          <w:sz w:val="24"/>
        </w:rPr>
        <w:t>为维护基金份额持有人的合法权益，本基金禁止从事下列行为：</w:t>
      </w:r>
    </w:p>
    <w:p>
      <w:pPr>
        <w:spacing w:line="360" w:lineRule="auto"/>
        <w:ind w:firstLine="480"/>
        <w:rPr>
          <w:rFonts w:ascii="宋体" w:hAnsi="宋体" w:cs="宋体"/>
          <w:bCs/>
          <w:color w:val="000000"/>
          <w:sz w:val="24"/>
        </w:rPr>
      </w:pPr>
      <w:r>
        <w:rPr>
          <w:rFonts w:ascii="宋体" w:hAnsi="宋体" w:cs="宋体"/>
          <w:bCs/>
          <w:color w:val="000000"/>
          <w:sz w:val="24"/>
        </w:rPr>
        <w:t>（1）承销证券；</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2</w:t>
      </w:r>
      <w:r>
        <w:rPr>
          <w:rFonts w:ascii="宋体" w:hAnsi="宋体" w:cs="宋体"/>
          <w:bCs/>
          <w:color w:val="000000"/>
          <w:sz w:val="24"/>
        </w:rPr>
        <w:t>）向他人贷款或者提供担保；</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3</w:t>
      </w:r>
      <w:r>
        <w:rPr>
          <w:rFonts w:ascii="宋体" w:hAnsi="宋体" w:cs="宋体"/>
          <w:bCs/>
          <w:color w:val="000000"/>
          <w:sz w:val="24"/>
        </w:rPr>
        <w:t>）从事承担无限责任的投资；</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4</w:t>
      </w:r>
      <w:r>
        <w:rPr>
          <w:rFonts w:ascii="宋体" w:hAnsi="宋体" w:cs="宋体"/>
          <w:bCs/>
          <w:color w:val="000000"/>
          <w:sz w:val="24"/>
        </w:rPr>
        <w:t>）买卖其他基金份额，但是国务院另有规定的除外；</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5</w:t>
      </w:r>
      <w:r>
        <w:rPr>
          <w:rFonts w:ascii="宋体" w:hAnsi="宋体" w:cs="宋体"/>
          <w:bCs/>
          <w:color w:val="000000"/>
          <w:sz w:val="24"/>
        </w:rPr>
        <w:t>）向其基金管理人、基金托管人出资或者买卖其基金管理人、基金托管人发行的股票或者债券；</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6</w:t>
      </w:r>
      <w:r>
        <w:rPr>
          <w:rFonts w:ascii="宋体" w:hAnsi="宋体" w:cs="宋体"/>
          <w:bCs/>
          <w:color w:val="000000"/>
          <w:sz w:val="24"/>
        </w:rPr>
        <w:t>）买卖与其基金管理人、基金托管人有控股关系的股东或者与其基金管理人、基金托管人有其他重大利害关系的公司发行的证券或者承销期内承销的证券；</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7</w:t>
      </w:r>
      <w:r>
        <w:rPr>
          <w:rFonts w:ascii="宋体" w:hAnsi="宋体" w:cs="宋体"/>
          <w:bCs/>
          <w:color w:val="000000"/>
          <w:sz w:val="24"/>
        </w:rPr>
        <w:t>）从事内幕交易、操纵证券交易价格及其他不正当的证券交易活动；</w:t>
      </w:r>
    </w:p>
    <w:p>
      <w:pPr>
        <w:spacing w:line="360" w:lineRule="auto"/>
        <w:ind w:firstLine="480"/>
        <w:rPr>
          <w:rFonts w:hint="eastAsia"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8</w:t>
      </w:r>
      <w:r>
        <w:rPr>
          <w:rFonts w:ascii="宋体" w:hAnsi="宋体" w:cs="宋体"/>
          <w:bCs/>
          <w:color w:val="000000"/>
          <w:sz w:val="24"/>
        </w:rPr>
        <w:t>）依照法律法规有关规定，由中国证监会规定禁止的其他活动</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w:t>
      </w:r>
      <w:r>
        <w:rPr>
          <w:rFonts w:ascii="宋体" w:hAnsi="宋体" w:cs="宋体"/>
          <w:bCs/>
          <w:color w:val="000000"/>
          <w:sz w:val="24"/>
        </w:rPr>
        <w:t>法律法规或监管部门</w:t>
      </w:r>
      <w:r>
        <w:rPr>
          <w:rFonts w:hint="eastAsia" w:ascii="宋体" w:hAnsi="宋体" w:cs="宋体"/>
          <w:bCs/>
          <w:color w:val="000000"/>
          <w:sz w:val="24"/>
        </w:rPr>
        <w:t>取消上述禁止性规定，本基金管理人在履行适当程序后可不受上述规定的限制</w:t>
      </w:r>
      <w:r>
        <w:rPr>
          <w:rFonts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2、投资组合限制</w:t>
      </w:r>
    </w:p>
    <w:p>
      <w:pPr>
        <w:spacing w:line="360" w:lineRule="auto"/>
        <w:ind w:firstLine="480"/>
        <w:rPr>
          <w:rFonts w:ascii="宋体" w:hAnsi="宋体" w:cs="宋体"/>
          <w:bCs/>
          <w:color w:val="000000"/>
          <w:sz w:val="24"/>
        </w:rPr>
      </w:pPr>
      <w:r>
        <w:rPr>
          <w:rFonts w:hint="eastAsia" w:ascii="宋体" w:hAnsi="宋体" w:cs="宋体"/>
          <w:bCs/>
          <w:color w:val="000000"/>
          <w:sz w:val="24"/>
        </w:rPr>
        <w:t>本</w:t>
      </w:r>
      <w:r>
        <w:rPr>
          <w:rFonts w:ascii="宋体" w:hAnsi="宋体" w:cs="宋体"/>
          <w:bCs/>
          <w:color w:val="000000"/>
          <w:sz w:val="24"/>
        </w:rPr>
        <w:t>基金的投资组合将遵循以下限制：</w:t>
      </w:r>
    </w:p>
    <w:p>
      <w:pPr>
        <w:spacing w:line="360" w:lineRule="auto"/>
        <w:ind w:firstLine="480"/>
        <w:rPr>
          <w:rFonts w:ascii="宋体" w:hAnsi="宋体" w:cs="宋体"/>
          <w:bCs/>
          <w:color w:val="000000"/>
          <w:sz w:val="24"/>
        </w:rPr>
      </w:pPr>
      <w:r>
        <w:rPr>
          <w:rFonts w:ascii="宋体" w:hAnsi="宋体" w:cs="宋体"/>
          <w:bCs/>
          <w:color w:val="000000"/>
          <w:sz w:val="24"/>
        </w:rPr>
        <w:t>（1）本基金</w:t>
      </w:r>
      <w:r>
        <w:rPr>
          <w:rFonts w:hint="eastAsia" w:ascii="宋体" w:hAnsi="宋体" w:cs="宋体"/>
          <w:bCs/>
          <w:color w:val="000000"/>
          <w:sz w:val="24"/>
        </w:rPr>
        <w:t>债券</w:t>
      </w:r>
      <w:r>
        <w:rPr>
          <w:rFonts w:ascii="宋体" w:hAnsi="宋体" w:cs="宋体"/>
          <w:bCs/>
          <w:color w:val="000000"/>
          <w:sz w:val="24"/>
        </w:rPr>
        <w:t>资产的投资比例不低于基金资产的80%</w:t>
      </w:r>
      <w:r>
        <w:rPr>
          <w:rFonts w:hint="eastAsia" w:ascii="宋体" w:hAnsi="宋体" w:cs="宋体"/>
          <w:bCs/>
          <w:color w:val="000000"/>
          <w:sz w:val="24"/>
        </w:rPr>
        <w:t>，</w:t>
      </w:r>
      <w:r>
        <w:rPr>
          <w:rFonts w:ascii="宋体" w:hAnsi="宋体" w:cs="宋体"/>
          <w:bCs/>
          <w:color w:val="000000"/>
          <w:sz w:val="24"/>
        </w:rPr>
        <w:t>其中投资于信用债和可转债的比例合计不低于</w:t>
      </w:r>
      <w:r>
        <w:rPr>
          <w:rFonts w:hint="eastAsia" w:ascii="宋体" w:hAnsi="宋体" w:cs="宋体"/>
          <w:bCs/>
          <w:color w:val="000000"/>
          <w:sz w:val="24"/>
        </w:rPr>
        <w:t>非现金基金</w:t>
      </w:r>
      <w:r>
        <w:rPr>
          <w:rFonts w:ascii="宋体" w:hAnsi="宋体" w:cs="宋体"/>
          <w:bCs/>
          <w:color w:val="000000"/>
          <w:sz w:val="24"/>
        </w:rPr>
        <w:t>资产的80%；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2</w:t>
      </w:r>
      <w:r>
        <w:rPr>
          <w:rFonts w:ascii="宋体" w:hAnsi="宋体" w:cs="宋体"/>
          <w:bCs/>
          <w:color w:val="000000"/>
          <w:sz w:val="24"/>
        </w:rPr>
        <w:t>）保持不低于基金资产净值5％的现金或者到期日在一年以内的政府债券</w:t>
      </w:r>
      <w:r>
        <w:rPr>
          <w:rFonts w:hint="eastAsia" w:ascii="宋体" w:hAnsi="宋体" w:cs="宋体"/>
          <w:bCs/>
          <w:color w:val="000000"/>
          <w:sz w:val="24"/>
        </w:rPr>
        <w:t>，其中，现金不包括结算备付金、存出保证金、应收申购款等</w:t>
      </w:r>
      <w:r>
        <w:rPr>
          <w:rFonts w:ascii="宋体" w:hAnsi="宋体" w:cs="宋体"/>
          <w:bCs/>
          <w:color w:val="000000"/>
          <w:sz w:val="24"/>
        </w:rPr>
        <w:t>；</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3</w:t>
      </w:r>
      <w:r>
        <w:rPr>
          <w:rFonts w:ascii="宋体" w:hAnsi="宋体" w:cs="宋体"/>
          <w:bCs/>
          <w:color w:val="000000"/>
          <w:sz w:val="24"/>
        </w:rPr>
        <w:t>）本基金持有一家上市公司的股票，其市值不超过基金资产净值的10％；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4</w:t>
      </w:r>
      <w:r>
        <w:rPr>
          <w:rFonts w:ascii="宋体" w:hAnsi="宋体" w:cs="宋体"/>
          <w:bCs/>
          <w:color w:val="000000"/>
          <w:sz w:val="24"/>
        </w:rPr>
        <w:t>）本基金管理人管理的全部基金持有一家公司发行的证券，不超过该证券的10％；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5</w:t>
      </w:r>
      <w:r>
        <w:rPr>
          <w:rFonts w:ascii="宋体" w:hAnsi="宋体" w:cs="宋体"/>
          <w:bCs/>
          <w:color w:val="000000"/>
          <w:sz w:val="24"/>
        </w:rPr>
        <w:t>）本基金持有的全部权证，其市值不得超过基金资产净值的3％；</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6</w:t>
      </w:r>
      <w:r>
        <w:rPr>
          <w:rFonts w:ascii="宋体" w:hAnsi="宋体" w:cs="宋体"/>
          <w:bCs/>
          <w:color w:val="000000"/>
          <w:sz w:val="24"/>
        </w:rPr>
        <w:t>）本基金管理人管理的全部基金持有的同一权证，不得超过该权证的</w:t>
      </w:r>
      <w:r>
        <w:rPr>
          <w:rFonts w:hint="eastAsia" w:ascii="宋体" w:hAnsi="宋体" w:cs="宋体"/>
          <w:bCs/>
          <w:color w:val="000000"/>
          <w:sz w:val="24"/>
        </w:rPr>
        <w:t xml:space="preserve">   </w:t>
      </w:r>
      <w:r>
        <w:rPr>
          <w:rFonts w:ascii="宋体" w:hAnsi="宋体" w:cs="宋体"/>
          <w:bCs/>
          <w:color w:val="000000"/>
          <w:sz w:val="24"/>
        </w:rPr>
        <w:t>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7</w:t>
      </w:r>
      <w:r>
        <w:rPr>
          <w:rFonts w:ascii="宋体" w:hAnsi="宋体" w:cs="宋体"/>
          <w:bCs/>
          <w:color w:val="000000"/>
          <w:sz w:val="24"/>
        </w:rPr>
        <w:t>）本基金在任何交易日买入权证的总金额，不得超过上一交易日基金资产净值的0.5％；</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8</w:t>
      </w:r>
      <w:r>
        <w:rPr>
          <w:rFonts w:ascii="宋体" w:hAnsi="宋体" w:cs="宋体"/>
          <w:bCs/>
          <w:color w:val="000000"/>
          <w:sz w:val="24"/>
        </w:rPr>
        <w:t>）本基金投资于同一原始权益人的各类资产支持证券的比例，不得超过基金资产净值的10％；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9</w:t>
      </w:r>
      <w:r>
        <w:rPr>
          <w:rFonts w:ascii="宋体" w:hAnsi="宋体" w:cs="宋体"/>
          <w:bCs/>
          <w:color w:val="000000"/>
          <w:sz w:val="24"/>
        </w:rPr>
        <w:t>）本基金持有的全部资产支持证券，其市值不得超过基金资产净值的20％；</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0</w:t>
      </w:r>
      <w:r>
        <w:rPr>
          <w:rFonts w:ascii="宋体" w:hAnsi="宋体" w:cs="宋体"/>
          <w:bCs/>
          <w:color w:val="000000"/>
          <w:sz w:val="24"/>
        </w:rPr>
        <w:t>）本基金持有的同一(指同一信用级别)资产支持证券的比例，不得超过该资产支持证券规模的10％；</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1</w:t>
      </w:r>
      <w:r>
        <w:rPr>
          <w:rFonts w:ascii="宋体" w:hAnsi="宋体" w:cs="宋体"/>
          <w:bCs/>
          <w:color w:val="000000"/>
          <w:sz w:val="24"/>
        </w:rPr>
        <w:t>）本基金管理人管理的全部基金投资于同一原始权益人的各类资产支持证券，不得超过其各类资产支持证券合计规模的10％；</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2</w:t>
      </w:r>
      <w:r>
        <w:rPr>
          <w:rFonts w:ascii="宋体" w:hAnsi="宋体" w:cs="宋体"/>
          <w:bCs/>
          <w:color w:val="000000"/>
          <w:sz w:val="24"/>
        </w:rPr>
        <w:t>）本基金应投资于信用级别评级为BBB以上(含BBB)的资产支持证券。基金持有资产支持证券期间，如果其信用等级下降、不再符合投资标准，应在评级报告发布之日起3个月内予以全部卖出；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3</w:t>
      </w:r>
      <w:r>
        <w:rPr>
          <w:rFonts w:ascii="宋体" w:hAnsi="宋体" w:cs="宋体"/>
          <w:bCs/>
          <w:color w:val="000000"/>
          <w:sz w:val="24"/>
        </w:rPr>
        <w:t>）基金财产参与股票发行申购，本基金所申报的金额不超过本基金的总资产，本基金所申报的股票数量不超过拟发行股票公司本次发行股票的总量；</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4</w:t>
      </w:r>
      <w:r>
        <w:rPr>
          <w:rFonts w:ascii="宋体" w:hAnsi="宋体" w:cs="宋体"/>
          <w:bCs/>
          <w:color w:val="000000"/>
          <w:sz w:val="24"/>
        </w:rPr>
        <w:t>）本基金进入全国银行间同业市场进行债券回购的资金余额不得超过基金资产净值的40%；</w:t>
      </w:r>
    </w:p>
    <w:p>
      <w:pPr>
        <w:spacing w:line="360" w:lineRule="auto"/>
        <w:ind w:firstLine="480"/>
        <w:rPr>
          <w:rFonts w:hint="eastAsia"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5</w:t>
      </w:r>
      <w:r>
        <w:rPr>
          <w:rFonts w:ascii="宋体" w:hAnsi="宋体" w:cs="宋体"/>
          <w:bCs/>
          <w:color w:val="000000"/>
          <w:sz w:val="24"/>
        </w:rPr>
        <w:t>）</w:t>
      </w:r>
      <w:r>
        <w:rPr>
          <w:rFonts w:hint="eastAsia" w:ascii="宋体" w:hAnsi="宋体" w:cs="宋体"/>
          <w:bCs/>
          <w:color w:val="000000"/>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16）本基金主动投资于流动性受限资产的市值合计不得超过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（17）本基金与私募类证券资管产品及中国证监会认定的其他主体为交易对手开展逆回购交易的，可接受质押品的资质要求应当与基金合同约定的投资范围保持一致；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（18）法律法规及中国证监会规定的和《基金合同》约定的其他投资限制。</w:t>
      </w:r>
    </w:p>
    <w:p>
      <w:pPr>
        <w:spacing w:line="360" w:lineRule="auto"/>
        <w:ind w:firstLine="480"/>
        <w:rPr>
          <w:rFonts w:ascii="宋体" w:hAnsi="宋体" w:cs="宋体"/>
          <w:bCs/>
          <w:color w:val="000000"/>
          <w:sz w:val="24"/>
        </w:rPr>
      </w:pPr>
      <w:r>
        <w:rPr>
          <w:rFonts w:hint="eastAsia" w:ascii="宋体" w:hAnsi="宋体" w:cs="宋体"/>
          <w:bCs/>
          <w:color w:val="000000"/>
          <w:sz w:val="24"/>
        </w:rPr>
        <w:t>除上述第（2）、（12）、（16）、（17）项外，</w:t>
      </w:r>
      <w:r>
        <w:rPr>
          <w:rFonts w:ascii="宋体" w:hAnsi="宋体" w:cs="宋体"/>
          <w:bCs/>
          <w:color w:val="000000"/>
          <w:sz w:val="24"/>
        </w:rPr>
        <w:t>因证券市场波动、上市公司合并、基金规模变动、股权分置改革中支付对价等基金管理人之外的因素致使基金投资比例不符合上述规定投资比例的，基金管理人应当在10个交易日内进行调整。</w:t>
      </w:r>
    </w:p>
    <w:p>
      <w:pPr>
        <w:spacing w:line="360" w:lineRule="auto"/>
        <w:ind w:firstLine="480"/>
        <w:rPr>
          <w:rFonts w:ascii="宋体" w:hAnsi="宋体" w:cs="宋体"/>
          <w:bCs/>
          <w:color w:val="000000"/>
          <w:sz w:val="24"/>
        </w:rPr>
      </w:pPr>
      <w:r>
        <w:rPr>
          <w:rFonts w:ascii="宋体" w:hAnsi="宋体" w:cs="宋体"/>
          <w:bCs/>
          <w:color w:val="000000"/>
          <w:sz w:val="24"/>
        </w:rPr>
        <w:t>基金管理人应当自基金合同生效之日起6个月内使基金的投资组合比例符合基金合同的有关约定。基金托管人对基金的投资的监督与检查自基金合同生效之日起开始。</w:t>
      </w:r>
    </w:p>
    <w:p>
      <w:pPr>
        <w:spacing w:line="360" w:lineRule="auto"/>
        <w:ind w:firstLine="480"/>
        <w:rPr>
          <w:rFonts w:hint="eastAsia" w:ascii="宋体" w:hAnsi="宋体" w:cs="宋体"/>
          <w:bCs/>
          <w:color w:val="000000"/>
          <w:sz w:val="24"/>
        </w:rPr>
      </w:pPr>
      <w:r>
        <w:rPr>
          <w:rFonts w:ascii="宋体" w:hAnsi="宋体" w:cs="宋体"/>
          <w:bCs/>
          <w:color w:val="000000"/>
          <w:sz w:val="24"/>
        </w:rPr>
        <w:t>法律法规或监管部门取消上述限制，如适用于本基金，基金管理人在履行适当程序后，则本基金投资不再受相关限制。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五、业绩比较基准</w:t>
      </w:r>
    </w:p>
    <w:p>
      <w:pPr>
        <w:spacing w:line="360" w:lineRule="auto"/>
        <w:ind w:firstLine="480"/>
        <w:rPr>
          <w:rFonts w:ascii="宋体" w:hAnsi="宋体" w:cs="宋体"/>
          <w:bCs/>
          <w:color w:val="000000"/>
          <w:sz w:val="24"/>
        </w:rPr>
      </w:pPr>
      <w:r>
        <w:rPr>
          <w:rFonts w:hint="eastAsia" w:ascii="宋体" w:hAnsi="宋体" w:cs="宋体"/>
          <w:bCs/>
          <w:color w:val="000000"/>
          <w:sz w:val="24"/>
        </w:rPr>
        <w:t>1、</w:t>
      </w:r>
      <w:r>
        <w:rPr>
          <w:rFonts w:ascii="宋体" w:hAnsi="宋体" w:cs="宋体"/>
          <w:bCs/>
          <w:color w:val="000000"/>
          <w:sz w:val="24"/>
        </w:rPr>
        <w:t>本基金投资业绩比较基准</w:t>
      </w:r>
    </w:p>
    <w:p>
      <w:pPr>
        <w:spacing w:line="360" w:lineRule="auto"/>
        <w:ind w:firstLine="480"/>
        <w:rPr>
          <w:rFonts w:ascii="宋体" w:hAnsi="宋体" w:cs="宋体"/>
          <w:bCs/>
          <w:color w:val="000000"/>
          <w:sz w:val="24"/>
        </w:rPr>
      </w:pPr>
      <w:r>
        <w:rPr>
          <w:rFonts w:ascii="宋体" w:hAnsi="宋体" w:cs="宋体"/>
          <w:bCs/>
          <w:color w:val="000000"/>
          <w:sz w:val="24"/>
        </w:rPr>
        <w:t>本基金的业绩比较基准为</w:t>
      </w:r>
      <w:r>
        <w:rPr>
          <w:rFonts w:hint="eastAsia" w:ascii="宋体" w:hAnsi="宋体" w:cs="宋体"/>
          <w:bCs/>
          <w:color w:val="000000"/>
          <w:sz w:val="24"/>
        </w:rPr>
        <w:t>：中债综合全价（总值）指数</w:t>
      </w:r>
      <w:r>
        <w:rPr>
          <w:rFonts w:ascii="宋体" w:hAnsi="宋体" w:cs="宋体"/>
          <w:bCs/>
          <w:color w:val="000000"/>
          <w:sz w:val="24"/>
        </w:rPr>
        <w:t>。</w:t>
      </w:r>
    </w:p>
    <w:p>
      <w:pPr>
        <w:spacing w:line="360" w:lineRule="auto"/>
        <w:ind w:firstLine="480"/>
        <w:rPr>
          <w:rFonts w:hint="eastAsia" w:ascii="宋体" w:hAnsi="宋体" w:cs="宋体"/>
          <w:bCs/>
          <w:color w:val="000000"/>
          <w:sz w:val="24"/>
        </w:rPr>
      </w:pPr>
      <w:r>
        <w:rPr>
          <w:rFonts w:ascii="宋体" w:hAnsi="宋体" w:cs="宋体"/>
          <w:bCs/>
          <w:color w:val="000000"/>
          <w:sz w:val="24"/>
        </w:rPr>
        <w:t>如果今后法律法规发生变化，或指数编制单位停止编制该指数、更改指数名称，或有更权威的、更能为市场普遍接受的业绩比较基准推出，本基金管理人经与基金托管人协商一致，本基金可以在报中国证监会备案后变更业绩比较基准并及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w:t>
      </w:r>
      <w:r>
        <w:rPr>
          <w:rFonts w:ascii="宋体" w:hAnsi="宋体" w:cs="宋体"/>
          <w:bCs/>
          <w:color w:val="000000"/>
          <w:sz w:val="24"/>
        </w:rPr>
        <w:t>选择比较基准的理由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中债综合全价（总值）指数由中央国债登记结算公司编制，该指数旨在综合反映债券全市场整体价格和投资回报情况。该指数涵盖了银行间市场和交易所市场，成份券种包括除资产支持债券和部分在交易所发行上市的债券以外的其他所有债券，具有广泛的市场代表性，能够反映债券市场总体走势，适合作为本基金的业绩比较基准。</w:t>
      </w:r>
    </w:p>
    <w:p>
      <w:pPr>
        <w:spacing w:line="360" w:lineRule="auto"/>
        <w:ind w:firstLine="480"/>
        <w:rPr>
          <w:rFonts w:ascii="宋体" w:hAnsi="宋体" w:cs="宋体"/>
          <w:bCs/>
          <w:color w:val="000000"/>
          <w:sz w:val="24"/>
        </w:rPr>
      </w:pPr>
      <w:r>
        <w:rPr>
          <w:rFonts w:hint="eastAsia" w:ascii="宋体" w:hAnsi="宋体" w:cs="宋体"/>
          <w:bCs/>
          <w:color w:val="000000"/>
          <w:sz w:val="24"/>
        </w:rPr>
        <w:t>六、风险收益特征</w:t>
      </w:r>
    </w:p>
    <w:p>
      <w:pPr>
        <w:spacing w:line="360" w:lineRule="auto"/>
        <w:ind w:firstLine="480"/>
        <w:rPr>
          <w:rFonts w:hint="eastAsia" w:ascii="宋体" w:hAnsi="宋体" w:cs="宋体"/>
          <w:bCs/>
          <w:color w:val="000000"/>
          <w:sz w:val="24"/>
        </w:rPr>
      </w:pPr>
      <w:r>
        <w:rPr>
          <w:rFonts w:ascii="宋体" w:hAnsi="宋体" w:cs="宋体"/>
          <w:bCs/>
          <w:color w:val="000000"/>
          <w:sz w:val="24"/>
        </w:rPr>
        <w:t>本基金为债券型基金，其风险和</w:t>
      </w:r>
      <w:r>
        <w:rPr>
          <w:rFonts w:hint="eastAsia" w:ascii="宋体" w:hAnsi="宋体" w:cs="宋体"/>
          <w:bCs/>
          <w:color w:val="000000"/>
          <w:sz w:val="24"/>
        </w:rPr>
        <w:t>预期收益水平</w:t>
      </w:r>
      <w:r>
        <w:rPr>
          <w:rFonts w:ascii="宋体" w:hAnsi="宋体" w:cs="宋体"/>
          <w:bCs/>
          <w:color w:val="000000"/>
          <w:sz w:val="24"/>
        </w:rPr>
        <w:t>低于</w:t>
      </w:r>
      <w:r>
        <w:rPr>
          <w:rFonts w:hint="eastAsia" w:ascii="宋体" w:hAnsi="宋体" w:cs="宋体"/>
          <w:bCs/>
          <w:color w:val="000000"/>
          <w:sz w:val="24"/>
        </w:rPr>
        <w:t>股票型基金、</w:t>
      </w:r>
      <w:r>
        <w:rPr>
          <w:rFonts w:ascii="宋体" w:hAnsi="宋体" w:cs="宋体"/>
          <w:bCs/>
          <w:color w:val="000000"/>
          <w:sz w:val="24"/>
        </w:rPr>
        <w:t>混合型基金，高于货币市场基金。</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七、投资决策体制和流程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1、投资决策体制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本基金管理人建立了包括投资决策委员会、研究部、交易部等部门的完整投资管理体系。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决策委员会是负责基金资产运作的最高决策机构，根据基金合同、法律法规以及公司有关规章制度，确定公司所管理基金的投资决策程序、权限设置和投资原则；确定基金的总体投资方案；负责基金资产的风险控制，审批重大投资事项；监督并考核基金经理。投资部门及基金经理根据投资决策委员会的决策，构建投资组合、并负责组织实施、追踪和调整，以实现基金的投资目标。研究部提供相关的投资策略建议和证券选择建议。交易部根据基金经理的交易指令，进行基金资产的日常交易，对交易情况及时反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w:t>
      </w:r>
      <w:r>
        <w:rPr>
          <w:rFonts w:ascii="宋体" w:hAnsi="宋体" w:cs="宋体"/>
          <w:bCs/>
          <w:color w:val="000000"/>
          <w:sz w:val="24"/>
        </w:rPr>
        <w:t>投资</w:t>
      </w:r>
      <w:r>
        <w:rPr>
          <w:rFonts w:hint="eastAsia" w:ascii="宋体" w:hAnsi="宋体" w:cs="宋体"/>
          <w:bCs/>
          <w:color w:val="000000"/>
          <w:sz w:val="24"/>
        </w:rPr>
        <w:t>流</w:t>
      </w:r>
      <w:r>
        <w:rPr>
          <w:rFonts w:ascii="宋体" w:hAnsi="宋体" w:cs="宋体"/>
          <w:bCs/>
          <w:color w:val="000000"/>
          <w:sz w:val="24"/>
        </w:rPr>
        <w:t>程</w:t>
      </w:r>
    </w:p>
    <w:p>
      <w:pPr>
        <w:spacing w:line="360" w:lineRule="auto"/>
        <w:ind w:firstLine="480"/>
      </w:pPr>
      <w:r>
        <w:rPr>
          <w:rFonts w:hint="eastAsia" w:ascii="宋体" w:hAnsi="宋体" w:cs="宋体"/>
          <w:bCs/>
          <w:color w:val="000000"/>
          <w:sz w:val="24"/>
        </w:rPr>
        <w:t>本基金采用投资决策委员会领导下的团队式投资管理体制，具体的投资管理流程如下图所示。</w:t>
      </w:r>
    </w:p>
    <w:p>
      <w:pPr>
        <w:keepNext/>
        <w:spacing w:after="120" w:line="400" w:lineRule="atLeast"/>
        <w:jc w:val="center"/>
        <w:rPr>
          <w:rFonts w:hint="eastAsia"/>
          <w:szCs w:val="21"/>
        </w:rPr>
      </w:pPr>
      <w:r>
        <mc:AlternateContent>
          <mc:Choice Requires="wpg">
            <w:drawing>
              <wp:anchor distT="0" distB="0" distL="0" distR="0" simplePos="0" relativeHeight="251658240" behindDoc="0" locked="0" layoutInCell="1" allowOverlap="1">
                <wp:simplePos x="0" y="0"/>
                <wp:positionH relativeFrom="column">
                  <wp:posOffset>2971800</wp:posOffset>
                </wp:positionH>
                <wp:positionV relativeFrom="paragraph">
                  <wp:posOffset>896620</wp:posOffset>
                </wp:positionV>
                <wp:extent cx="571500" cy="544830"/>
                <wp:effectExtent l="0" t="0" r="0" b="7620"/>
                <wp:wrapNone/>
                <wp:docPr id="3" name="组合 2"/>
                <wp:cNvGraphicFramePr/>
                <a:graphic xmlns:a="http://schemas.openxmlformats.org/drawingml/2006/main">
                  <a:graphicData uri="http://schemas.microsoft.com/office/word/2010/wordprocessingGroup">
                    <wpg:wgp>
                      <wpg:cNvGrpSpPr/>
                      <wpg:grpSpPr>
                        <a:xfrm>
                          <a:off x="0" y="0"/>
                          <a:ext cx="571500" cy="544830"/>
                          <a:chOff x="4680" y="1412"/>
                          <a:chExt cx="900" cy="858"/>
                        </a:xfrm>
                      </wpg:grpSpPr>
                      <pic:pic xmlns:pic="http://schemas.openxmlformats.org/drawingml/2006/picture">
                        <pic:nvPicPr>
                          <pic:cNvPr id="1" name="图片 3"/>
                          <pic:cNvPicPr>
                            <a:picLocks noChangeAspect="1"/>
                          </pic:cNvPicPr>
                        </pic:nvPicPr>
                        <pic:blipFill>
                          <a:blip r:embed="rId10"/>
                          <a:stretch>
                            <a:fillRect/>
                          </a:stretch>
                        </pic:blipFill>
                        <pic:spPr>
                          <a:xfrm>
                            <a:off x="4680" y="1910"/>
                            <a:ext cx="899" cy="359"/>
                          </a:xfrm>
                          <a:prstGeom prst="rect">
                            <a:avLst/>
                          </a:prstGeom>
                          <a:noFill/>
                          <a:ln>
                            <a:noFill/>
                          </a:ln>
                        </pic:spPr>
                      </pic:pic>
                      <pic:pic xmlns:pic="http://schemas.openxmlformats.org/drawingml/2006/picture">
                        <pic:nvPicPr>
                          <pic:cNvPr id="2" name="图片 4"/>
                          <pic:cNvPicPr>
                            <a:picLocks noChangeAspect="1"/>
                          </pic:cNvPicPr>
                        </pic:nvPicPr>
                        <pic:blipFill>
                          <a:blip r:embed="rId10"/>
                          <a:stretch>
                            <a:fillRect/>
                          </a:stretch>
                        </pic:blipFill>
                        <pic:spPr>
                          <a:xfrm>
                            <a:off x="4680" y="1412"/>
                            <a:ext cx="899" cy="389"/>
                          </a:xfrm>
                          <a:prstGeom prst="rect">
                            <a:avLst/>
                          </a:prstGeom>
                          <a:noFill/>
                          <a:ln>
                            <a:noFill/>
                          </a:ln>
                        </pic:spPr>
                      </pic:pic>
                    </wpg:wgp>
                  </a:graphicData>
                </a:graphic>
              </wp:anchor>
            </w:drawing>
          </mc:Choice>
          <mc:Fallback>
            <w:pict>
              <v:group id="组合 2" o:spid="_x0000_s1026" o:spt="203" style="position:absolute;left:0pt;margin-left:234pt;margin-top:70.6pt;height:42.9pt;width:45pt;z-index:251658240;mso-width-relative:page;mso-height-relative:page;" coordorigin="4680,1412" coordsize="900,858" o:gfxdata="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jiIJQrMAAAAhAQAAGQAAAGRycy9fcmVscy9l&#10;Mm9Eb2MueG1sLnJlbHOFj8sKwjAQRfeC/xBmb9O6EJGm3YjQrdQPGJJpG2weJFHs3xtwY0FwOfdy&#10;z2Hq9mVm9qQQtbMCqqIERlY6pe0o4NZfdkdgMaFVODtLAhaK0DbbTX2lGVMexUn7yDLFRgFTSv7E&#10;eZQTGYyF82RzM7hgMOUzjNyjvONIfF+WBx6+GdCsmKxTAkKnKmD94rP5P9sNg5Z0dvJhyKYfCq5N&#10;dmcghpGSAENK4yesCjID8Kbmq8eaN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">
                <o:lock v:ext="edit" text="t" aspectratio="f"/>
                <v:shape id="图片 3" o:spid="_x0000_s1026" o:spt="75" alt="" type="#_x0000_t75" style="position:absolute;left:4680;top:1910;height:359;width:899;" filled="f" o:preferrelative="t" stroked="f" coordsize="21600,21600" o:gfxdata="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6I3jugAAANoA&#10;AAAPAAAAAAAAAAEAIAAAACIAAABkcnMvZG93bnJldi54bWxQSwECFAAUAAAACACHTuJAMy8FnjsA&#10;AAA5AAAAEAAAAAAAAAABACAAAAAJAQAAZHJzL3NoYXBleG1sLnhtbFBLBQYAAAAABgAGAFsBAACz&#10;AwAAAAA=&#10;">
                  <v:fill on="f" focussize="0,0"/>
                  <v:stroke on="f"/>
                  <v:imagedata r:id="rId10" o:title=""/>
                  <o:lock v:ext="edit" aspectratio="t"/>
                </v:shape>
                <v:shape id="图片 4" o:spid="_x0000_s1026" o:spt="75" alt="" type="#_x0000_t75" style="position:absolute;left:4680;top:1412;height:389;width:899;" filled="f" o:preferrelative="t" stroked="f" coordsize="21600,21600" o:gfxdata="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OhOUvQAA&#10;ANoAAAAPAAAAAAAAAAEAIAAAACIAAABkcnMvZG93bnJldi54bWxQSwECFAAUAAAACACHTuJAMy8F&#10;njsAAAA5AAAAEAAAAAAAAAABACAAAAAMAQAAZHJzL3NoYXBleG1sLnhtbFBLBQYAAAAABgAGAFsB&#10;AAC2AwAAAAA=&#10;">
                  <v:fill on="f" focussize="0,0"/>
                  <v:stroke on="f"/>
                  <v:imagedata r:id="rId10" o:title=""/>
                  <o:lock v:ext="edit" aspectratio="t"/>
                </v:shape>
              </v:group>
            </w:pict>
          </mc:Fallback>
        </mc:AlternateContent>
      </w:r>
      <w:r>
        <w:drawing>
          <wp:inline distT="0" distB="0" distL="114300" distR="114300">
            <wp:extent cx="4569460" cy="3504565"/>
            <wp:effectExtent l="0" t="0" r="254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4569460" cy="3504565"/>
                    </a:xfrm>
                    <a:prstGeom prst="rect">
                      <a:avLst/>
                    </a:prstGeom>
                    <a:solidFill>
                      <a:srgbClr val="FFFFFF"/>
                    </a:solidFill>
                    <a:ln>
                      <a:noFill/>
                    </a:ln>
                  </pic:spPr>
                </pic:pic>
              </a:graphicData>
            </a:graphic>
          </wp:inline>
        </w:drawing>
      </w:r>
    </w:p>
    <w:p>
      <w:pPr>
        <w:pStyle w:val="8"/>
        <w:spacing w:line="360" w:lineRule="auto"/>
        <w:ind w:firstLine="360"/>
        <w:jc w:val="center"/>
        <w:rPr>
          <w:rFonts w:hint="eastAsia"/>
          <w:bCs/>
          <w:color w:val="000000"/>
          <w:sz w:val="24"/>
        </w:rPr>
      </w:pPr>
      <w:r>
        <w:rPr>
          <w:rFonts w:hint="eastAsia"/>
          <w:szCs w:val="21"/>
        </w:rPr>
        <w:t>基金投资管理流程示意图</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）研究分析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的研究和投资部门广泛地参考和利用外部的研究成果，了解国家宏观货币和财政政策，对资金利率走势及债券发行人的信用风险进行监测，并建立相关研究模型。基金管理人的研究部门撰写宏观策略报告、利率监测报告、债券发行人资信研究报告以及拟投资上市公司投资价值分析报告等，作为投资决策的重要依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基金管理人的研究和投资部门定期或不定期举行投资研究联席会议，讨论宏观经济环境、利率走势、债券发行人信用级别变化以及拟投资上市公司情况等相关问题，作为投资决策的依据。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w:t>
      </w:r>
      <w:r>
        <w:rPr>
          <w:rFonts w:ascii="宋体" w:hAnsi="宋体" w:cs="宋体"/>
          <w:bCs/>
          <w:color w:val="000000"/>
          <w:sz w:val="24"/>
        </w:rPr>
        <w:t>投资决策</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投资决策委员会根据基金合同、相关法律法规以及公司有关规章制度确定基金的投资原则以及基金的资产配置比例范围，审批总体投资方案以及重大投资事项。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经理根据投资决策委员会确定的投资对象、投资结构、持仓比例范围等总体投资方案，并结合研究人员提供的投资建议、自己的研究与分析判断、以及基金申购赎回情况和市场整体情况，构建并优化投资组合。对于超出权限范围的投资，按照公司权限审批流程，提交主管投资领导或投资决策委员会审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w:t>
      </w:r>
      <w:r>
        <w:rPr>
          <w:rFonts w:ascii="宋体" w:hAnsi="宋体" w:cs="宋体"/>
          <w:bCs/>
          <w:color w:val="000000"/>
          <w:sz w:val="24"/>
        </w:rPr>
        <w:t>交易执行</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交易部接受基金经理下达的交易指令。交易部接到指令后，首先应对指令予以审核，然后再具体执行。基金经理下达的交易指令不明确、不规范或者不合规的，交易部可以暂不执行指令，并即时通知基金经理或相关人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交易部应根据市场情况随时向基金经理通报交易指令的执行情况及对该项交易的判断和建议，以便基金经理及时调整交易策略。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w:t>
      </w:r>
      <w:r>
        <w:rPr>
          <w:rFonts w:ascii="宋体" w:hAnsi="宋体" w:cs="宋体"/>
          <w:bCs/>
          <w:color w:val="000000"/>
          <w:sz w:val="24"/>
        </w:rPr>
        <w:t>投资</w:t>
      </w:r>
      <w:r>
        <w:rPr>
          <w:rFonts w:hint="eastAsia" w:ascii="宋体" w:hAnsi="宋体" w:cs="宋体"/>
          <w:bCs/>
          <w:color w:val="000000"/>
          <w:sz w:val="24"/>
        </w:rPr>
        <w:t>回顾</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绩效评估小组定期对基金绩效进行评估。基金经理定期向投资决策委员会回顾前期投资运作情况，并提出下期的操作思路，作为投资决策委员会决策的参考。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八、基金管理人代表基金行使股东权利的处理原则及方法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1、不谋求对上市公司的控股，不参与所投资上市公司的经营管理；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2、有利于基金资产的安全与增值；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3、基金管理人按照国家有关规定代表基金独立行使股东权利，保护基金份额持有人的利益。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4、基金管理人按照国家有关规定代表基金独立行使债权人权利，保护基金份额持有人的利益。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九、基金的融资融券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本基金可以根据届时有效的有关法律法规和政策的规定进行融资融券。</w:t>
      </w:r>
    </w:p>
    <w:p>
      <w:pPr>
        <w:spacing w:line="360" w:lineRule="auto"/>
        <w:ind w:firstLine="480"/>
        <w:rPr>
          <w:rFonts w:ascii="宋体" w:hAnsi="宋体" w:cs="宋体"/>
          <w:bCs/>
          <w:color w:val="000000"/>
          <w:sz w:val="24"/>
        </w:rPr>
      </w:pPr>
      <w:r>
        <w:rPr>
          <w:rFonts w:hint="eastAsia" w:ascii="宋体" w:hAnsi="宋体" w:cs="宋体"/>
          <w:bCs/>
          <w:color w:val="000000"/>
          <w:sz w:val="24"/>
        </w:rPr>
        <w:t>十、基金的投资组合报告</w:t>
      </w:r>
    </w:p>
    <w:p>
      <w:pPr>
        <w:spacing w:line="360" w:lineRule="auto"/>
        <w:ind w:firstLine="480"/>
        <w:rPr>
          <w:rFonts w:ascii="宋体" w:hAnsi="宋体" w:cs="宋体"/>
          <w:bCs/>
          <w:color w:val="000000"/>
          <w:sz w:val="24"/>
        </w:rPr>
      </w:pPr>
      <w:bookmarkStart w:id="11" w:name="m508_05_1678"/>
      <w:r>
        <w:rPr>
          <w:rFonts w:hint="eastAsia" w:ascii="宋体" w:hAnsi="宋体" w:cs="宋体"/>
          <w:bCs/>
          <w:color w:val="000000"/>
          <w:sz w:val="24"/>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80"/>
        <w:rPr>
          <w:rFonts w:ascii="宋体" w:hAnsi="宋体" w:cs="宋体"/>
          <w:bCs/>
          <w:color w:val="000000"/>
          <w:sz w:val="24"/>
        </w:rPr>
      </w:pPr>
      <w:r>
        <w:rPr>
          <w:rFonts w:hint="eastAsia" w:ascii="宋体" w:hAnsi="宋体" w:cs="宋体"/>
          <w:bCs/>
          <w:color w:val="000000"/>
          <w:sz w:val="24"/>
        </w:rPr>
        <w:t>基金托管人中信银行股份有限公司根据本基金合同规定，于2019年7月15日复核了本报告中的财务指标、净值表现和投资组合报告等内容，保证复核内容不存在虚假记载、误导性陈述或者重大遗漏。</w:t>
      </w:r>
    </w:p>
    <w:p>
      <w:pPr>
        <w:spacing w:line="360" w:lineRule="auto"/>
        <w:ind w:firstLine="480"/>
        <w:rPr>
          <w:rFonts w:ascii="宋体" w:hAnsi="宋体" w:cs="宋体"/>
          <w:bCs/>
          <w:color w:val="000000"/>
          <w:sz w:val="24"/>
        </w:rPr>
      </w:pPr>
      <w:r>
        <w:rPr>
          <w:rFonts w:hint="eastAsia" w:ascii="宋体" w:hAnsi="宋体" w:cs="宋体"/>
          <w:bCs/>
          <w:color w:val="000000"/>
          <w:sz w:val="24"/>
        </w:rPr>
        <w:t>本投资组合报告所载数据截至2019年6月30日，本报告所列财务数据未经审计。</w:t>
      </w:r>
    </w:p>
    <w:p>
      <w:pPr>
        <w:spacing w:line="360" w:lineRule="auto"/>
        <w:ind w:firstLine="480" w:firstLineChars="200"/>
        <w:rPr>
          <w:rFonts w:ascii="宋体" w:hAnsi="宋体"/>
          <w:bCs/>
          <w:color w:val="000000"/>
          <w:sz w:val="24"/>
        </w:rPr>
      </w:pPr>
      <w:r>
        <w:rPr>
          <w:rFonts w:hint="eastAsia" w:ascii="宋体" w:hAnsi="宋体"/>
          <w:bCs/>
          <w:color w:val="000000"/>
          <w:sz w:val="24"/>
        </w:rPr>
        <w:t>1、报告期末基金资产组合情况</w:t>
      </w:r>
    </w:p>
    <w:tbl>
      <w:tblPr>
        <w:tblStyle w:val="26"/>
        <w:tblW w:w="7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2880"/>
        <w:gridCol w:w="208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序号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项目</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金额（元）</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占基金总资产的比例（%）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1</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权益投资</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其中：股票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2</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基金投资</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3</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固定收益投资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48,143,535.41</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90.17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其中：债券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48,143,535.41</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90.17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资产支持证券</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4</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贵金属投资</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5</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金融衍生品投资</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6</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买入返售金融资产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其中：买断式回购的买入返售金融资产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7</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银行存款和结算备付金合计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2,209,915.34</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8</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其他资产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3,038,810.63</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宋体" w:hAnsi="宋体"/>
                <w:szCs w:val="21"/>
              </w:rPr>
            </w:pPr>
            <w:r>
              <w:rPr>
                <w:rFonts w:hint="eastAsia" w:ascii="宋体" w:hAnsi="宋体"/>
                <w:szCs w:val="21"/>
              </w:rPr>
              <w:t>9</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ascii="宋体" w:hAnsi="宋体"/>
                <w:szCs w:val="21"/>
              </w:rPr>
            </w:pPr>
            <w:r>
              <w:rPr>
                <w:rFonts w:hint="eastAsia" w:ascii="宋体" w:hAnsi="宋体"/>
                <w:szCs w:val="21"/>
              </w:rPr>
              <w:t xml:space="preserve">合计    </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53,392,261.38</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jc w:val="right"/>
              <w:rPr>
                <w:rFonts w:ascii="宋体" w:hAnsi="宋体"/>
                <w:szCs w:val="21"/>
              </w:rPr>
            </w:pPr>
            <w:r>
              <w:rPr>
                <w:rFonts w:hint="eastAsia" w:ascii="宋体" w:hAnsi="宋体"/>
                <w:lang w:eastAsia="zh-Hans"/>
              </w:rPr>
              <w:t>100.00</w:t>
            </w:r>
          </w:p>
        </w:tc>
      </w:tr>
    </w:tbl>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2、报告期末按行业分类的股票投资组合</w:t>
      </w:r>
    </w:p>
    <w:p>
      <w:pPr>
        <w:spacing w:line="360" w:lineRule="auto"/>
        <w:ind w:firstLine="480" w:firstLineChars="200"/>
        <w:rPr>
          <w:rFonts w:ascii="宋体" w:hAnsi="宋体"/>
          <w:bCs/>
          <w:color w:val="000000"/>
          <w:sz w:val="24"/>
        </w:rPr>
      </w:pPr>
      <w:r>
        <w:rPr>
          <w:rFonts w:hint="eastAsia" w:ascii="宋体" w:hAnsi="宋体"/>
          <w:bCs/>
          <w:color w:val="000000"/>
          <w:sz w:val="24"/>
        </w:rPr>
        <w:t>（1）报告期末按行业分类的境内股票投资组合</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（2）报告期末按行业分类的港股通投资股票投资组合</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3、报告期末按公允价值占基金资产净值比例大小排序的前十名股票投资明细</w:t>
      </w:r>
    </w:p>
    <w:p>
      <w:pPr>
        <w:spacing w:line="360" w:lineRule="auto"/>
        <w:ind w:firstLine="480" w:firstLineChars="200"/>
        <w:rPr>
          <w:rFonts w:ascii="宋体" w:hAnsi="宋体"/>
          <w:bCs/>
          <w:color w:val="000000"/>
          <w:sz w:val="24"/>
        </w:rPr>
      </w:pPr>
      <w:r>
        <w:rPr>
          <w:rFonts w:hint="eastAsia" w:ascii="宋体" w:hAnsi="宋体"/>
          <w:bCs/>
          <w:color w:val="000000"/>
          <w:sz w:val="24"/>
        </w:rPr>
        <w:t xml:space="preserve">无。 </w:t>
      </w:r>
    </w:p>
    <w:p>
      <w:pPr>
        <w:spacing w:line="360" w:lineRule="auto"/>
        <w:ind w:firstLine="480" w:firstLineChars="200"/>
        <w:rPr>
          <w:rFonts w:ascii="宋体" w:hAnsi="宋体"/>
          <w:bCs/>
          <w:color w:val="000000"/>
          <w:sz w:val="24"/>
        </w:rPr>
      </w:pPr>
      <w:r>
        <w:rPr>
          <w:rFonts w:hint="eastAsia" w:ascii="宋体" w:hAnsi="宋体"/>
          <w:bCs/>
          <w:color w:val="000000"/>
          <w:sz w:val="24"/>
        </w:rPr>
        <w:t>4、报告期末按债券品种分类的债券投资组合</w:t>
      </w:r>
    </w:p>
    <w:tbl>
      <w:tblPr>
        <w:tblStyle w:val="26"/>
        <w:tblW w:w="853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676"/>
        <w:gridCol w:w="2624"/>
        <w:gridCol w:w="2625"/>
        <w:gridCol w:w="26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序号</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40" w:rightChars="19"/>
              <w:jc w:val="center"/>
              <w:rPr>
                <w:rFonts w:ascii="宋体" w:hAnsi="宋体"/>
                <w:szCs w:val="21"/>
              </w:rPr>
            </w:pPr>
            <w:r>
              <w:rPr>
                <w:rFonts w:hint="eastAsia" w:ascii="宋体" w:hAnsi="宋体"/>
                <w:spacing w:val="-4"/>
                <w:szCs w:val="21"/>
              </w:rPr>
              <w:t>债券品种</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公允价值（元）</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占基金资产净值比例（%）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1</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szCs w:val="21"/>
              </w:rPr>
              <w:t>国家债券</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2,766,184.00</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5.21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2</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szCs w:val="21"/>
              </w:rPr>
              <w:t>央行票据</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3</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szCs w:val="21"/>
              </w:rPr>
              <w:t>金融债券</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4,002,400.00</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2" w:rightChars="-1"/>
              <w:jc w:val="left"/>
              <w:rPr>
                <w:rFonts w:ascii="宋体" w:hAnsi="宋体"/>
                <w:spacing w:val="-4"/>
                <w:szCs w:val="21"/>
              </w:rPr>
            </w:pPr>
            <w:r>
              <w:rPr>
                <w:rFonts w:hint="eastAsia" w:ascii="宋体" w:hAnsi="宋体"/>
                <w:szCs w:val="21"/>
              </w:rPr>
              <w:t>其中：政策性金融债</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4,002,400.00</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4</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szCs w:val="21"/>
              </w:rPr>
              <w:t>企业债券</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14,293,350.00</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26.91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5</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2" w:rightChars="-1"/>
              <w:jc w:val="left"/>
              <w:rPr>
                <w:rFonts w:ascii="宋体" w:hAnsi="宋体"/>
                <w:spacing w:val="-4"/>
                <w:szCs w:val="21"/>
              </w:rPr>
            </w:pPr>
            <w:r>
              <w:rPr>
                <w:rFonts w:hint="eastAsia" w:ascii="宋体" w:hAnsi="宋体"/>
                <w:szCs w:val="21"/>
              </w:rPr>
              <w:t>企业短期融资券</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12,062,200.00</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22.71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6</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color w:val="000000"/>
                <w:szCs w:val="21"/>
              </w:rPr>
              <w:t>中期票据</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8,121,000.00</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15.29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7</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szCs w:val="21"/>
              </w:rPr>
              <w:t>可转债</w:t>
            </w:r>
            <w:r>
              <w:rPr>
                <w:rFonts w:hint="eastAsia" w:ascii="宋体" w:hAnsi="宋体" w:cs="Consolas"/>
                <w:kern w:val="0"/>
                <w:szCs w:val="21"/>
              </w:rPr>
              <w:t>（可交换债）</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6,898,401.41</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12.99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8</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cs="Consolas"/>
                <w:kern w:val="0"/>
                <w:szCs w:val="21"/>
              </w:rPr>
              <w:t>同业存单</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cs="Consolas"/>
                <w:kern w:val="0"/>
                <w:szCs w:val="21"/>
              </w:rPr>
            </w:pPr>
            <w:r>
              <w:rPr>
                <w:rFonts w:hint="eastAsia" w:ascii="宋体" w:hAnsi="宋体"/>
                <w:lang w:eastAsia="zh-Hans"/>
              </w:rPr>
              <w:t>-</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cs="Consolas"/>
                <w:kern w:val="0"/>
                <w:szCs w:val="21"/>
              </w:rPr>
            </w:pPr>
            <w:r>
              <w:rPr>
                <w:rFonts w:hint="eastAsia" w:ascii="宋体" w:hAnsi="宋体"/>
                <w:lang w:eastAsia="zh-Han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9</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szCs w:val="21"/>
              </w:rPr>
              <w:t>其他</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63" w:leftChars="-30" w:right="-170" w:rightChars="-81"/>
              <w:jc w:val="center"/>
              <w:rPr>
                <w:rFonts w:ascii="宋体" w:hAnsi="宋体"/>
                <w:szCs w:val="21"/>
              </w:rPr>
            </w:pPr>
            <w:r>
              <w:rPr>
                <w:rFonts w:hint="eastAsia" w:ascii="宋体" w:hAnsi="宋体"/>
                <w:szCs w:val="21"/>
              </w:rPr>
              <w:t>10</w:t>
            </w:r>
          </w:p>
        </w:tc>
        <w:tc>
          <w:tcPr>
            <w:tcW w:w="2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right="1409" w:rightChars="671"/>
              <w:jc w:val="left"/>
              <w:rPr>
                <w:rFonts w:ascii="宋体" w:hAnsi="宋体"/>
                <w:spacing w:val="-4"/>
                <w:szCs w:val="21"/>
              </w:rPr>
            </w:pPr>
            <w:r>
              <w:rPr>
                <w:rFonts w:hint="eastAsia" w:ascii="宋体" w:hAnsi="宋体"/>
                <w:szCs w:val="21"/>
              </w:rPr>
              <w:t>合计</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48,143,535.41</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ind w:right="120"/>
              <w:jc w:val="right"/>
              <w:rPr>
                <w:rFonts w:ascii="宋体" w:hAnsi="宋体"/>
                <w:szCs w:val="21"/>
              </w:rPr>
            </w:pPr>
            <w:r>
              <w:rPr>
                <w:rFonts w:hint="eastAsia" w:ascii="宋体" w:hAnsi="宋体"/>
                <w:lang w:eastAsia="zh-Hans"/>
              </w:rPr>
              <w:t>90.65</w:t>
            </w:r>
          </w:p>
        </w:tc>
      </w:tr>
    </w:tbl>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5、报告期末按公允价值占基金资产净值比例大小排名的前五名债券投资明细</w:t>
      </w:r>
    </w:p>
    <w:tbl>
      <w:tblPr>
        <w:tblStyle w:val="26"/>
        <w:tblW w:w="7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58"/>
        <w:gridCol w:w="1620"/>
        <w:gridCol w:w="1258"/>
        <w:gridCol w:w="1701"/>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序号</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债券代码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债券名称</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数量（张）</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公允价值（元）</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eastAsia="zh-Hans"/>
              </w:rPr>
              <w:t>108603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lang w:eastAsia="zh-Hans"/>
              </w:rPr>
              <w:t>国开1804</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40,000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4,002,400.00</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eastAsia="zh-Hans"/>
              </w:rPr>
              <w:t>136318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lang w:eastAsia="zh-Hans"/>
              </w:rPr>
              <w:t>16中油05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40,000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3,979,600.00</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eastAsia="zh-Hans"/>
              </w:rPr>
              <w:t>127010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lang w:eastAsia="zh-Hans"/>
              </w:rPr>
              <w:t>平银转债</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20,000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2,382,200.00</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4</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eastAsia="zh-Hans"/>
              </w:rPr>
              <w:t>019547</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lang w:eastAsia="zh-Hans"/>
              </w:rPr>
              <w:t>16国债19</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23,680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2,170,508.80</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lang w:eastAsia="zh-Hans"/>
              </w:rPr>
              <w:t>136513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lang w:eastAsia="zh-Hans"/>
              </w:rPr>
              <w:t>16电投03</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20,520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2,052,000.00</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szCs w:val="21"/>
              </w:rPr>
            </w:pPr>
            <w:r>
              <w:rPr>
                <w:rFonts w:hint="eastAsia" w:ascii="宋体" w:hAnsi="宋体"/>
                <w:kern w:val="0"/>
                <w:szCs w:val="21"/>
                <w:lang w:eastAsia="zh-Hans"/>
              </w:rPr>
              <w:t>3.86</w:t>
            </w:r>
          </w:p>
        </w:tc>
      </w:tr>
    </w:tbl>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6、 报告期末按公允价值占基金资产净值比例大小排名的前十名资产支持证券投资明细</w:t>
      </w:r>
    </w:p>
    <w:p>
      <w:pPr>
        <w:spacing w:line="360" w:lineRule="auto"/>
        <w:ind w:firstLine="480" w:firstLineChars="200"/>
        <w:rPr>
          <w:rFonts w:ascii="宋体" w:hAnsi="宋体"/>
          <w:bCs/>
          <w:color w:val="000000"/>
          <w:sz w:val="24"/>
        </w:rPr>
      </w:pPr>
      <w:r>
        <w:rPr>
          <w:rFonts w:hint="eastAsia" w:ascii="宋体" w:hAnsi="宋体"/>
          <w:bCs/>
          <w:color w:val="000000"/>
          <w:sz w:val="24"/>
        </w:rPr>
        <w:t xml:space="preserve">无。  </w:t>
      </w:r>
    </w:p>
    <w:p>
      <w:pPr>
        <w:spacing w:line="360" w:lineRule="auto"/>
        <w:ind w:firstLine="480" w:firstLineChars="200"/>
        <w:rPr>
          <w:rFonts w:ascii="宋体" w:hAnsi="宋体"/>
          <w:bCs/>
          <w:color w:val="000000"/>
          <w:sz w:val="24"/>
        </w:rPr>
      </w:pPr>
      <w:r>
        <w:rPr>
          <w:rFonts w:hint="eastAsia" w:ascii="宋体" w:hAnsi="宋体"/>
          <w:bCs/>
          <w:color w:val="000000"/>
          <w:sz w:val="24"/>
        </w:rPr>
        <w:t>7 报告期末按公允价值占基金资产净值比例大小排序的前五名贵金属投资明细</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8、 报告期末按公允价值占基金资产净值比例大小排名的前五名权证投资明细</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9、报告期末本基金投资的国债期货交易情况说明</w:t>
      </w:r>
    </w:p>
    <w:p>
      <w:pPr>
        <w:spacing w:line="360" w:lineRule="auto"/>
        <w:ind w:firstLine="480" w:firstLineChars="200"/>
        <w:rPr>
          <w:rFonts w:ascii="宋体" w:hAnsi="宋体"/>
          <w:bCs/>
          <w:color w:val="000000"/>
          <w:sz w:val="24"/>
        </w:rPr>
      </w:pPr>
      <w:r>
        <w:rPr>
          <w:rFonts w:hint="eastAsia" w:ascii="宋体" w:hAnsi="宋体"/>
          <w:bCs/>
          <w:color w:val="000000"/>
          <w:sz w:val="24"/>
        </w:rPr>
        <w:t>（1）本期国债期货投资政策</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（2）报告期末本基金投资的国债期货持仓和损益明细</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（3）本期国债期货投资评价</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10、 投资组合报告附注</w:t>
      </w:r>
    </w:p>
    <w:p>
      <w:pPr>
        <w:spacing w:line="360" w:lineRule="auto"/>
        <w:ind w:firstLine="480" w:firstLineChars="200"/>
        <w:rPr>
          <w:rFonts w:ascii="宋体" w:hAnsi="宋体"/>
          <w:bCs/>
          <w:color w:val="000000"/>
          <w:sz w:val="24"/>
        </w:rPr>
      </w:pPr>
      <w:r>
        <w:rPr>
          <w:rFonts w:hint="eastAsia" w:ascii="宋体" w:hAnsi="宋体"/>
          <w:bCs/>
          <w:color w:val="000000"/>
          <w:sz w:val="24"/>
        </w:rPr>
        <w:t>（1）本基金该报告期内投资前十名证券的发行主体均无被监管部门立案调查和在报告编制日前一年内受到公开谴责、处罚。</w:t>
      </w:r>
    </w:p>
    <w:p>
      <w:pPr>
        <w:spacing w:line="360" w:lineRule="auto"/>
        <w:ind w:firstLine="480" w:firstLineChars="200"/>
        <w:rPr>
          <w:rFonts w:ascii="宋体" w:hAnsi="宋体"/>
          <w:bCs/>
          <w:color w:val="000000"/>
          <w:sz w:val="24"/>
        </w:rPr>
      </w:pPr>
      <w:r>
        <w:rPr>
          <w:rFonts w:hint="eastAsia" w:ascii="宋体" w:hAnsi="宋体"/>
          <w:bCs/>
          <w:color w:val="000000"/>
          <w:sz w:val="24"/>
        </w:rPr>
        <w:t>（2）基金投资的前十名股票未超出基金合同规定的投资范围。</w:t>
      </w:r>
    </w:p>
    <w:p>
      <w:pPr>
        <w:spacing w:line="360" w:lineRule="auto"/>
        <w:ind w:firstLine="480" w:firstLineChars="200"/>
        <w:rPr>
          <w:rFonts w:ascii="宋体" w:hAnsi="宋体"/>
          <w:bCs/>
          <w:color w:val="000000"/>
          <w:sz w:val="24"/>
        </w:rPr>
      </w:pPr>
      <w:r>
        <w:rPr>
          <w:rFonts w:hint="eastAsia" w:ascii="宋体" w:hAnsi="宋体"/>
          <w:bCs/>
          <w:color w:val="000000"/>
          <w:sz w:val="24"/>
        </w:rPr>
        <w:t>（3）其他资产构成</w:t>
      </w:r>
    </w:p>
    <w:tbl>
      <w:tblPr>
        <w:tblStyle w:val="26"/>
        <w:tblW w:w="83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3704"/>
        <w:gridCol w:w="3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序号</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szCs w:val="21"/>
              </w:rPr>
            </w:pPr>
            <w:r>
              <w:rPr>
                <w:rFonts w:hint="eastAsia" w:ascii="宋体" w:hAnsi="宋体"/>
                <w:szCs w:val="21"/>
              </w:rPr>
              <w:t>名称</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1</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存出保证金</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24,089.44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2</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应收证券清算款</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2,112,000.00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3</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应收股利</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4</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应收利息</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900,151.91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5</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应收申购款</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2,569.28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6</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其他应收款</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7</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待摊费用</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8</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其他</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9</w:t>
            </w:r>
          </w:p>
        </w:tc>
        <w:tc>
          <w:tcPr>
            <w:tcW w:w="3704" w:type="dxa"/>
            <w:tcBorders>
              <w:top w:val="single" w:color="000000" w:sz="4" w:space="0"/>
              <w:left w:val="single" w:color="000000" w:sz="4" w:space="0"/>
              <w:bottom w:val="single" w:color="000000" w:sz="4" w:space="0"/>
              <w:right w:val="single" w:color="auto" w:sz="4" w:space="0"/>
            </w:tcBorders>
            <w:noWrap w:val="0"/>
            <w:vAlign w:val="center"/>
          </w:tcPr>
          <w:p>
            <w:pPr>
              <w:jc w:val="left"/>
              <w:rPr>
                <w:rFonts w:ascii="宋体" w:hAnsi="宋体"/>
                <w:szCs w:val="21"/>
              </w:rPr>
            </w:pPr>
            <w:r>
              <w:rPr>
                <w:rFonts w:hint="eastAsia" w:ascii="宋体" w:hAnsi="宋体"/>
                <w:szCs w:val="21"/>
              </w:rPr>
              <w:t>合计</w:t>
            </w:r>
          </w:p>
        </w:tc>
        <w:tc>
          <w:tcPr>
            <w:tcW w:w="3704" w:type="dxa"/>
            <w:tcBorders>
              <w:top w:val="single" w:color="000000" w:sz="4" w:space="0"/>
              <w:left w:val="single" w:color="auto" w:sz="4" w:space="0"/>
              <w:bottom w:val="single" w:color="000000" w:sz="4" w:space="0"/>
              <w:right w:val="single" w:color="000000" w:sz="4" w:space="0"/>
            </w:tcBorders>
            <w:noWrap w:val="0"/>
            <w:vAlign w:val="center"/>
          </w:tcPr>
          <w:p>
            <w:pPr>
              <w:ind w:right="105"/>
              <w:jc w:val="right"/>
              <w:rPr>
                <w:rFonts w:ascii="宋体" w:hAnsi="宋体"/>
                <w:szCs w:val="21"/>
              </w:rPr>
            </w:pPr>
            <w:r>
              <w:rPr>
                <w:rFonts w:hint="eastAsia" w:ascii="宋体" w:hAnsi="宋体"/>
              </w:rPr>
              <w:t>3,038,810.63</w:t>
            </w:r>
          </w:p>
        </w:tc>
      </w:tr>
    </w:tbl>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（4）报告期末持有的处于转股期的可转换债券明细</w:t>
      </w:r>
    </w:p>
    <w:tbl>
      <w:tblPr>
        <w:tblStyle w:val="26"/>
        <w:tblW w:w="7760" w:type="dxa"/>
        <w:tblInd w:w="0" w:type="dxa"/>
        <w:tblLayout w:type="fixed"/>
        <w:tblCellMar>
          <w:top w:w="0" w:type="dxa"/>
          <w:left w:w="0" w:type="dxa"/>
          <w:bottom w:w="0" w:type="dxa"/>
          <w:right w:w="0" w:type="dxa"/>
        </w:tblCellMar>
      </w:tblPr>
      <w:tblGrid>
        <w:gridCol w:w="631"/>
        <w:gridCol w:w="1604"/>
        <w:gridCol w:w="1276"/>
        <w:gridCol w:w="2095"/>
        <w:gridCol w:w="2154"/>
      </w:tblGrid>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rPr>
                <w:rFonts w:ascii="宋体" w:hAnsi="宋体"/>
              </w:rPr>
            </w:pPr>
            <w:r>
              <w:rPr>
                <w:rFonts w:hint="eastAsia" w:ascii="宋体" w:hAnsi="宋体"/>
              </w:rPr>
              <w:t xml:space="preserve">序号 </w:t>
            </w:r>
          </w:p>
        </w:tc>
        <w:tc>
          <w:tcPr>
            <w:tcW w:w="1604" w:type="dxa"/>
            <w:tcBorders>
              <w:top w:val="single" w:color="auto" w:sz="4" w:space="0"/>
              <w:left w:val="single" w:color="auto" w:sz="4" w:space="0"/>
              <w:bottom w:val="single" w:color="auto" w:sz="4" w:space="0"/>
              <w:right w:val="single" w:color="auto" w:sz="4" w:space="0"/>
            </w:tcBorders>
            <w:shd w:val="clear" w:color="auto" w:fill="D9D9D9"/>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 xml:space="preserve">债券代码 </w:t>
            </w:r>
          </w:p>
        </w:tc>
        <w:tc>
          <w:tcPr>
            <w:tcW w:w="1276" w:type="dxa"/>
            <w:tcBorders>
              <w:top w:val="single" w:color="auto" w:sz="4" w:space="0"/>
              <w:left w:val="nil"/>
              <w:bottom w:val="single" w:color="auto" w:sz="4" w:space="0"/>
              <w:right w:val="single" w:color="auto" w:sz="4" w:space="0"/>
            </w:tcBorders>
            <w:shd w:val="clear" w:color="auto" w:fill="D9D9D9"/>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 xml:space="preserve">债券名称 </w:t>
            </w:r>
          </w:p>
        </w:tc>
        <w:tc>
          <w:tcPr>
            <w:tcW w:w="2095" w:type="dxa"/>
            <w:tcBorders>
              <w:top w:val="single" w:color="auto" w:sz="4" w:space="0"/>
              <w:left w:val="nil"/>
              <w:bottom w:val="single" w:color="auto" w:sz="4" w:space="0"/>
              <w:right w:val="single" w:color="auto" w:sz="4" w:space="0"/>
            </w:tcBorders>
            <w:shd w:val="clear" w:color="auto" w:fill="D9D9D9"/>
            <w:noWrap w:val="0"/>
            <w:tcMar>
              <w:top w:w="15" w:type="dxa"/>
              <w:left w:w="15" w:type="dxa"/>
              <w:bottom w:w="0" w:type="dxa"/>
              <w:right w:w="15" w:type="dxa"/>
            </w:tcMar>
            <w:vAlign w:val="center"/>
          </w:tcPr>
          <w:p>
            <w:pPr>
              <w:pStyle w:val="53"/>
              <w:jc w:val="right"/>
              <w:rPr>
                <w:rFonts w:ascii="宋体" w:hAnsi="宋体" w:eastAsia="宋体" w:cs="Times New Roman"/>
                <w:kern w:val="2"/>
                <w:sz w:val="21"/>
              </w:rPr>
            </w:pPr>
            <w:r>
              <w:rPr>
                <w:rFonts w:hint="eastAsia" w:ascii="宋体" w:hAnsi="宋体" w:eastAsia="宋体" w:cs="Times New Roman"/>
                <w:kern w:val="2"/>
                <w:sz w:val="21"/>
              </w:rPr>
              <w:t xml:space="preserve">公允价值（元） </w:t>
            </w:r>
          </w:p>
        </w:tc>
        <w:tc>
          <w:tcPr>
            <w:tcW w:w="2154" w:type="dxa"/>
            <w:tcBorders>
              <w:top w:val="single" w:color="auto" w:sz="4" w:space="0"/>
              <w:left w:val="nil"/>
              <w:bottom w:val="single" w:color="auto" w:sz="4" w:space="0"/>
              <w:right w:val="single" w:color="auto" w:sz="4" w:space="0"/>
            </w:tcBorders>
            <w:shd w:val="clear" w:color="auto" w:fill="D9D9D9"/>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 xml:space="preserve">占基金资产净值比例（%） </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1</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128022</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众信转债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802,324.32</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1.51</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2</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132014</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18中化EB</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499,500.00</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0.94</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3</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128028</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赣锋转债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448,153.16</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0.84</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4</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128048</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张行转债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402,892.80</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0.76</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5</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132015</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18中油EB</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391,560.00</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0.74</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6</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110038</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济川转债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342,986.40</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0.65</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7</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123002</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国祯转债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143,101.25</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0.27</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8</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113521</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科森转债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40,360.00</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0.08</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9</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128014</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永东转债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6,652.98</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0.01</w:t>
            </w:r>
          </w:p>
        </w:tc>
      </w:tr>
      <w:tr>
        <w:tblPrEx>
          <w:tblLayout w:type="fixed"/>
          <w:tblCellMar>
            <w:top w:w="0" w:type="dxa"/>
            <w:left w:w="0" w:type="dxa"/>
            <w:bottom w:w="0" w:type="dxa"/>
            <w:right w:w="0" w:type="dxa"/>
          </w:tblCellMar>
        </w:tblPrEx>
        <w:trPr>
          <w:trHeight w:val="332"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10</w:t>
            </w:r>
          </w:p>
        </w:tc>
        <w:tc>
          <w:tcPr>
            <w:tcW w:w="16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113504</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艾华转债</w:t>
            </w:r>
          </w:p>
        </w:tc>
        <w:tc>
          <w:tcPr>
            <w:tcW w:w="20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3"/>
              <w:rPr>
                <w:rFonts w:ascii="宋体" w:hAnsi="宋体" w:eastAsia="宋体" w:cs="Times New Roman"/>
                <w:kern w:val="2"/>
                <w:sz w:val="21"/>
              </w:rPr>
            </w:pPr>
            <w:r>
              <w:rPr>
                <w:rFonts w:hint="eastAsia" w:ascii="宋体" w:hAnsi="宋体" w:eastAsia="宋体" w:cs="Times New Roman"/>
                <w:kern w:val="2"/>
                <w:sz w:val="21"/>
              </w:rPr>
              <w:t>5,243.50</w:t>
            </w:r>
          </w:p>
        </w:tc>
        <w:tc>
          <w:tcPr>
            <w:tcW w:w="21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Arial Unicode MS"/>
              </w:rPr>
            </w:pPr>
            <w:r>
              <w:rPr>
                <w:rFonts w:hint="eastAsia" w:ascii="宋体" w:hAnsi="宋体" w:cs="Arial Unicode MS"/>
              </w:rPr>
              <w:t>0.01</w:t>
            </w:r>
          </w:p>
        </w:tc>
      </w:tr>
    </w:tbl>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（5）报告期末前十名股票中存在流通受限情况的说明</w:t>
      </w:r>
    </w:p>
    <w:p>
      <w:pPr>
        <w:spacing w:line="360" w:lineRule="auto"/>
        <w:ind w:firstLine="480" w:firstLineChars="200"/>
        <w:rPr>
          <w:rFonts w:ascii="宋体" w:hAnsi="宋体"/>
          <w:bCs/>
          <w:color w:val="000000"/>
          <w:sz w:val="24"/>
        </w:rPr>
      </w:pPr>
      <w:r>
        <w:rPr>
          <w:rFonts w:hint="eastAsia" w:ascii="宋体" w:hAnsi="宋体"/>
          <w:bCs/>
          <w:color w:val="000000"/>
          <w:sz w:val="24"/>
        </w:rPr>
        <w:t>无。</w:t>
      </w:r>
    </w:p>
    <w:p>
      <w:pPr>
        <w:spacing w:line="360" w:lineRule="auto"/>
        <w:ind w:firstLine="480" w:firstLineChars="200"/>
        <w:rPr>
          <w:rFonts w:ascii="宋体" w:hAnsi="宋体"/>
          <w:bCs/>
          <w:color w:val="000000"/>
          <w:sz w:val="24"/>
        </w:rPr>
      </w:pPr>
      <w:r>
        <w:rPr>
          <w:rFonts w:hint="eastAsia" w:ascii="宋体" w:hAnsi="宋体"/>
          <w:bCs/>
          <w:color w:val="000000"/>
          <w:sz w:val="24"/>
        </w:rPr>
        <w:t>（6）投资组合报告附注的其他文字描述部分</w:t>
      </w:r>
    </w:p>
    <w:p>
      <w:pPr>
        <w:spacing w:line="360" w:lineRule="auto"/>
        <w:ind w:firstLine="480" w:firstLineChars="200"/>
        <w:rPr>
          <w:rFonts w:ascii="宋体" w:hAnsi="宋体"/>
          <w:bCs/>
          <w:color w:val="000000"/>
          <w:sz w:val="24"/>
        </w:rPr>
      </w:pPr>
      <w:r>
        <w:rPr>
          <w:rFonts w:hint="eastAsia" w:ascii="宋体" w:hAnsi="宋体"/>
          <w:bCs/>
          <w:color w:val="000000"/>
          <w:sz w:val="24"/>
        </w:rPr>
        <w:t>由于四舍五入原因，分项之和与合计可能有尾差。</w:t>
      </w:r>
    </w:p>
    <w:p/>
    <w:p>
      <w:pPr>
        <w:suppressAutoHyphens w:val="0"/>
        <w:spacing w:line="360" w:lineRule="auto"/>
        <w:ind w:firstLine="480" w:firstLineChars="200"/>
        <w:rPr>
          <w:rFonts w:hint="eastAsia" w:ascii="宋体" w:hAnsi="宋体"/>
          <w:bCs/>
          <w:color w:val="000000"/>
          <w:kern w:val="2"/>
          <w:sz w:val="24"/>
          <w:lang w:eastAsia="zh-CN"/>
        </w:rPr>
      </w:pPr>
    </w:p>
    <w:bookmarkEnd w:id="11"/>
    <w:p>
      <w:pPr>
        <w:spacing w:line="360" w:lineRule="auto"/>
        <w:ind w:firstLine="480"/>
        <w:rPr>
          <w:rFonts w:hint="eastAsia" w:ascii="宋体" w:hAnsi="宋体" w:cs="宋体"/>
          <w:bCs/>
          <w:color w:val="000000"/>
          <w:sz w:val="24"/>
          <w:lang w:eastAsia="zh-CN"/>
        </w:rPr>
      </w:pPr>
    </w:p>
    <w:p>
      <w:pPr>
        <w:pStyle w:val="2"/>
        <w:pageBreakBefore/>
        <w:spacing w:before="0" w:after="0"/>
        <w:jc w:val="center"/>
        <w:rPr>
          <w:rFonts w:hint="eastAsia" w:cs="宋体"/>
          <w:bCs/>
        </w:rPr>
      </w:pPr>
      <w:bookmarkStart w:id="12" w:name="_Toc521587222"/>
      <w:r>
        <w:rPr>
          <w:rFonts w:hint="eastAsia" w:ascii="Times New Roman" w:hAnsi="Times New Roman"/>
          <w:color w:val="auto"/>
          <w:sz w:val="30"/>
        </w:rPr>
        <w:t>第十部分 基金的业绩</w:t>
      </w:r>
      <w:bookmarkEnd w:id="12"/>
    </w:p>
    <w:p>
      <w:pPr>
        <w:spacing w:line="360" w:lineRule="auto"/>
        <w:ind w:firstLine="480"/>
        <w:rPr>
          <w:rFonts w:hint="eastAsia" w:ascii="宋体" w:hAnsi="宋体" w:cs="宋体"/>
          <w:bCs/>
          <w:color w:val="000000"/>
          <w:sz w:val="24"/>
        </w:rPr>
      </w:pPr>
    </w:p>
    <w:p>
      <w:pPr>
        <w:spacing w:line="360" w:lineRule="auto"/>
        <w:ind w:firstLine="480"/>
        <w:rPr>
          <w:rFonts w:ascii="宋体" w:hAnsi="宋体" w:cs="宋体"/>
          <w:bCs/>
          <w:color w:val="000000"/>
          <w:sz w:val="24"/>
        </w:rPr>
      </w:pPr>
      <w:r>
        <w:rPr>
          <w:rFonts w:ascii="宋体" w:hAnsi="宋体" w:cs="宋体"/>
          <w:bCs/>
          <w:color w:val="000000"/>
          <w:sz w:val="24"/>
        </w:rPr>
        <w:t>基金业绩截止日为20</w:t>
      </w:r>
      <w:r>
        <w:rPr>
          <w:rFonts w:hint="eastAsia" w:ascii="宋体" w:hAnsi="宋体" w:cs="宋体"/>
          <w:bCs/>
          <w:color w:val="000000"/>
          <w:sz w:val="24"/>
        </w:rPr>
        <w:t>19</w:t>
      </w:r>
      <w:r>
        <w:rPr>
          <w:rFonts w:ascii="宋体" w:hAnsi="宋体" w:cs="宋体"/>
          <w:bCs/>
          <w:color w:val="000000"/>
          <w:sz w:val="24"/>
        </w:rPr>
        <w:t>年</w:t>
      </w:r>
      <w:r>
        <w:rPr>
          <w:rFonts w:hint="eastAsia" w:ascii="宋体" w:hAnsi="宋体" w:cs="宋体"/>
          <w:bCs/>
          <w:color w:val="000000"/>
          <w:sz w:val="24"/>
        </w:rPr>
        <w:t>6</w:t>
      </w:r>
      <w:r>
        <w:rPr>
          <w:rFonts w:ascii="宋体" w:hAnsi="宋体" w:cs="宋体"/>
          <w:bCs/>
          <w:color w:val="000000"/>
          <w:sz w:val="24"/>
        </w:rPr>
        <w:t>月</w:t>
      </w:r>
      <w:r>
        <w:rPr>
          <w:rFonts w:hint="eastAsia" w:ascii="宋体" w:hAnsi="宋体" w:cs="宋体"/>
          <w:bCs/>
          <w:color w:val="000000"/>
          <w:sz w:val="24"/>
        </w:rPr>
        <w:t>30</w:t>
      </w:r>
      <w:r>
        <w:rPr>
          <w:rFonts w:ascii="宋体" w:hAnsi="宋体" w:cs="宋体"/>
          <w:bCs/>
          <w:color w:val="000000"/>
          <w:sz w:val="24"/>
        </w:rPr>
        <w:t>日。</w:t>
      </w:r>
    </w:p>
    <w:p>
      <w:pPr>
        <w:spacing w:line="360" w:lineRule="auto"/>
        <w:ind w:firstLine="480"/>
        <w:rPr>
          <w:rFonts w:ascii="宋体" w:hAnsi="宋体" w:cs="宋体"/>
          <w:bCs/>
          <w:color w:val="000000"/>
          <w:sz w:val="24"/>
        </w:rPr>
      </w:pPr>
      <w:r>
        <w:rPr>
          <w:rFonts w:ascii="宋体" w:hAnsi="宋体" w:cs="宋体"/>
          <w:bCs/>
          <w:color w:val="000000"/>
          <w:sz w:val="24"/>
        </w:rPr>
        <w:t>基金管理人承诺以诚实信用、勤勉尽责的原则管理和运用基金资产，但不保证基金一定盈利。基金的过往业绩并不代表其未来表现。投资有风险，投资者在作出投资决策前应仔细阅读本基金的招募说明书。</w:t>
      </w:r>
    </w:p>
    <w:p>
      <w:pPr>
        <w:spacing w:line="360" w:lineRule="auto"/>
        <w:ind w:firstLine="480"/>
        <w:rPr>
          <w:rFonts w:hint="eastAsia" w:ascii="宋体" w:hAnsi="宋体" w:cs="宋体"/>
          <w:bCs/>
          <w:color w:val="000000"/>
          <w:sz w:val="24"/>
        </w:rPr>
      </w:pPr>
      <w:r>
        <w:rPr>
          <w:rFonts w:ascii="宋体" w:hAnsi="宋体" w:cs="宋体"/>
          <w:bCs/>
          <w:color w:val="000000"/>
          <w:sz w:val="24"/>
        </w:rPr>
        <w:t>本报告期基金份额净值增长率及其与同期业绩比较基准收益率的比较</w:t>
      </w:r>
    </w:p>
    <w:p>
      <w:pPr>
        <w:spacing w:line="360" w:lineRule="auto"/>
        <w:ind w:firstLine="480"/>
        <w:rPr>
          <w:rFonts w:hint="eastAsia" w:ascii="宋体" w:hAnsi="宋体" w:cs="宋体"/>
        </w:rPr>
      </w:pPr>
      <w:r>
        <w:rPr>
          <w:rFonts w:hint="eastAsia" w:ascii="宋体" w:hAnsi="宋体" w:cs="宋体"/>
          <w:bCs/>
          <w:color w:val="000000"/>
          <w:sz w:val="24"/>
        </w:rPr>
        <w:t>1、建信双债增强债券</w:t>
      </w:r>
      <w:r>
        <w:rPr>
          <w:rFonts w:ascii="宋体" w:hAnsi="宋体" w:cs="宋体"/>
          <w:bCs/>
          <w:color w:val="000000"/>
          <w:sz w:val="24"/>
        </w:rPr>
        <w:t>A</w:t>
      </w:r>
    </w:p>
    <w:tbl>
      <w:tblPr>
        <w:tblStyle w:val="2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134"/>
        <w:gridCol w:w="1276"/>
        <w:gridCol w:w="1276"/>
        <w:gridCol w:w="1417"/>
        <w:gridCol w:w="1134"/>
        <w:gridCol w:w="1134"/>
        <w:tblGridChange w:id="0">
          <w:tblGrid>
            <w:gridCol w:w="1843"/>
            <w:gridCol w:w="1134"/>
            <w:gridCol w:w="1276"/>
            <w:gridCol w:w="1276"/>
            <w:gridCol w:w="1417"/>
            <w:gridCol w:w="1134"/>
            <w:gridCol w:w="113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阶段</w:t>
            </w:r>
          </w:p>
        </w:tc>
        <w:tc>
          <w:tcPr>
            <w:tcW w:w="1134" w:type="dxa"/>
            <w:shd w:val="clear" w:color="auto" w:fill="auto"/>
            <w:noWrap w:val="0"/>
            <w:vAlign w:val="center"/>
          </w:tcPr>
          <w:p>
            <w:pPr>
              <w:snapToGrid w:val="0"/>
              <w:jc w:val="left"/>
              <w:rPr>
                <w:rFonts w:ascii="宋体" w:hAnsi="宋体" w:cs="宋体"/>
                <w:bCs/>
                <w:color w:val="000000"/>
                <w:szCs w:val="21"/>
              </w:rPr>
            </w:pPr>
            <w:r>
              <w:rPr>
                <w:rFonts w:hint="eastAsia" w:ascii="宋体" w:hAnsi="宋体" w:cs="宋体"/>
                <w:bCs/>
                <w:color w:val="000000"/>
                <w:szCs w:val="21"/>
              </w:rPr>
              <w:t>份额净值增长率①</w:t>
            </w:r>
          </w:p>
        </w:tc>
        <w:tc>
          <w:tcPr>
            <w:tcW w:w="1276" w:type="dxa"/>
            <w:shd w:val="clear" w:color="auto" w:fill="auto"/>
            <w:noWrap w:val="0"/>
            <w:vAlign w:val="center"/>
          </w:tcPr>
          <w:p>
            <w:pPr>
              <w:snapToGrid w:val="0"/>
              <w:jc w:val="left"/>
              <w:rPr>
                <w:rFonts w:ascii="宋体" w:hAnsi="宋体" w:cs="宋体"/>
                <w:bCs/>
                <w:color w:val="000000"/>
                <w:szCs w:val="21"/>
              </w:rPr>
            </w:pPr>
            <w:r>
              <w:rPr>
                <w:rFonts w:hint="eastAsia" w:ascii="宋体" w:hAnsi="宋体" w:cs="宋体"/>
                <w:bCs/>
                <w:color w:val="000000"/>
                <w:szCs w:val="21"/>
              </w:rPr>
              <w:t>份额净值增长率标准差②</w:t>
            </w:r>
          </w:p>
        </w:tc>
        <w:tc>
          <w:tcPr>
            <w:tcW w:w="1276" w:type="dxa"/>
            <w:shd w:val="clear" w:color="auto" w:fill="auto"/>
            <w:noWrap w:val="0"/>
            <w:vAlign w:val="center"/>
          </w:tcPr>
          <w:p>
            <w:pPr>
              <w:snapToGrid w:val="0"/>
              <w:jc w:val="left"/>
              <w:rPr>
                <w:rFonts w:ascii="宋体" w:hAnsi="宋体" w:cs="宋体"/>
                <w:bCs/>
                <w:color w:val="000000"/>
                <w:szCs w:val="21"/>
              </w:rPr>
            </w:pPr>
            <w:r>
              <w:rPr>
                <w:rFonts w:hint="eastAsia" w:ascii="宋体" w:hAnsi="宋体" w:cs="宋体"/>
                <w:bCs/>
                <w:color w:val="000000"/>
                <w:szCs w:val="21"/>
              </w:rPr>
              <w:t>业绩比较基准收益率③</w:t>
            </w:r>
          </w:p>
        </w:tc>
        <w:tc>
          <w:tcPr>
            <w:tcW w:w="1417" w:type="dxa"/>
            <w:shd w:val="clear" w:color="auto" w:fill="auto"/>
            <w:noWrap w:val="0"/>
            <w:vAlign w:val="center"/>
          </w:tcPr>
          <w:p>
            <w:pPr>
              <w:snapToGrid w:val="0"/>
              <w:jc w:val="left"/>
              <w:rPr>
                <w:rFonts w:ascii="宋体" w:hAnsi="宋体" w:cs="宋体"/>
                <w:bCs/>
                <w:color w:val="000000"/>
                <w:szCs w:val="21"/>
              </w:rPr>
            </w:pPr>
            <w:r>
              <w:rPr>
                <w:rFonts w:hint="eastAsia" w:ascii="宋体" w:hAnsi="宋体" w:cs="宋体"/>
                <w:bCs/>
                <w:color w:val="000000"/>
                <w:szCs w:val="21"/>
              </w:rPr>
              <w:t>业绩比较基准收益率标准差④</w:t>
            </w:r>
          </w:p>
        </w:tc>
        <w:tc>
          <w:tcPr>
            <w:tcW w:w="1134" w:type="dxa"/>
            <w:shd w:val="clear" w:color="auto" w:fill="auto"/>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①-③</w:t>
            </w:r>
          </w:p>
        </w:tc>
        <w:tc>
          <w:tcPr>
            <w:tcW w:w="1134" w:type="dxa"/>
            <w:shd w:val="clear" w:color="auto" w:fill="auto"/>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jc w:val="left"/>
              <w:rPr>
                <w:rFonts w:hint="eastAsia" w:ascii="宋体" w:hAnsi="宋体" w:cs="宋体"/>
                <w:bCs/>
                <w:color w:val="000000"/>
                <w:szCs w:val="21"/>
              </w:rPr>
            </w:pPr>
            <w:r>
              <w:rPr>
                <w:rFonts w:ascii="宋体" w:hAnsi="宋体" w:cs="宋体"/>
                <w:bCs/>
                <w:color w:val="000000"/>
                <w:szCs w:val="21"/>
              </w:rPr>
              <w:t>自基金合同生效</w:t>
            </w:r>
            <w:r>
              <w:rPr>
                <w:rFonts w:hint="eastAsia" w:ascii="宋体" w:hAnsi="宋体" w:cs="宋体"/>
                <w:bCs/>
                <w:color w:val="000000"/>
                <w:szCs w:val="21"/>
              </w:rPr>
              <w:t>之日</w:t>
            </w:r>
            <w:r>
              <w:rPr>
                <w:rFonts w:ascii="宋体" w:hAnsi="宋体" w:cs="宋体"/>
                <w:bCs/>
                <w:color w:val="000000"/>
                <w:szCs w:val="21"/>
              </w:rPr>
              <w:t>—20</w:t>
            </w:r>
            <w:r>
              <w:rPr>
                <w:rFonts w:hint="eastAsia" w:ascii="宋体" w:hAnsi="宋体" w:cs="宋体"/>
                <w:bCs/>
                <w:color w:val="000000"/>
                <w:szCs w:val="21"/>
              </w:rPr>
              <w:t>13</w:t>
            </w:r>
            <w:r>
              <w:rPr>
                <w:rFonts w:ascii="宋体" w:hAnsi="宋体" w:cs="宋体"/>
                <w:bCs/>
                <w:color w:val="000000"/>
                <w:szCs w:val="21"/>
              </w:rPr>
              <w:t>年</w:t>
            </w:r>
            <w:r>
              <w:rPr>
                <w:rFonts w:hint="eastAsia" w:ascii="宋体" w:hAnsi="宋体" w:cs="宋体"/>
                <w:bCs/>
                <w:color w:val="000000"/>
                <w:szCs w:val="21"/>
              </w:rPr>
              <w:t>12</w:t>
            </w:r>
            <w:r>
              <w:rPr>
                <w:rFonts w:ascii="宋体" w:hAnsi="宋体" w:cs="宋体"/>
                <w:bCs/>
                <w:color w:val="000000"/>
                <w:szCs w:val="21"/>
              </w:rPr>
              <w:t>月</w:t>
            </w:r>
            <w:r>
              <w:rPr>
                <w:rFonts w:hint="eastAsia" w:ascii="宋体" w:hAnsi="宋体" w:cs="宋体"/>
                <w:bCs/>
                <w:color w:val="000000"/>
                <w:szCs w:val="21"/>
              </w:rPr>
              <w:t>31</w:t>
            </w:r>
            <w:r>
              <w:rPr>
                <w:rFonts w:ascii="宋体" w:hAnsi="宋体" w:cs="宋体"/>
                <w:bCs/>
                <w:color w:val="000000"/>
                <w:szCs w:val="21"/>
              </w:rPr>
              <w:t>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1.80%</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0.04%</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-3.81%</w:t>
            </w:r>
          </w:p>
        </w:tc>
        <w:tc>
          <w:tcPr>
            <w:tcW w:w="1417"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0.09%</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5.61%</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jc w:val="left"/>
              <w:rPr>
                <w:rFonts w:ascii="宋体" w:hAnsi="宋体" w:cs="宋体"/>
                <w:bCs/>
                <w:color w:val="000000"/>
                <w:szCs w:val="21"/>
              </w:rPr>
            </w:pPr>
            <w:r>
              <w:rPr>
                <w:rFonts w:hint="eastAsia" w:ascii="宋体" w:hAnsi="宋体" w:cs="宋体"/>
                <w:bCs/>
                <w:color w:val="000000"/>
                <w:szCs w:val="21"/>
              </w:rPr>
              <w:t>2014年1月1日－2014年12月31日</w:t>
            </w:r>
          </w:p>
        </w:tc>
        <w:tc>
          <w:tcPr>
            <w:tcW w:w="1134"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12.89</w:t>
            </w:r>
            <w:r>
              <w:rPr>
                <w:rFonts w:ascii="宋体" w:hAnsi="宋体" w:cs="宋体"/>
                <w:bCs/>
                <w:color w:val="000000"/>
                <w:szCs w:val="21"/>
              </w:rPr>
              <w:t>%</w:t>
            </w:r>
          </w:p>
        </w:tc>
        <w:tc>
          <w:tcPr>
            <w:tcW w:w="1276" w:type="dxa"/>
            <w:shd w:val="clear" w:color="auto" w:fill="auto"/>
            <w:noWrap w:val="0"/>
            <w:vAlign w:val="center"/>
          </w:tcPr>
          <w:p>
            <w:pPr>
              <w:snapToGrid w:val="0"/>
              <w:jc w:val="right"/>
              <w:rPr>
                <w:rFonts w:ascii="宋体" w:hAnsi="宋体" w:cs="宋体"/>
                <w:bCs/>
                <w:color w:val="000000"/>
                <w:szCs w:val="21"/>
              </w:rPr>
            </w:pPr>
            <w:r>
              <w:rPr>
                <w:rFonts w:ascii="宋体" w:hAnsi="宋体" w:cs="宋体"/>
                <w:bCs/>
                <w:color w:val="000000"/>
                <w:szCs w:val="21"/>
              </w:rPr>
              <w:t>0.</w:t>
            </w:r>
            <w:r>
              <w:rPr>
                <w:rFonts w:hint="eastAsia" w:ascii="宋体" w:hAnsi="宋体" w:cs="宋体"/>
                <w:bCs/>
                <w:color w:val="000000"/>
                <w:szCs w:val="21"/>
              </w:rPr>
              <w:t>12</w:t>
            </w:r>
            <w:r>
              <w:rPr>
                <w:rFonts w:ascii="宋体" w:hAnsi="宋体" w:cs="宋体"/>
                <w:bCs/>
                <w:color w:val="000000"/>
                <w:szCs w:val="21"/>
              </w:rPr>
              <w:t>%</w:t>
            </w:r>
          </w:p>
        </w:tc>
        <w:tc>
          <w:tcPr>
            <w:tcW w:w="1276"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6.54</w:t>
            </w:r>
            <w:r>
              <w:rPr>
                <w:rFonts w:ascii="宋体" w:hAnsi="宋体" w:cs="宋体"/>
                <w:bCs/>
                <w:color w:val="000000"/>
                <w:szCs w:val="21"/>
              </w:rPr>
              <w:t>%</w:t>
            </w:r>
          </w:p>
        </w:tc>
        <w:tc>
          <w:tcPr>
            <w:tcW w:w="1417" w:type="dxa"/>
            <w:shd w:val="clear" w:color="auto" w:fill="auto"/>
            <w:noWrap w:val="0"/>
            <w:vAlign w:val="center"/>
          </w:tcPr>
          <w:p>
            <w:pPr>
              <w:snapToGrid w:val="0"/>
              <w:jc w:val="right"/>
              <w:rPr>
                <w:rFonts w:ascii="宋体" w:hAnsi="宋体" w:cs="宋体"/>
                <w:bCs/>
                <w:color w:val="000000"/>
                <w:szCs w:val="21"/>
              </w:rPr>
            </w:pPr>
            <w:r>
              <w:rPr>
                <w:rFonts w:ascii="宋体" w:hAnsi="宋体" w:cs="宋体"/>
                <w:bCs/>
                <w:color w:val="000000"/>
                <w:szCs w:val="21"/>
              </w:rPr>
              <w:t>0.</w:t>
            </w:r>
            <w:r>
              <w:rPr>
                <w:rFonts w:hint="eastAsia" w:ascii="宋体" w:hAnsi="宋体" w:cs="宋体"/>
                <w:bCs/>
                <w:color w:val="000000"/>
                <w:szCs w:val="21"/>
              </w:rPr>
              <w:t>11</w:t>
            </w:r>
            <w:r>
              <w:rPr>
                <w:rFonts w:ascii="宋体" w:hAnsi="宋体" w:cs="宋体"/>
                <w:bCs/>
                <w:color w:val="000000"/>
                <w:szCs w:val="21"/>
              </w:rPr>
              <w:t>%</w:t>
            </w:r>
          </w:p>
        </w:tc>
        <w:tc>
          <w:tcPr>
            <w:tcW w:w="1134"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6.35</w:t>
            </w:r>
            <w:r>
              <w:rPr>
                <w:rFonts w:ascii="宋体" w:hAnsi="宋体" w:cs="宋体"/>
                <w:bCs/>
                <w:color w:val="000000"/>
                <w:szCs w:val="21"/>
              </w:rPr>
              <w:t>%</w:t>
            </w:r>
          </w:p>
        </w:tc>
        <w:tc>
          <w:tcPr>
            <w:tcW w:w="1134" w:type="dxa"/>
            <w:shd w:val="clear" w:color="auto" w:fill="auto"/>
            <w:noWrap w:val="0"/>
            <w:vAlign w:val="center"/>
          </w:tcPr>
          <w:p>
            <w:pPr>
              <w:snapToGrid w:val="0"/>
              <w:jc w:val="right"/>
              <w:rPr>
                <w:rFonts w:ascii="宋体" w:hAnsi="宋体" w:cs="宋体"/>
                <w:bCs/>
                <w:color w:val="000000"/>
                <w:szCs w:val="21"/>
              </w:rPr>
            </w:pPr>
            <w:r>
              <w:rPr>
                <w:rFonts w:ascii="宋体" w:hAnsi="宋体" w:cs="宋体"/>
                <w:bCs/>
                <w:color w:val="000000"/>
                <w:szCs w:val="21"/>
              </w:rPr>
              <w:t>0.0</w:t>
            </w:r>
            <w:r>
              <w:rPr>
                <w:rFonts w:hint="eastAsia" w:ascii="宋体" w:hAnsi="宋体" w:cs="宋体"/>
                <w:bCs/>
                <w:color w:val="000000"/>
                <w:szCs w:val="21"/>
              </w:rPr>
              <w:t>1</w:t>
            </w:r>
            <w:r>
              <w:rPr>
                <w:rFonts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top"/>
          </w:tcPr>
          <w:p>
            <w:pPr>
              <w:jc w:val="left"/>
              <w:rPr>
                <w:rFonts w:ascii="宋体" w:hAnsi="宋体" w:cs="宋体"/>
                <w:bCs/>
                <w:color w:val="000000"/>
                <w:szCs w:val="21"/>
              </w:rPr>
            </w:pPr>
            <w:r>
              <w:rPr>
                <w:rFonts w:hint="eastAsia" w:ascii="宋体" w:hAnsi="宋体" w:cs="宋体"/>
                <w:bCs/>
                <w:color w:val="000000"/>
                <w:szCs w:val="21"/>
              </w:rPr>
              <w:t>2015年1月1日—2015年12月31日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9.49%</w:t>
            </w:r>
          </w:p>
        </w:tc>
        <w:tc>
          <w:tcPr>
            <w:tcW w:w="1276"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0.10%</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4.19%</w:t>
            </w:r>
          </w:p>
        </w:tc>
        <w:tc>
          <w:tcPr>
            <w:tcW w:w="1417"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0.08%</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5.30%</w:t>
            </w:r>
          </w:p>
        </w:tc>
        <w:tc>
          <w:tcPr>
            <w:tcW w:w="1134"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top"/>
          </w:tcPr>
          <w:p>
            <w:pPr>
              <w:jc w:val="left"/>
              <w:rPr>
                <w:rFonts w:hint="eastAsia" w:ascii="宋体" w:hAnsi="宋体" w:cs="宋体"/>
                <w:bCs/>
                <w:color w:val="000000"/>
                <w:szCs w:val="21"/>
              </w:rPr>
            </w:pPr>
            <w:r>
              <w:rPr>
                <w:rFonts w:hint="eastAsia" w:ascii="宋体" w:hAnsi="宋体" w:cs="宋体"/>
                <w:bCs/>
                <w:color w:val="000000"/>
                <w:szCs w:val="21"/>
              </w:rPr>
              <w:t>2016年1月1日-2016年12月31日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-0.08%</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0.14%</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-1.63%</w:t>
            </w:r>
          </w:p>
        </w:tc>
        <w:tc>
          <w:tcPr>
            <w:tcW w:w="1417"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0.09%</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1.55%</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top"/>
          </w:tcPr>
          <w:p>
            <w:pPr>
              <w:jc w:val="left"/>
              <w:rPr>
                <w:rFonts w:hint="eastAsia" w:ascii="宋体" w:hAnsi="宋体" w:cs="宋体"/>
                <w:bCs/>
                <w:color w:val="000000"/>
                <w:szCs w:val="21"/>
              </w:rPr>
            </w:pPr>
            <w:r>
              <w:rPr>
                <w:rFonts w:hint="eastAsia" w:ascii="宋体" w:hAnsi="宋体" w:cs="宋体"/>
                <w:bCs/>
                <w:color w:val="000000"/>
                <w:szCs w:val="21"/>
              </w:rPr>
              <w:t>2017年1月1日-2017年12月31日</w:t>
            </w:r>
          </w:p>
        </w:tc>
        <w:tc>
          <w:tcPr>
            <w:tcW w:w="1134"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-2.65</w:t>
            </w:r>
            <w:r>
              <w:rPr>
                <w:rFonts w:ascii="宋体" w:hAnsi="宋体" w:cs="宋体"/>
                <w:bCs/>
                <w:color w:val="000000"/>
                <w:szCs w:val="21"/>
              </w:rPr>
              <w:t>%</w:t>
            </w:r>
          </w:p>
        </w:tc>
        <w:tc>
          <w:tcPr>
            <w:tcW w:w="1276"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0.31</w:t>
            </w:r>
            <w:r>
              <w:rPr>
                <w:rFonts w:ascii="宋体" w:hAnsi="宋体" w:cs="宋体"/>
                <w:bCs/>
                <w:color w:val="000000"/>
                <w:szCs w:val="21"/>
              </w:rPr>
              <w:t>%</w:t>
            </w:r>
          </w:p>
        </w:tc>
        <w:tc>
          <w:tcPr>
            <w:tcW w:w="1276"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-3.38</w:t>
            </w:r>
            <w:r>
              <w:rPr>
                <w:rFonts w:ascii="宋体" w:hAnsi="宋体" w:cs="宋体"/>
                <w:bCs/>
                <w:color w:val="000000"/>
                <w:szCs w:val="21"/>
              </w:rPr>
              <w:t>%</w:t>
            </w:r>
          </w:p>
        </w:tc>
        <w:tc>
          <w:tcPr>
            <w:tcW w:w="1417"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0.06</w:t>
            </w:r>
            <w:r>
              <w:rPr>
                <w:rFonts w:ascii="宋体" w:hAnsi="宋体" w:cs="宋体"/>
                <w:bCs/>
                <w:color w:val="000000"/>
                <w:szCs w:val="21"/>
              </w:rPr>
              <w:t>%</w:t>
            </w:r>
          </w:p>
        </w:tc>
        <w:tc>
          <w:tcPr>
            <w:tcW w:w="1134"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0.73</w:t>
            </w:r>
            <w:r>
              <w:rPr>
                <w:rFonts w:ascii="宋体" w:hAnsi="宋体" w:cs="宋体"/>
                <w:bCs/>
                <w:color w:val="000000"/>
                <w:szCs w:val="21"/>
              </w:rPr>
              <w:t>%</w:t>
            </w:r>
          </w:p>
        </w:tc>
        <w:tc>
          <w:tcPr>
            <w:tcW w:w="1134"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0.25</w:t>
            </w:r>
            <w:r>
              <w:rPr>
                <w:rFonts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jc w:val="left"/>
              <w:rPr>
                <w:rFonts w:ascii="宋体" w:hAnsi="宋体" w:cs="宋体"/>
                <w:bCs/>
                <w:color w:val="000000"/>
                <w:szCs w:val="21"/>
              </w:rPr>
            </w:pPr>
            <w:r>
              <w:rPr>
                <w:rFonts w:hint="eastAsia" w:ascii="宋体" w:hAnsi="宋体" w:cs="宋体"/>
                <w:bCs/>
                <w:color w:val="000000"/>
                <w:szCs w:val="21"/>
              </w:rPr>
              <w:t>2018年1月1日-</w:t>
            </w:r>
            <w:r>
              <w:rPr>
                <w:rFonts w:ascii="宋体" w:hAnsi="宋体" w:cs="宋体"/>
                <w:bCs/>
                <w:color w:val="000000"/>
                <w:sz w:val="24"/>
              </w:rPr>
              <w:t>20</w:t>
            </w:r>
            <w:r>
              <w:rPr>
                <w:rFonts w:hint="eastAsia" w:ascii="宋体" w:hAnsi="宋体" w:cs="宋体"/>
                <w:bCs/>
                <w:color w:val="000000"/>
                <w:sz w:val="24"/>
              </w:rPr>
              <w:t>18</w:t>
            </w:r>
            <w:r>
              <w:rPr>
                <w:rFonts w:ascii="宋体" w:hAnsi="宋体" w:cs="宋体"/>
                <w:bCs/>
                <w:color w:val="000000"/>
                <w:sz w:val="24"/>
              </w:rPr>
              <w:t>年</w:t>
            </w:r>
            <w:r>
              <w:rPr>
                <w:rFonts w:hint="eastAsia" w:ascii="宋体" w:hAnsi="宋体" w:cs="宋体"/>
                <w:bCs/>
                <w:color w:val="000000"/>
                <w:sz w:val="24"/>
              </w:rPr>
              <w:t>12</w:t>
            </w:r>
            <w:r>
              <w:rPr>
                <w:rFonts w:ascii="宋体" w:hAnsi="宋体" w:cs="宋体"/>
                <w:bCs/>
                <w:color w:val="000000"/>
                <w:sz w:val="24"/>
              </w:rPr>
              <w:t>月</w:t>
            </w:r>
            <w:r>
              <w:rPr>
                <w:rFonts w:hint="eastAsia" w:ascii="宋体" w:hAnsi="宋体" w:cs="宋体"/>
                <w:bCs/>
                <w:color w:val="000000"/>
                <w:sz w:val="24"/>
              </w:rPr>
              <w:t>31</w:t>
            </w:r>
            <w:r>
              <w:rPr>
                <w:rFonts w:ascii="宋体" w:hAnsi="宋体" w:cs="宋体"/>
                <w:bCs/>
                <w:color w:val="000000"/>
                <w:sz w:val="24"/>
              </w:rPr>
              <w:t>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-6.68%</w:t>
            </w:r>
          </w:p>
        </w:tc>
        <w:tc>
          <w:tcPr>
            <w:tcW w:w="1276"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0.50%</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4.79%</w:t>
            </w:r>
          </w:p>
        </w:tc>
        <w:tc>
          <w:tcPr>
            <w:tcW w:w="1417"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0.07%</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-11.47%</w:t>
            </w:r>
          </w:p>
        </w:tc>
        <w:tc>
          <w:tcPr>
            <w:tcW w:w="1134"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jc w:val="left"/>
              <w:rPr>
                <w:rFonts w:ascii="宋体" w:hAnsi="宋体" w:cs="宋体"/>
                <w:bCs/>
                <w:color w:val="000000"/>
                <w:szCs w:val="21"/>
              </w:rPr>
            </w:pPr>
            <w:r>
              <w:rPr>
                <w:rFonts w:hint="eastAsia" w:ascii="宋体" w:hAnsi="宋体" w:cs="宋体"/>
                <w:bCs/>
                <w:color w:val="000000"/>
                <w:szCs w:val="21"/>
              </w:rPr>
              <w:t>2019年1月1日-</w:t>
            </w:r>
            <w:r>
              <w:rPr>
                <w:rFonts w:ascii="宋体" w:hAnsi="宋体" w:cs="宋体"/>
                <w:bCs/>
                <w:color w:val="000000"/>
                <w:sz w:val="24"/>
              </w:rPr>
              <w:t>20</w:t>
            </w:r>
            <w:r>
              <w:rPr>
                <w:rFonts w:hint="eastAsia" w:ascii="宋体" w:hAnsi="宋体" w:cs="宋体"/>
                <w:bCs/>
                <w:color w:val="000000"/>
                <w:sz w:val="24"/>
              </w:rPr>
              <w:t>19</w:t>
            </w:r>
            <w:r>
              <w:rPr>
                <w:rFonts w:ascii="宋体" w:hAnsi="宋体" w:cs="宋体"/>
                <w:bCs/>
                <w:color w:val="000000"/>
                <w:sz w:val="24"/>
              </w:rPr>
              <w:t>年</w:t>
            </w:r>
            <w:r>
              <w:rPr>
                <w:rFonts w:hint="eastAsia" w:ascii="宋体" w:hAnsi="宋体" w:cs="宋体"/>
                <w:bCs/>
                <w:color w:val="000000"/>
                <w:sz w:val="24"/>
              </w:rPr>
              <w:t>6</w:t>
            </w:r>
            <w:r>
              <w:rPr>
                <w:rFonts w:ascii="宋体" w:hAnsi="宋体" w:cs="宋体"/>
                <w:bCs/>
                <w:color w:val="000000"/>
                <w:sz w:val="24"/>
              </w:rPr>
              <w:t>月</w:t>
            </w:r>
            <w:r>
              <w:rPr>
                <w:rFonts w:hint="eastAsia" w:ascii="宋体" w:hAnsi="宋体" w:cs="宋体"/>
                <w:bCs/>
                <w:color w:val="000000"/>
                <w:sz w:val="24"/>
              </w:rPr>
              <w:t>30</w:t>
            </w:r>
            <w:r>
              <w:rPr>
                <w:rFonts w:ascii="宋体" w:hAnsi="宋体" w:cs="宋体"/>
                <w:bCs/>
                <w:color w:val="000000"/>
                <w:sz w:val="24"/>
              </w:rPr>
              <w:t>日</w:t>
            </w:r>
          </w:p>
        </w:tc>
        <w:tc>
          <w:tcPr>
            <w:tcW w:w="1134" w:type="dxa"/>
            <w:shd w:val="clear" w:color="auto" w:fill="auto"/>
            <w:noWrap w:val="0"/>
            <w:vAlign w:val="center"/>
          </w:tcPr>
          <w:p>
            <w:pPr>
              <w:rPr>
                <w:rFonts w:cs="宋体"/>
                <w:sz w:val="22"/>
              </w:rPr>
            </w:pPr>
            <w:r>
              <w:rPr>
                <w:sz w:val="22"/>
              </w:rPr>
              <w:t>8.13%</w:t>
            </w:r>
          </w:p>
        </w:tc>
        <w:tc>
          <w:tcPr>
            <w:tcW w:w="1276" w:type="dxa"/>
            <w:shd w:val="clear" w:color="auto" w:fill="auto"/>
            <w:noWrap w:val="0"/>
            <w:vAlign w:val="center"/>
          </w:tcPr>
          <w:p>
            <w:pPr>
              <w:rPr>
                <w:rFonts w:cs="宋体"/>
                <w:sz w:val="22"/>
              </w:rPr>
            </w:pPr>
            <w:r>
              <w:rPr>
                <w:sz w:val="22"/>
              </w:rPr>
              <w:t>0.45%</w:t>
            </w:r>
          </w:p>
        </w:tc>
        <w:tc>
          <w:tcPr>
            <w:tcW w:w="1276" w:type="dxa"/>
            <w:shd w:val="clear" w:color="auto" w:fill="auto"/>
            <w:noWrap w:val="0"/>
            <w:vAlign w:val="center"/>
          </w:tcPr>
          <w:p>
            <w:pPr>
              <w:rPr>
                <w:rFonts w:cs="宋体"/>
                <w:sz w:val="22"/>
              </w:rPr>
            </w:pPr>
            <w:r>
              <w:rPr>
                <w:sz w:val="22"/>
              </w:rPr>
              <w:t>0.24%</w:t>
            </w:r>
          </w:p>
        </w:tc>
        <w:tc>
          <w:tcPr>
            <w:tcW w:w="1417" w:type="dxa"/>
            <w:shd w:val="clear" w:color="auto" w:fill="auto"/>
            <w:noWrap w:val="0"/>
            <w:vAlign w:val="center"/>
          </w:tcPr>
          <w:p>
            <w:pPr>
              <w:rPr>
                <w:rFonts w:cs="宋体"/>
                <w:sz w:val="22"/>
              </w:rPr>
            </w:pPr>
            <w:r>
              <w:rPr>
                <w:sz w:val="22"/>
              </w:rPr>
              <w:t>0.06%</w:t>
            </w:r>
          </w:p>
        </w:tc>
        <w:tc>
          <w:tcPr>
            <w:tcW w:w="1134" w:type="dxa"/>
            <w:shd w:val="clear" w:color="auto" w:fill="auto"/>
            <w:noWrap w:val="0"/>
            <w:vAlign w:val="center"/>
          </w:tcPr>
          <w:p>
            <w:pPr>
              <w:rPr>
                <w:rFonts w:cs="宋体"/>
                <w:sz w:val="22"/>
              </w:rPr>
            </w:pPr>
            <w:r>
              <w:rPr>
                <w:sz w:val="22"/>
              </w:rPr>
              <w:t>7.89%</w:t>
            </w:r>
          </w:p>
        </w:tc>
        <w:tc>
          <w:tcPr>
            <w:tcW w:w="1134" w:type="dxa"/>
            <w:shd w:val="clear" w:color="auto" w:fill="auto"/>
            <w:noWrap w:val="0"/>
            <w:vAlign w:val="center"/>
          </w:tcPr>
          <w:p>
            <w:pPr>
              <w:rPr>
                <w:rFonts w:cs="宋体"/>
                <w:sz w:val="22"/>
              </w:rPr>
            </w:pPr>
            <w:r>
              <w:rPr>
                <w:sz w:val="22"/>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jc w:val="left"/>
              <w:rPr>
                <w:rFonts w:hint="eastAsia" w:ascii="宋体" w:hAnsi="宋体" w:cs="宋体"/>
                <w:bCs/>
                <w:color w:val="000000"/>
                <w:szCs w:val="21"/>
              </w:rPr>
            </w:pPr>
            <w:r>
              <w:rPr>
                <w:rFonts w:hint="eastAsia" w:ascii="宋体" w:hAnsi="宋体" w:cs="宋体"/>
                <w:bCs/>
                <w:color w:val="000000"/>
                <w:szCs w:val="21"/>
              </w:rPr>
              <w:t>基金合同生效之日</w:t>
            </w:r>
            <w:r>
              <w:rPr>
                <w:rFonts w:ascii="宋体" w:hAnsi="宋体" w:cs="宋体"/>
                <w:bCs/>
                <w:color w:val="000000"/>
                <w:szCs w:val="21"/>
              </w:rPr>
              <w:t>—</w:t>
            </w:r>
            <w:r>
              <w:rPr>
                <w:rFonts w:ascii="宋体" w:hAnsi="宋体" w:cs="宋体"/>
                <w:bCs/>
                <w:color w:val="000000"/>
                <w:sz w:val="24"/>
              </w:rPr>
              <w:t>20</w:t>
            </w:r>
            <w:r>
              <w:rPr>
                <w:rFonts w:hint="eastAsia" w:ascii="宋体" w:hAnsi="宋体" w:cs="宋体"/>
                <w:bCs/>
                <w:color w:val="000000"/>
                <w:sz w:val="24"/>
              </w:rPr>
              <w:t>19</w:t>
            </w:r>
            <w:r>
              <w:rPr>
                <w:rFonts w:ascii="宋体" w:hAnsi="宋体" w:cs="宋体"/>
                <w:bCs/>
                <w:color w:val="000000"/>
                <w:sz w:val="24"/>
              </w:rPr>
              <w:t>年</w:t>
            </w:r>
            <w:r>
              <w:rPr>
                <w:rFonts w:hint="eastAsia" w:ascii="宋体" w:hAnsi="宋体" w:cs="宋体"/>
                <w:bCs/>
                <w:color w:val="000000"/>
                <w:sz w:val="24"/>
              </w:rPr>
              <w:t>6</w:t>
            </w:r>
            <w:r>
              <w:rPr>
                <w:rFonts w:ascii="宋体" w:hAnsi="宋体" w:cs="宋体"/>
                <w:bCs/>
                <w:color w:val="000000"/>
                <w:sz w:val="24"/>
              </w:rPr>
              <w:t>月</w:t>
            </w:r>
            <w:r>
              <w:rPr>
                <w:rFonts w:hint="eastAsia" w:ascii="宋体" w:hAnsi="宋体" w:cs="宋体"/>
                <w:bCs/>
                <w:color w:val="000000"/>
                <w:sz w:val="24"/>
              </w:rPr>
              <w:t>30</w:t>
            </w:r>
            <w:r>
              <w:rPr>
                <w:rFonts w:ascii="宋体" w:hAnsi="宋体" w:cs="宋体"/>
                <w:bCs/>
                <w:color w:val="000000"/>
                <w:sz w:val="24"/>
              </w:rPr>
              <w:t>日</w:t>
            </w:r>
          </w:p>
        </w:tc>
        <w:tc>
          <w:tcPr>
            <w:tcW w:w="1134" w:type="dxa"/>
            <w:shd w:val="clear" w:color="auto" w:fill="auto"/>
            <w:noWrap w:val="0"/>
            <w:vAlign w:val="center"/>
          </w:tcPr>
          <w:p>
            <w:pPr>
              <w:rPr>
                <w:rFonts w:cs="宋体"/>
                <w:sz w:val="22"/>
              </w:rPr>
            </w:pPr>
            <w:r>
              <w:rPr>
                <w:sz w:val="22"/>
              </w:rPr>
              <w:t>23.51%</w:t>
            </w:r>
          </w:p>
        </w:tc>
        <w:tc>
          <w:tcPr>
            <w:tcW w:w="1276" w:type="dxa"/>
            <w:shd w:val="clear" w:color="auto" w:fill="auto"/>
            <w:noWrap w:val="0"/>
            <w:vAlign w:val="center"/>
          </w:tcPr>
          <w:p>
            <w:pPr>
              <w:rPr>
                <w:rFonts w:cs="宋体"/>
                <w:sz w:val="22"/>
              </w:rPr>
            </w:pPr>
            <w:r>
              <w:rPr>
                <w:sz w:val="22"/>
              </w:rPr>
              <w:t>0.29%</w:t>
            </w:r>
          </w:p>
        </w:tc>
        <w:tc>
          <w:tcPr>
            <w:tcW w:w="1276" w:type="dxa"/>
            <w:shd w:val="clear" w:color="auto" w:fill="auto"/>
            <w:noWrap w:val="0"/>
            <w:vAlign w:val="center"/>
          </w:tcPr>
          <w:p>
            <w:pPr>
              <w:rPr>
                <w:rFonts w:cs="宋体"/>
                <w:sz w:val="22"/>
              </w:rPr>
            </w:pPr>
            <w:r>
              <w:rPr>
                <w:sz w:val="22"/>
              </w:rPr>
              <w:t>6.59%</w:t>
            </w:r>
          </w:p>
        </w:tc>
        <w:tc>
          <w:tcPr>
            <w:tcW w:w="1417" w:type="dxa"/>
            <w:shd w:val="clear" w:color="auto" w:fill="auto"/>
            <w:noWrap w:val="0"/>
            <w:vAlign w:val="center"/>
          </w:tcPr>
          <w:p>
            <w:pPr>
              <w:rPr>
                <w:rFonts w:cs="宋体"/>
                <w:sz w:val="22"/>
              </w:rPr>
            </w:pPr>
            <w:r>
              <w:rPr>
                <w:sz w:val="22"/>
              </w:rPr>
              <w:t>0.09%</w:t>
            </w:r>
          </w:p>
        </w:tc>
        <w:tc>
          <w:tcPr>
            <w:tcW w:w="1134" w:type="dxa"/>
            <w:shd w:val="clear" w:color="auto" w:fill="auto"/>
            <w:noWrap w:val="0"/>
            <w:vAlign w:val="center"/>
          </w:tcPr>
          <w:p>
            <w:pPr>
              <w:rPr>
                <w:rFonts w:cs="宋体"/>
                <w:sz w:val="22"/>
              </w:rPr>
            </w:pPr>
            <w:r>
              <w:rPr>
                <w:sz w:val="22"/>
              </w:rPr>
              <w:t>16.92%</w:t>
            </w:r>
          </w:p>
        </w:tc>
        <w:tc>
          <w:tcPr>
            <w:tcW w:w="1134" w:type="dxa"/>
            <w:shd w:val="clear" w:color="auto" w:fill="auto"/>
            <w:noWrap w:val="0"/>
            <w:vAlign w:val="center"/>
          </w:tcPr>
          <w:p>
            <w:pPr>
              <w:rPr>
                <w:rFonts w:cs="宋体"/>
                <w:sz w:val="22"/>
              </w:rPr>
            </w:pPr>
            <w:r>
              <w:rPr>
                <w:sz w:val="22"/>
              </w:rPr>
              <w:t>0.20%</w:t>
            </w:r>
          </w:p>
        </w:tc>
      </w:tr>
    </w:tbl>
    <w:p>
      <w:pPr>
        <w:rPr>
          <w:rFonts w:hint="eastAsia" w:ascii="宋体" w:hAnsi="宋体" w:cs="宋体"/>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2、建信双债增强债券</w:t>
      </w:r>
      <w:r>
        <w:rPr>
          <w:rFonts w:ascii="宋体" w:hAnsi="宋体" w:cs="宋体"/>
          <w:bCs/>
          <w:color w:val="000000"/>
          <w:sz w:val="24"/>
        </w:rPr>
        <w:t>C</w:t>
      </w:r>
    </w:p>
    <w:tbl>
      <w:tblPr>
        <w:tblStyle w:val="2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134"/>
        <w:gridCol w:w="1276"/>
        <w:gridCol w:w="1276"/>
        <w:gridCol w:w="141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阶段</w:t>
            </w:r>
          </w:p>
        </w:tc>
        <w:tc>
          <w:tcPr>
            <w:tcW w:w="1134" w:type="dxa"/>
            <w:shd w:val="clear" w:color="auto" w:fill="auto"/>
            <w:noWrap w:val="0"/>
            <w:vAlign w:val="center"/>
          </w:tcPr>
          <w:p>
            <w:pPr>
              <w:snapToGrid w:val="0"/>
              <w:rPr>
                <w:rFonts w:ascii="宋体" w:hAnsi="宋体" w:cs="宋体"/>
                <w:bCs/>
                <w:color w:val="000000"/>
                <w:szCs w:val="21"/>
              </w:rPr>
            </w:pPr>
            <w:r>
              <w:rPr>
                <w:rFonts w:hint="eastAsia" w:ascii="宋体" w:hAnsi="宋体" w:cs="宋体"/>
                <w:bCs/>
                <w:color w:val="000000"/>
                <w:szCs w:val="21"/>
              </w:rPr>
              <w:t>份额净值增长率①</w:t>
            </w:r>
          </w:p>
        </w:tc>
        <w:tc>
          <w:tcPr>
            <w:tcW w:w="1276" w:type="dxa"/>
            <w:shd w:val="clear" w:color="auto" w:fill="auto"/>
            <w:noWrap w:val="0"/>
            <w:vAlign w:val="center"/>
          </w:tcPr>
          <w:p>
            <w:pPr>
              <w:snapToGrid w:val="0"/>
              <w:rPr>
                <w:rFonts w:ascii="宋体" w:hAnsi="宋体" w:cs="宋体"/>
                <w:bCs/>
                <w:color w:val="000000"/>
                <w:szCs w:val="21"/>
              </w:rPr>
            </w:pPr>
            <w:r>
              <w:rPr>
                <w:rFonts w:hint="eastAsia" w:ascii="宋体" w:hAnsi="宋体" w:cs="宋体"/>
                <w:bCs/>
                <w:color w:val="000000"/>
                <w:szCs w:val="21"/>
              </w:rPr>
              <w:t>份额净值增长率标准差②</w:t>
            </w:r>
          </w:p>
        </w:tc>
        <w:tc>
          <w:tcPr>
            <w:tcW w:w="1276" w:type="dxa"/>
            <w:shd w:val="clear" w:color="auto" w:fill="auto"/>
            <w:noWrap w:val="0"/>
            <w:vAlign w:val="center"/>
          </w:tcPr>
          <w:p>
            <w:pPr>
              <w:snapToGrid w:val="0"/>
              <w:rPr>
                <w:rFonts w:ascii="宋体" w:hAnsi="宋体" w:cs="宋体"/>
                <w:bCs/>
                <w:color w:val="000000"/>
                <w:szCs w:val="21"/>
              </w:rPr>
            </w:pPr>
            <w:r>
              <w:rPr>
                <w:rFonts w:hint="eastAsia" w:ascii="宋体" w:hAnsi="宋体" w:cs="宋体"/>
                <w:bCs/>
                <w:color w:val="000000"/>
                <w:szCs w:val="21"/>
              </w:rPr>
              <w:t>业绩比较基准收益率③</w:t>
            </w:r>
          </w:p>
        </w:tc>
        <w:tc>
          <w:tcPr>
            <w:tcW w:w="1417" w:type="dxa"/>
            <w:shd w:val="clear" w:color="auto" w:fill="auto"/>
            <w:noWrap w:val="0"/>
            <w:vAlign w:val="center"/>
          </w:tcPr>
          <w:p>
            <w:pPr>
              <w:snapToGrid w:val="0"/>
              <w:rPr>
                <w:rFonts w:ascii="宋体" w:hAnsi="宋体" w:cs="宋体"/>
                <w:bCs/>
                <w:color w:val="000000"/>
                <w:szCs w:val="21"/>
              </w:rPr>
            </w:pPr>
            <w:r>
              <w:rPr>
                <w:rFonts w:hint="eastAsia" w:ascii="宋体" w:hAnsi="宋体" w:cs="宋体"/>
                <w:bCs/>
                <w:color w:val="000000"/>
                <w:szCs w:val="21"/>
              </w:rPr>
              <w:t>业绩比较基准收益率标准差④</w:t>
            </w:r>
          </w:p>
        </w:tc>
        <w:tc>
          <w:tcPr>
            <w:tcW w:w="1134" w:type="dxa"/>
            <w:shd w:val="clear" w:color="auto" w:fill="auto"/>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①-③</w:t>
            </w:r>
          </w:p>
        </w:tc>
        <w:tc>
          <w:tcPr>
            <w:tcW w:w="1134" w:type="dxa"/>
            <w:shd w:val="clear" w:color="auto" w:fill="auto"/>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rPr>
                <w:rFonts w:hint="eastAsia" w:ascii="宋体" w:hAnsi="宋体" w:cs="宋体"/>
                <w:bCs/>
                <w:color w:val="000000"/>
                <w:szCs w:val="21"/>
              </w:rPr>
            </w:pPr>
            <w:r>
              <w:rPr>
                <w:rFonts w:ascii="宋体" w:hAnsi="宋体" w:cs="宋体"/>
                <w:bCs/>
                <w:color w:val="000000"/>
                <w:szCs w:val="21"/>
              </w:rPr>
              <w:t>自基金合同生效</w:t>
            </w:r>
            <w:r>
              <w:rPr>
                <w:rFonts w:hint="eastAsia" w:ascii="宋体" w:hAnsi="宋体" w:cs="宋体"/>
                <w:bCs/>
                <w:color w:val="000000"/>
                <w:szCs w:val="21"/>
              </w:rPr>
              <w:t>之日</w:t>
            </w:r>
            <w:r>
              <w:rPr>
                <w:rFonts w:ascii="宋体" w:hAnsi="宋体" w:cs="宋体"/>
                <w:bCs/>
                <w:color w:val="000000"/>
                <w:szCs w:val="21"/>
              </w:rPr>
              <w:t>—20</w:t>
            </w:r>
            <w:r>
              <w:rPr>
                <w:rFonts w:hint="eastAsia" w:ascii="宋体" w:hAnsi="宋体" w:cs="宋体"/>
                <w:bCs/>
                <w:color w:val="000000"/>
                <w:szCs w:val="21"/>
              </w:rPr>
              <w:t>13</w:t>
            </w:r>
            <w:r>
              <w:rPr>
                <w:rFonts w:ascii="宋体" w:hAnsi="宋体" w:cs="宋体"/>
                <w:bCs/>
                <w:color w:val="000000"/>
                <w:szCs w:val="21"/>
              </w:rPr>
              <w:t>年</w:t>
            </w:r>
            <w:r>
              <w:rPr>
                <w:rFonts w:hint="eastAsia" w:ascii="宋体" w:hAnsi="宋体" w:cs="宋体"/>
                <w:bCs/>
                <w:color w:val="000000"/>
                <w:szCs w:val="21"/>
              </w:rPr>
              <w:t>12</w:t>
            </w:r>
            <w:r>
              <w:rPr>
                <w:rFonts w:ascii="宋体" w:hAnsi="宋体" w:cs="宋体"/>
                <w:bCs/>
                <w:color w:val="000000"/>
                <w:szCs w:val="21"/>
              </w:rPr>
              <w:t>月</w:t>
            </w:r>
            <w:r>
              <w:rPr>
                <w:rFonts w:hint="eastAsia" w:ascii="宋体" w:hAnsi="宋体" w:cs="宋体"/>
                <w:bCs/>
                <w:color w:val="000000"/>
                <w:szCs w:val="21"/>
              </w:rPr>
              <w:t>31</w:t>
            </w:r>
            <w:r>
              <w:rPr>
                <w:rFonts w:ascii="宋体" w:hAnsi="宋体" w:cs="宋体"/>
                <w:bCs/>
                <w:color w:val="000000"/>
                <w:szCs w:val="21"/>
              </w:rPr>
              <w:t>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1.60%</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0.04%</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-3.81%</w:t>
            </w:r>
          </w:p>
        </w:tc>
        <w:tc>
          <w:tcPr>
            <w:tcW w:w="1417"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0.09%</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5.41%</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ascii="宋体" w:hAnsi="宋体" w:cs="宋体"/>
                <w:bCs/>
                <w:color w:val="00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rPr>
                <w:rFonts w:ascii="宋体" w:hAnsi="宋体" w:cs="宋体"/>
                <w:bCs/>
                <w:color w:val="000000"/>
                <w:szCs w:val="21"/>
              </w:rPr>
            </w:pPr>
            <w:r>
              <w:rPr>
                <w:rFonts w:hint="eastAsia" w:ascii="宋体" w:hAnsi="宋体" w:cs="宋体"/>
                <w:bCs/>
                <w:color w:val="000000"/>
                <w:szCs w:val="21"/>
              </w:rPr>
              <w:t>2014年1月1日－2014年12月31日</w:t>
            </w:r>
          </w:p>
        </w:tc>
        <w:tc>
          <w:tcPr>
            <w:tcW w:w="1134" w:type="dxa"/>
            <w:shd w:val="clear" w:color="auto" w:fill="auto"/>
            <w:noWrap w:val="0"/>
            <w:vAlign w:val="center"/>
          </w:tcPr>
          <w:p>
            <w:pPr>
              <w:snapToGrid w:val="0"/>
              <w:jc w:val="right"/>
              <w:rPr>
                <w:rFonts w:ascii="宋体" w:hAnsi="宋体" w:cs="宋体"/>
                <w:bCs/>
                <w:color w:val="000000"/>
                <w:szCs w:val="21"/>
              </w:rPr>
            </w:pPr>
            <w:r>
              <w:rPr>
                <w:rFonts w:ascii="宋体" w:hAnsi="宋体" w:cs="宋体"/>
                <w:bCs/>
                <w:color w:val="000000"/>
                <w:szCs w:val="21"/>
              </w:rPr>
              <w:t>12.42%</w:t>
            </w:r>
          </w:p>
        </w:tc>
        <w:tc>
          <w:tcPr>
            <w:tcW w:w="1276" w:type="dxa"/>
            <w:shd w:val="clear" w:color="auto" w:fill="auto"/>
            <w:noWrap w:val="0"/>
            <w:vAlign w:val="center"/>
          </w:tcPr>
          <w:p>
            <w:pPr>
              <w:snapToGrid w:val="0"/>
              <w:jc w:val="right"/>
              <w:rPr>
                <w:rFonts w:ascii="宋体" w:hAnsi="宋体" w:cs="宋体"/>
                <w:bCs/>
                <w:color w:val="000000"/>
                <w:szCs w:val="21"/>
              </w:rPr>
            </w:pPr>
            <w:r>
              <w:rPr>
                <w:rFonts w:ascii="宋体" w:hAnsi="宋体" w:cs="宋体"/>
                <w:bCs/>
                <w:color w:val="000000"/>
                <w:szCs w:val="21"/>
              </w:rPr>
              <w:t>0.</w:t>
            </w:r>
            <w:r>
              <w:rPr>
                <w:rFonts w:hint="eastAsia" w:ascii="宋体" w:hAnsi="宋体" w:cs="宋体"/>
                <w:bCs/>
                <w:color w:val="000000"/>
                <w:szCs w:val="21"/>
              </w:rPr>
              <w:t>12</w:t>
            </w:r>
            <w:r>
              <w:rPr>
                <w:rFonts w:ascii="宋体" w:hAnsi="宋体" w:cs="宋体"/>
                <w:bCs/>
                <w:color w:val="000000"/>
                <w:szCs w:val="21"/>
              </w:rPr>
              <w:t>%</w:t>
            </w:r>
          </w:p>
        </w:tc>
        <w:tc>
          <w:tcPr>
            <w:tcW w:w="1276"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6.54</w:t>
            </w:r>
            <w:r>
              <w:rPr>
                <w:rFonts w:ascii="宋体" w:hAnsi="宋体" w:cs="宋体"/>
                <w:bCs/>
                <w:color w:val="000000"/>
                <w:szCs w:val="21"/>
              </w:rPr>
              <w:t>%</w:t>
            </w:r>
          </w:p>
        </w:tc>
        <w:tc>
          <w:tcPr>
            <w:tcW w:w="1417" w:type="dxa"/>
            <w:shd w:val="clear" w:color="auto" w:fill="auto"/>
            <w:noWrap w:val="0"/>
            <w:vAlign w:val="center"/>
          </w:tcPr>
          <w:p>
            <w:pPr>
              <w:snapToGrid w:val="0"/>
              <w:jc w:val="right"/>
              <w:rPr>
                <w:rFonts w:ascii="宋体" w:hAnsi="宋体" w:cs="宋体"/>
                <w:bCs/>
                <w:color w:val="000000"/>
                <w:szCs w:val="21"/>
              </w:rPr>
            </w:pPr>
            <w:r>
              <w:rPr>
                <w:rFonts w:ascii="宋体" w:hAnsi="宋体" w:cs="宋体"/>
                <w:bCs/>
                <w:color w:val="000000"/>
                <w:szCs w:val="21"/>
              </w:rPr>
              <w:t>0.</w:t>
            </w:r>
            <w:r>
              <w:rPr>
                <w:rFonts w:hint="eastAsia" w:ascii="宋体" w:hAnsi="宋体" w:cs="宋体"/>
                <w:bCs/>
                <w:color w:val="000000"/>
                <w:szCs w:val="21"/>
              </w:rPr>
              <w:t>11</w:t>
            </w:r>
            <w:r>
              <w:rPr>
                <w:rFonts w:ascii="宋体" w:hAnsi="宋体" w:cs="宋体"/>
                <w:bCs/>
                <w:color w:val="000000"/>
                <w:szCs w:val="21"/>
              </w:rPr>
              <w:t>%</w:t>
            </w:r>
          </w:p>
        </w:tc>
        <w:tc>
          <w:tcPr>
            <w:tcW w:w="1134"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5.88</w:t>
            </w:r>
            <w:r>
              <w:rPr>
                <w:rFonts w:ascii="宋体" w:hAnsi="宋体" w:cs="宋体"/>
                <w:bCs/>
                <w:color w:val="000000"/>
                <w:szCs w:val="21"/>
              </w:rPr>
              <w:t>%</w:t>
            </w:r>
          </w:p>
        </w:tc>
        <w:tc>
          <w:tcPr>
            <w:tcW w:w="1134" w:type="dxa"/>
            <w:shd w:val="clear" w:color="auto" w:fill="auto"/>
            <w:noWrap w:val="0"/>
            <w:vAlign w:val="center"/>
          </w:tcPr>
          <w:p>
            <w:pPr>
              <w:snapToGrid w:val="0"/>
              <w:jc w:val="right"/>
              <w:rPr>
                <w:rFonts w:ascii="宋体" w:hAnsi="宋体" w:cs="宋体"/>
                <w:bCs/>
                <w:color w:val="000000"/>
                <w:szCs w:val="21"/>
              </w:rPr>
            </w:pPr>
            <w:r>
              <w:rPr>
                <w:rFonts w:ascii="宋体" w:hAnsi="宋体" w:cs="宋体"/>
                <w:bCs/>
                <w:color w:val="000000"/>
                <w:szCs w:val="21"/>
              </w:rPr>
              <w:t>0.0</w:t>
            </w:r>
            <w:r>
              <w:rPr>
                <w:rFonts w:hint="eastAsia" w:ascii="宋体" w:hAnsi="宋体" w:cs="宋体"/>
                <w:bCs/>
                <w:color w:val="000000"/>
                <w:szCs w:val="21"/>
              </w:rPr>
              <w:t>1</w:t>
            </w:r>
            <w:r>
              <w:rPr>
                <w:rFonts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rPr>
                <w:rFonts w:ascii="宋体" w:hAnsi="宋体" w:cs="宋体"/>
                <w:bCs/>
                <w:color w:val="000000"/>
                <w:szCs w:val="21"/>
              </w:rPr>
            </w:pPr>
            <w:r>
              <w:rPr>
                <w:rFonts w:hint="eastAsia" w:ascii="宋体" w:hAnsi="宋体" w:cs="宋体"/>
                <w:bCs/>
                <w:color w:val="000000"/>
                <w:szCs w:val="21"/>
              </w:rPr>
              <w:t>2015年1月1日—2015年12月31日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9.20%</w:t>
            </w:r>
          </w:p>
        </w:tc>
        <w:tc>
          <w:tcPr>
            <w:tcW w:w="1276"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0.10%</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4.19%</w:t>
            </w:r>
          </w:p>
        </w:tc>
        <w:tc>
          <w:tcPr>
            <w:tcW w:w="1417"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0.08%</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5.01%</w:t>
            </w:r>
          </w:p>
        </w:tc>
        <w:tc>
          <w:tcPr>
            <w:tcW w:w="1134"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rPr>
                <w:rFonts w:hint="eastAsia" w:ascii="宋体" w:hAnsi="宋体" w:cs="宋体"/>
                <w:bCs/>
                <w:color w:val="000000"/>
                <w:szCs w:val="21"/>
              </w:rPr>
            </w:pPr>
            <w:r>
              <w:rPr>
                <w:rFonts w:hint="eastAsia" w:ascii="宋体" w:hAnsi="宋体" w:cs="宋体"/>
                <w:bCs/>
                <w:color w:val="000000"/>
                <w:szCs w:val="21"/>
              </w:rPr>
              <w:t>2016年1月1日-2016年12月31日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-0.57%</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0.14%</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-1.63%</w:t>
            </w:r>
          </w:p>
        </w:tc>
        <w:tc>
          <w:tcPr>
            <w:tcW w:w="1417"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0.09%</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1.06%</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rPr>
                <w:rFonts w:hint="eastAsia" w:ascii="宋体" w:hAnsi="宋体" w:cs="宋体"/>
                <w:bCs/>
                <w:color w:val="000000"/>
                <w:szCs w:val="21"/>
              </w:rPr>
            </w:pPr>
            <w:r>
              <w:rPr>
                <w:rFonts w:hint="eastAsia" w:ascii="宋体" w:hAnsi="宋体" w:cs="宋体"/>
                <w:bCs/>
                <w:color w:val="000000"/>
                <w:szCs w:val="21"/>
              </w:rPr>
              <w:t>2017年1月1日-2017年12月31日</w:t>
            </w:r>
          </w:p>
        </w:tc>
        <w:tc>
          <w:tcPr>
            <w:tcW w:w="1134"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-3.01</w:t>
            </w:r>
            <w:r>
              <w:rPr>
                <w:rFonts w:ascii="宋体" w:hAnsi="宋体" w:cs="宋体"/>
                <w:bCs/>
                <w:color w:val="000000"/>
                <w:szCs w:val="21"/>
              </w:rPr>
              <w:t>%</w:t>
            </w:r>
          </w:p>
        </w:tc>
        <w:tc>
          <w:tcPr>
            <w:tcW w:w="1276"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0.31</w:t>
            </w:r>
            <w:r>
              <w:rPr>
                <w:rFonts w:ascii="宋体" w:hAnsi="宋体" w:cs="宋体"/>
                <w:bCs/>
                <w:color w:val="000000"/>
                <w:szCs w:val="21"/>
              </w:rPr>
              <w:t>%</w:t>
            </w:r>
          </w:p>
        </w:tc>
        <w:tc>
          <w:tcPr>
            <w:tcW w:w="1276"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-3.38</w:t>
            </w:r>
            <w:r>
              <w:rPr>
                <w:rFonts w:ascii="宋体" w:hAnsi="宋体" w:cs="宋体"/>
                <w:bCs/>
                <w:color w:val="000000"/>
                <w:szCs w:val="21"/>
              </w:rPr>
              <w:t>%</w:t>
            </w:r>
          </w:p>
        </w:tc>
        <w:tc>
          <w:tcPr>
            <w:tcW w:w="1417"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0.06</w:t>
            </w:r>
            <w:r>
              <w:rPr>
                <w:rFonts w:ascii="宋体" w:hAnsi="宋体" w:cs="宋体"/>
                <w:bCs/>
                <w:color w:val="000000"/>
                <w:szCs w:val="21"/>
              </w:rPr>
              <w:t>%</w:t>
            </w:r>
          </w:p>
        </w:tc>
        <w:tc>
          <w:tcPr>
            <w:tcW w:w="1134"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0.37</w:t>
            </w:r>
            <w:r>
              <w:rPr>
                <w:rFonts w:ascii="宋体" w:hAnsi="宋体" w:cs="宋体"/>
                <w:bCs/>
                <w:color w:val="000000"/>
                <w:szCs w:val="21"/>
              </w:rPr>
              <w:t>%</w:t>
            </w:r>
          </w:p>
        </w:tc>
        <w:tc>
          <w:tcPr>
            <w:tcW w:w="1134" w:type="dxa"/>
            <w:shd w:val="clear" w:color="auto" w:fill="auto"/>
            <w:noWrap w:val="0"/>
            <w:vAlign w:val="center"/>
          </w:tcPr>
          <w:p>
            <w:pPr>
              <w:snapToGrid w:val="0"/>
              <w:jc w:val="right"/>
              <w:rPr>
                <w:rFonts w:hint="eastAsia" w:ascii="宋体" w:hAnsi="宋体" w:cs="宋体"/>
                <w:bCs/>
                <w:color w:val="000000"/>
                <w:szCs w:val="21"/>
              </w:rPr>
            </w:pPr>
          </w:p>
          <w:p>
            <w:pPr>
              <w:snapToGrid w:val="0"/>
              <w:jc w:val="right"/>
              <w:rPr>
                <w:rFonts w:hint="eastAsia" w:ascii="宋体" w:hAnsi="宋体" w:cs="宋体"/>
                <w:bCs/>
                <w:color w:val="000000"/>
                <w:szCs w:val="21"/>
              </w:rPr>
            </w:pPr>
            <w:r>
              <w:rPr>
                <w:rFonts w:hint="eastAsia" w:ascii="宋体" w:hAnsi="宋体" w:cs="宋体"/>
                <w:bCs/>
                <w:color w:val="000000"/>
                <w:szCs w:val="21"/>
              </w:rPr>
              <w:t>0.25</w:t>
            </w:r>
            <w:r>
              <w:rPr>
                <w:rFonts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rPr>
                <w:rFonts w:ascii="宋体" w:hAnsi="宋体" w:cs="宋体"/>
                <w:bCs/>
                <w:color w:val="000000"/>
                <w:szCs w:val="21"/>
              </w:rPr>
            </w:pPr>
            <w:r>
              <w:rPr>
                <w:rFonts w:hint="eastAsia" w:ascii="宋体" w:hAnsi="宋体" w:cs="宋体"/>
                <w:bCs/>
                <w:color w:val="000000"/>
                <w:szCs w:val="21"/>
              </w:rPr>
              <w:t>2018年1月1日-</w:t>
            </w:r>
            <w:r>
              <w:rPr>
                <w:rFonts w:ascii="宋体" w:hAnsi="宋体" w:cs="宋体"/>
                <w:bCs/>
                <w:color w:val="000000"/>
                <w:sz w:val="24"/>
              </w:rPr>
              <w:t>20</w:t>
            </w:r>
            <w:r>
              <w:rPr>
                <w:rFonts w:hint="eastAsia" w:ascii="宋体" w:hAnsi="宋体" w:cs="宋体"/>
                <w:bCs/>
                <w:color w:val="000000"/>
                <w:sz w:val="24"/>
              </w:rPr>
              <w:t>18</w:t>
            </w:r>
            <w:r>
              <w:rPr>
                <w:rFonts w:ascii="宋体" w:hAnsi="宋体" w:cs="宋体"/>
                <w:bCs/>
                <w:color w:val="000000"/>
                <w:sz w:val="24"/>
              </w:rPr>
              <w:t>年</w:t>
            </w:r>
            <w:r>
              <w:rPr>
                <w:rFonts w:hint="eastAsia" w:ascii="宋体" w:hAnsi="宋体" w:cs="宋体"/>
                <w:bCs/>
                <w:color w:val="000000"/>
                <w:sz w:val="24"/>
              </w:rPr>
              <w:t>12</w:t>
            </w:r>
            <w:r>
              <w:rPr>
                <w:rFonts w:ascii="宋体" w:hAnsi="宋体" w:cs="宋体"/>
                <w:bCs/>
                <w:color w:val="000000"/>
                <w:sz w:val="24"/>
              </w:rPr>
              <w:t>月</w:t>
            </w:r>
            <w:r>
              <w:rPr>
                <w:rFonts w:hint="eastAsia" w:ascii="宋体" w:hAnsi="宋体" w:cs="宋体"/>
                <w:bCs/>
                <w:color w:val="000000"/>
                <w:sz w:val="24"/>
              </w:rPr>
              <w:t>31</w:t>
            </w:r>
            <w:r>
              <w:rPr>
                <w:rFonts w:ascii="宋体" w:hAnsi="宋体" w:cs="宋体"/>
                <w:bCs/>
                <w:color w:val="000000"/>
                <w:sz w:val="24"/>
              </w:rPr>
              <w:t>日</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-7.05%</w:t>
            </w:r>
          </w:p>
        </w:tc>
        <w:tc>
          <w:tcPr>
            <w:tcW w:w="1276"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0.50%</w:t>
            </w:r>
          </w:p>
        </w:tc>
        <w:tc>
          <w:tcPr>
            <w:tcW w:w="1276"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4.79%</w:t>
            </w:r>
          </w:p>
        </w:tc>
        <w:tc>
          <w:tcPr>
            <w:tcW w:w="1417"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0.07%</w:t>
            </w:r>
          </w:p>
        </w:tc>
        <w:tc>
          <w:tcPr>
            <w:tcW w:w="1134" w:type="dxa"/>
            <w:shd w:val="clear" w:color="auto" w:fill="auto"/>
            <w:noWrap w:val="0"/>
            <w:vAlign w:val="center"/>
          </w:tcPr>
          <w:p>
            <w:pPr>
              <w:snapToGrid w:val="0"/>
              <w:jc w:val="right"/>
              <w:rPr>
                <w:rFonts w:hint="eastAsia" w:ascii="宋体" w:hAnsi="宋体" w:cs="宋体"/>
                <w:bCs/>
                <w:color w:val="000000"/>
                <w:szCs w:val="21"/>
              </w:rPr>
            </w:pPr>
            <w:r>
              <w:rPr>
                <w:rFonts w:hint="eastAsia" w:ascii="宋体" w:hAnsi="宋体" w:cs="宋体"/>
                <w:bCs/>
                <w:color w:val="000000"/>
                <w:szCs w:val="21"/>
              </w:rPr>
              <w:t>-11.84%</w:t>
            </w:r>
          </w:p>
        </w:tc>
        <w:tc>
          <w:tcPr>
            <w:tcW w:w="1134" w:type="dxa"/>
            <w:shd w:val="clear" w:color="auto" w:fill="auto"/>
            <w:noWrap w:val="0"/>
            <w:vAlign w:val="center"/>
          </w:tcPr>
          <w:p>
            <w:pPr>
              <w:snapToGrid w:val="0"/>
              <w:jc w:val="right"/>
              <w:rPr>
                <w:rFonts w:ascii="宋体" w:hAnsi="宋体" w:cs="宋体"/>
                <w:bCs/>
                <w:color w:val="000000"/>
                <w:szCs w:val="21"/>
              </w:rPr>
            </w:pPr>
            <w:r>
              <w:rPr>
                <w:rFonts w:hint="eastAsia" w:ascii="宋体" w:hAnsi="宋体" w:cs="宋体"/>
                <w:bCs/>
                <w:color w:val="000000"/>
                <w:szCs w:val="21"/>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jc w:val="left"/>
              <w:rPr>
                <w:rFonts w:ascii="宋体" w:hAnsi="宋体" w:cs="宋体"/>
                <w:bCs/>
                <w:color w:val="000000"/>
                <w:szCs w:val="21"/>
              </w:rPr>
            </w:pPr>
            <w:r>
              <w:rPr>
                <w:rFonts w:hint="eastAsia" w:ascii="宋体" w:hAnsi="宋体" w:cs="宋体"/>
                <w:bCs/>
                <w:color w:val="000000"/>
                <w:szCs w:val="21"/>
              </w:rPr>
              <w:t>2019年1月1日-</w:t>
            </w:r>
            <w:r>
              <w:rPr>
                <w:rFonts w:ascii="宋体" w:hAnsi="宋体" w:cs="宋体"/>
                <w:bCs/>
                <w:color w:val="000000"/>
                <w:sz w:val="24"/>
              </w:rPr>
              <w:t>20</w:t>
            </w:r>
            <w:r>
              <w:rPr>
                <w:rFonts w:hint="eastAsia" w:ascii="宋体" w:hAnsi="宋体" w:cs="宋体"/>
                <w:bCs/>
                <w:color w:val="000000"/>
                <w:sz w:val="24"/>
              </w:rPr>
              <w:t>19</w:t>
            </w:r>
            <w:r>
              <w:rPr>
                <w:rFonts w:ascii="宋体" w:hAnsi="宋体" w:cs="宋体"/>
                <w:bCs/>
                <w:color w:val="000000"/>
                <w:sz w:val="24"/>
              </w:rPr>
              <w:t>年</w:t>
            </w:r>
            <w:r>
              <w:rPr>
                <w:rFonts w:hint="eastAsia" w:ascii="宋体" w:hAnsi="宋体" w:cs="宋体"/>
                <w:bCs/>
                <w:color w:val="000000"/>
                <w:sz w:val="24"/>
              </w:rPr>
              <w:t>6</w:t>
            </w:r>
            <w:r>
              <w:rPr>
                <w:rFonts w:ascii="宋体" w:hAnsi="宋体" w:cs="宋体"/>
                <w:bCs/>
                <w:color w:val="000000"/>
                <w:sz w:val="24"/>
              </w:rPr>
              <w:t>月</w:t>
            </w:r>
            <w:r>
              <w:rPr>
                <w:rFonts w:hint="eastAsia" w:ascii="宋体" w:hAnsi="宋体" w:cs="宋体"/>
                <w:bCs/>
                <w:color w:val="000000"/>
                <w:sz w:val="24"/>
              </w:rPr>
              <w:t>30</w:t>
            </w:r>
            <w:r>
              <w:rPr>
                <w:rFonts w:ascii="宋体" w:hAnsi="宋体" w:cs="宋体"/>
                <w:bCs/>
                <w:color w:val="000000"/>
                <w:sz w:val="24"/>
              </w:rPr>
              <w:t>日</w:t>
            </w:r>
          </w:p>
        </w:tc>
        <w:tc>
          <w:tcPr>
            <w:tcW w:w="1134" w:type="dxa"/>
            <w:shd w:val="clear" w:color="auto" w:fill="auto"/>
            <w:noWrap w:val="0"/>
            <w:vAlign w:val="center"/>
          </w:tcPr>
          <w:p>
            <w:pPr>
              <w:rPr>
                <w:rFonts w:cs="宋体"/>
                <w:sz w:val="22"/>
              </w:rPr>
            </w:pPr>
            <w:r>
              <w:rPr>
                <w:sz w:val="22"/>
              </w:rPr>
              <w:t>8.04%</w:t>
            </w:r>
          </w:p>
        </w:tc>
        <w:tc>
          <w:tcPr>
            <w:tcW w:w="1276" w:type="dxa"/>
            <w:shd w:val="clear" w:color="auto" w:fill="auto"/>
            <w:noWrap w:val="0"/>
            <w:vAlign w:val="center"/>
          </w:tcPr>
          <w:p>
            <w:pPr>
              <w:rPr>
                <w:rFonts w:cs="宋体"/>
                <w:sz w:val="22"/>
              </w:rPr>
            </w:pPr>
            <w:r>
              <w:rPr>
                <w:sz w:val="22"/>
              </w:rPr>
              <w:t>0.45%</w:t>
            </w:r>
          </w:p>
        </w:tc>
        <w:tc>
          <w:tcPr>
            <w:tcW w:w="1276" w:type="dxa"/>
            <w:shd w:val="clear" w:color="auto" w:fill="auto"/>
            <w:noWrap w:val="0"/>
            <w:vAlign w:val="center"/>
          </w:tcPr>
          <w:p>
            <w:pPr>
              <w:rPr>
                <w:rFonts w:cs="宋体"/>
                <w:sz w:val="22"/>
              </w:rPr>
            </w:pPr>
            <w:r>
              <w:rPr>
                <w:sz w:val="22"/>
              </w:rPr>
              <w:t>0.24%</w:t>
            </w:r>
          </w:p>
        </w:tc>
        <w:tc>
          <w:tcPr>
            <w:tcW w:w="1417" w:type="dxa"/>
            <w:shd w:val="clear" w:color="auto" w:fill="auto"/>
            <w:noWrap w:val="0"/>
            <w:vAlign w:val="center"/>
          </w:tcPr>
          <w:p>
            <w:pPr>
              <w:rPr>
                <w:rFonts w:cs="宋体"/>
                <w:sz w:val="22"/>
              </w:rPr>
            </w:pPr>
            <w:r>
              <w:rPr>
                <w:sz w:val="22"/>
              </w:rPr>
              <w:t>0.06%</w:t>
            </w:r>
          </w:p>
        </w:tc>
        <w:tc>
          <w:tcPr>
            <w:tcW w:w="1134" w:type="dxa"/>
            <w:shd w:val="clear" w:color="auto" w:fill="auto"/>
            <w:noWrap w:val="0"/>
            <w:vAlign w:val="center"/>
          </w:tcPr>
          <w:p>
            <w:pPr>
              <w:rPr>
                <w:rFonts w:cs="宋体"/>
                <w:sz w:val="22"/>
              </w:rPr>
            </w:pPr>
            <w:r>
              <w:rPr>
                <w:sz w:val="22"/>
              </w:rPr>
              <w:t>7.80%</w:t>
            </w:r>
          </w:p>
        </w:tc>
        <w:tc>
          <w:tcPr>
            <w:tcW w:w="1134" w:type="dxa"/>
            <w:shd w:val="clear" w:color="auto" w:fill="auto"/>
            <w:noWrap w:val="0"/>
            <w:vAlign w:val="center"/>
          </w:tcPr>
          <w:p>
            <w:pPr>
              <w:rPr>
                <w:rFonts w:cs="宋体"/>
                <w:sz w:val="22"/>
              </w:rPr>
            </w:pPr>
            <w:r>
              <w:rPr>
                <w:sz w:val="22"/>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shd w:val="clear" w:color="auto" w:fill="auto"/>
            <w:noWrap w:val="0"/>
            <w:vAlign w:val="center"/>
          </w:tcPr>
          <w:p>
            <w:pPr>
              <w:jc w:val="left"/>
              <w:rPr>
                <w:rFonts w:hint="eastAsia" w:ascii="宋体" w:hAnsi="宋体" w:cs="宋体"/>
                <w:bCs/>
                <w:color w:val="000000"/>
                <w:szCs w:val="21"/>
              </w:rPr>
            </w:pPr>
            <w:r>
              <w:rPr>
                <w:rFonts w:hint="eastAsia" w:ascii="宋体" w:hAnsi="宋体" w:cs="宋体"/>
                <w:bCs/>
                <w:color w:val="000000"/>
                <w:szCs w:val="21"/>
              </w:rPr>
              <w:t>基金合同生效之日</w:t>
            </w:r>
            <w:r>
              <w:rPr>
                <w:rFonts w:ascii="宋体" w:hAnsi="宋体" w:cs="宋体"/>
                <w:bCs/>
                <w:color w:val="000000"/>
                <w:szCs w:val="21"/>
              </w:rPr>
              <w:t>—</w:t>
            </w:r>
            <w:r>
              <w:rPr>
                <w:rFonts w:ascii="宋体" w:hAnsi="宋体" w:cs="宋体"/>
                <w:bCs/>
                <w:color w:val="000000"/>
                <w:sz w:val="24"/>
              </w:rPr>
              <w:t>20</w:t>
            </w:r>
            <w:r>
              <w:rPr>
                <w:rFonts w:hint="eastAsia" w:ascii="宋体" w:hAnsi="宋体" w:cs="宋体"/>
                <w:bCs/>
                <w:color w:val="000000"/>
                <w:sz w:val="24"/>
              </w:rPr>
              <w:t>19</w:t>
            </w:r>
            <w:r>
              <w:rPr>
                <w:rFonts w:ascii="宋体" w:hAnsi="宋体" w:cs="宋体"/>
                <w:bCs/>
                <w:color w:val="000000"/>
                <w:sz w:val="24"/>
              </w:rPr>
              <w:t>年</w:t>
            </w:r>
            <w:r>
              <w:rPr>
                <w:rFonts w:hint="eastAsia" w:ascii="宋体" w:hAnsi="宋体" w:cs="宋体"/>
                <w:bCs/>
                <w:color w:val="000000"/>
                <w:sz w:val="24"/>
              </w:rPr>
              <w:t>6</w:t>
            </w:r>
            <w:r>
              <w:rPr>
                <w:rFonts w:ascii="宋体" w:hAnsi="宋体" w:cs="宋体"/>
                <w:bCs/>
                <w:color w:val="000000"/>
                <w:sz w:val="24"/>
              </w:rPr>
              <w:t>月</w:t>
            </w:r>
            <w:r>
              <w:rPr>
                <w:rFonts w:hint="eastAsia" w:ascii="宋体" w:hAnsi="宋体" w:cs="宋体"/>
                <w:bCs/>
                <w:color w:val="000000"/>
                <w:sz w:val="24"/>
              </w:rPr>
              <w:t>30</w:t>
            </w:r>
            <w:r>
              <w:rPr>
                <w:rFonts w:ascii="宋体" w:hAnsi="宋体" w:cs="宋体"/>
                <w:bCs/>
                <w:color w:val="000000"/>
                <w:sz w:val="24"/>
              </w:rPr>
              <w:t>日</w:t>
            </w:r>
          </w:p>
        </w:tc>
        <w:tc>
          <w:tcPr>
            <w:tcW w:w="1134" w:type="dxa"/>
            <w:shd w:val="clear" w:color="auto" w:fill="auto"/>
            <w:noWrap w:val="0"/>
            <w:vAlign w:val="center"/>
          </w:tcPr>
          <w:p>
            <w:pPr>
              <w:rPr>
                <w:rFonts w:cs="宋体"/>
                <w:sz w:val="22"/>
              </w:rPr>
            </w:pPr>
            <w:r>
              <w:rPr>
                <w:sz w:val="22"/>
              </w:rPr>
              <w:t>20.79%</w:t>
            </w:r>
          </w:p>
        </w:tc>
        <w:tc>
          <w:tcPr>
            <w:tcW w:w="1276" w:type="dxa"/>
            <w:shd w:val="clear" w:color="auto" w:fill="auto"/>
            <w:noWrap w:val="0"/>
            <w:vAlign w:val="center"/>
          </w:tcPr>
          <w:p>
            <w:pPr>
              <w:rPr>
                <w:rFonts w:cs="宋体"/>
                <w:sz w:val="22"/>
              </w:rPr>
            </w:pPr>
            <w:r>
              <w:rPr>
                <w:sz w:val="22"/>
              </w:rPr>
              <w:t>0.29%</w:t>
            </w:r>
          </w:p>
        </w:tc>
        <w:tc>
          <w:tcPr>
            <w:tcW w:w="1276" w:type="dxa"/>
            <w:shd w:val="clear" w:color="auto" w:fill="auto"/>
            <w:noWrap w:val="0"/>
            <w:vAlign w:val="center"/>
          </w:tcPr>
          <w:p>
            <w:pPr>
              <w:rPr>
                <w:rFonts w:cs="宋体"/>
                <w:sz w:val="22"/>
              </w:rPr>
            </w:pPr>
            <w:r>
              <w:rPr>
                <w:sz w:val="22"/>
              </w:rPr>
              <w:t>6.59%</w:t>
            </w:r>
          </w:p>
        </w:tc>
        <w:tc>
          <w:tcPr>
            <w:tcW w:w="1417" w:type="dxa"/>
            <w:shd w:val="clear" w:color="auto" w:fill="auto"/>
            <w:noWrap w:val="0"/>
            <w:vAlign w:val="center"/>
          </w:tcPr>
          <w:p>
            <w:pPr>
              <w:rPr>
                <w:rFonts w:cs="宋体"/>
                <w:sz w:val="22"/>
              </w:rPr>
            </w:pPr>
            <w:r>
              <w:rPr>
                <w:sz w:val="22"/>
              </w:rPr>
              <w:t>0.09%</w:t>
            </w:r>
          </w:p>
        </w:tc>
        <w:tc>
          <w:tcPr>
            <w:tcW w:w="1134" w:type="dxa"/>
            <w:shd w:val="clear" w:color="auto" w:fill="auto"/>
            <w:noWrap w:val="0"/>
            <w:vAlign w:val="center"/>
          </w:tcPr>
          <w:p>
            <w:pPr>
              <w:rPr>
                <w:rFonts w:cs="宋体"/>
                <w:sz w:val="22"/>
              </w:rPr>
            </w:pPr>
            <w:r>
              <w:rPr>
                <w:sz w:val="22"/>
              </w:rPr>
              <w:t>14.20%</w:t>
            </w:r>
          </w:p>
        </w:tc>
        <w:tc>
          <w:tcPr>
            <w:tcW w:w="1134" w:type="dxa"/>
            <w:shd w:val="clear" w:color="auto" w:fill="auto"/>
            <w:noWrap w:val="0"/>
            <w:vAlign w:val="center"/>
          </w:tcPr>
          <w:p>
            <w:pPr>
              <w:rPr>
                <w:rFonts w:cs="宋体"/>
                <w:sz w:val="22"/>
              </w:rPr>
            </w:pPr>
            <w:r>
              <w:rPr>
                <w:sz w:val="22"/>
              </w:rPr>
              <w:t>0.20%</w:t>
            </w:r>
          </w:p>
        </w:tc>
      </w:tr>
    </w:tbl>
    <w:p>
      <w:pPr>
        <w:spacing w:line="360" w:lineRule="auto"/>
        <w:ind w:firstLine="480"/>
        <w:rPr>
          <w:rFonts w:hint="eastAsia" w:ascii="宋体" w:hAnsi="宋体" w:cs="宋体"/>
        </w:rPr>
      </w:pPr>
    </w:p>
    <w:p>
      <w:pPr>
        <w:widowControl/>
        <w:spacing w:line="560" w:lineRule="exact"/>
        <w:ind w:firstLine="454"/>
        <w:jc w:val="left"/>
        <w:rPr>
          <w:rFonts w:hint="eastAsia"/>
          <w:sz w:val="24"/>
        </w:rPr>
      </w:pPr>
    </w:p>
    <w:p>
      <w:pPr>
        <w:spacing w:line="360" w:lineRule="auto"/>
        <w:ind w:firstLine="480"/>
        <w:jc w:val="left"/>
        <w:rPr>
          <w:rFonts w:hint="eastAsia"/>
          <w:sz w:val="24"/>
        </w:rPr>
      </w:pPr>
    </w:p>
    <w:p/>
    <w:p>
      <w:pPr>
        <w:spacing w:line="360" w:lineRule="auto"/>
        <w:ind w:firstLine="480"/>
        <w:rPr>
          <w:rFonts w:hint="eastAsia" w:ascii="宋体" w:hAnsi="宋体" w:cs="宋体"/>
        </w:rPr>
      </w:pPr>
    </w:p>
    <w:p>
      <w:pPr>
        <w:widowControl/>
        <w:spacing w:line="560" w:lineRule="exact"/>
        <w:ind w:firstLine="454"/>
        <w:jc w:val="left"/>
        <w:rPr>
          <w:rFonts w:hint="eastAsia"/>
          <w:sz w:val="24"/>
        </w:rPr>
      </w:pPr>
    </w:p>
    <w:p>
      <w:pPr>
        <w:spacing w:line="360" w:lineRule="auto"/>
        <w:ind w:firstLine="480"/>
        <w:jc w:val="left"/>
        <w:rPr>
          <w:rFonts w:hint="eastAsia"/>
          <w:sz w:val="24"/>
        </w:rPr>
      </w:pPr>
    </w:p>
    <w:p/>
    <w:p>
      <w:pPr>
        <w:spacing w:line="360" w:lineRule="auto"/>
        <w:ind w:firstLine="480"/>
        <w:rPr>
          <w:rFonts w:hint="eastAsia" w:ascii="宋体" w:hAnsi="宋体" w:cs="宋体"/>
          <w:lang w:eastAsia="zh-CN"/>
        </w:rPr>
      </w:pPr>
    </w:p>
    <w:p>
      <w:pPr>
        <w:widowControl/>
        <w:spacing w:line="560" w:lineRule="exact"/>
        <w:ind w:firstLine="454"/>
        <w:jc w:val="left"/>
        <w:rPr>
          <w:rFonts w:hint="eastAsia"/>
          <w:sz w:val="24"/>
        </w:rPr>
      </w:pPr>
    </w:p>
    <w:p>
      <w:pPr>
        <w:spacing w:line="360" w:lineRule="auto"/>
        <w:ind w:firstLine="480"/>
        <w:jc w:val="left"/>
        <w:rPr>
          <w:rFonts w:hint="eastAsia"/>
          <w:sz w:val="24"/>
        </w:rPr>
      </w:pPr>
    </w:p>
    <w:p>
      <w:pPr>
        <w:pStyle w:val="2"/>
        <w:pageBreakBefore/>
        <w:spacing w:before="0" w:after="0"/>
        <w:jc w:val="center"/>
        <w:rPr>
          <w:rFonts w:hint="eastAsia" w:cs="宋体"/>
          <w:bCs/>
        </w:rPr>
      </w:pPr>
      <w:bookmarkStart w:id="13" w:name="_Toc521587223"/>
      <w:r>
        <w:rPr>
          <w:rFonts w:hint="eastAsia" w:ascii="Times New Roman" w:hAnsi="Times New Roman"/>
          <w:color w:val="auto"/>
          <w:sz w:val="30"/>
        </w:rPr>
        <w:t>第十一部分 基金的财产</w:t>
      </w:r>
      <w:bookmarkEnd w:id="13"/>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一、基金财产的构成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基金资产总值是指基金拥有的各类证券及票据价值、银行存款本息、基金应收申购款以及其他投资所形成的价值总和。</w:t>
      </w:r>
    </w:p>
    <w:p>
      <w:pPr>
        <w:spacing w:line="360" w:lineRule="auto"/>
        <w:ind w:firstLine="480"/>
        <w:rPr>
          <w:rFonts w:ascii="宋体" w:hAnsi="宋体" w:cs="宋体"/>
          <w:bCs/>
          <w:color w:val="000000"/>
          <w:sz w:val="24"/>
        </w:rPr>
      </w:pPr>
      <w:r>
        <w:rPr>
          <w:rFonts w:hint="eastAsia" w:ascii="宋体" w:hAnsi="宋体" w:cs="宋体"/>
          <w:bCs/>
          <w:color w:val="000000"/>
          <w:sz w:val="24"/>
        </w:rPr>
        <w:t>二、</w:t>
      </w:r>
      <w:r>
        <w:rPr>
          <w:rFonts w:ascii="宋体" w:hAnsi="宋体" w:cs="宋体"/>
          <w:bCs/>
          <w:color w:val="000000"/>
          <w:sz w:val="24"/>
        </w:rPr>
        <w:t>基金</w:t>
      </w:r>
      <w:r>
        <w:rPr>
          <w:rFonts w:hint="eastAsia" w:ascii="宋体" w:hAnsi="宋体" w:cs="宋体"/>
          <w:bCs/>
          <w:color w:val="000000"/>
          <w:sz w:val="24"/>
        </w:rPr>
        <w:t>资</w:t>
      </w:r>
      <w:r>
        <w:rPr>
          <w:rFonts w:ascii="宋体" w:hAnsi="宋体" w:cs="宋体"/>
          <w:bCs/>
          <w:color w:val="000000"/>
          <w:sz w:val="24"/>
        </w:rPr>
        <w:t>产净值</w:t>
      </w:r>
    </w:p>
    <w:p>
      <w:pPr>
        <w:spacing w:line="360" w:lineRule="auto"/>
        <w:ind w:firstLine="480"/>
        <w:rPr>
          <w:rFonts w:hint="eastAsia" w:ascii="宋体" w:hAnsi="宋体" w:cs="宋体"/>
          <w:bCs/>
          <w:color w:val="000000"/>
          <w:sz w:val="24"/>
        </w:rPr>
      </w:pPr>
      <w:r>
        <w:rPr>
          <w:rFonts w:ascii="宋体" w:hAnsi="宋体" w:cs="宋体"/>
          <w:bCs/>
          <w:color w:val="000000"/>
          <w:sz w:val="24"/>
        </w:rPr>
        <w:t>基金</w:t>
      </w:r>
      <w:r>
        <w:rPr>
          <w:rFonts w:hint="eastAsia" w:ascii="宋体" w:hAnsi="宋体" w:cs="宋体"/>
          <w:bCs/>
          <w:color w:val="000000"/>
          <w:sz w:val="24"/>
        </w:rPr>
        <w:t>资</w:t>
      </w:r>
      <w:r>
        <w:rPr>
          <w:rFonts w:ascii="宋体" w:hAnsi="宋体" w:cs="宋体"/>
          <w:bCs/>
          <w:color w:val="000000"/>
          <w:sz w:val="24"/>
        </w:rPr>
        <w:t>产净值是指基金</w:t>
      </w:r>
      <w:r>
        <w:rPr>
          <w:rFonts w:hint="eastAsia" w:ascii="宋体" w:hAnsi="宋体" w:cs="宋体"/>
          <w:bCs/>
          <w:color w:val="000000"/>
          <w:sz w:val="24"/>
        </w:rPr>
        <w:t>资</w:t>
      </w:r>
      <w:r>
        <w:rPr>
          <w:rFonts w:ascii="宋体" w:hAnsi="宋体" w:cs="宋体"/>
          <w:bCs/>
          <w:color w:val="000000"/>
          <w:sz w:val="24"/>
        </w:rPr>
        <w:t>产总值减去基金负债后的价值。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三、基金财产的账户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四、基金财产的保管与处分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pPr>
        <w:spacing w:line="360" w:lineRule="auto"/>
        <w:ind w:firstLine="480"/>
        <w:rPr>
          <w:rFonts w:hint="eastAsia"/>
          <w:sz w:val="30"/>
        </w:rPr>
      </w:pPr>
      <w:r>
        <w:rPr>
          <w:rFonts w:hint="eastAsia" w:ascii="宋体" w:hAnsi="宋体" w:cs="宋体"/>
          <w:bCs/>
          <w:color w:val="000000"/>
          <w:sz w:val="24"/>
        </w:rPr>
        <w:t>基金管理人管理运作基金财产所产生的债权，不得与其固有资产产生的债务相互抵消；基金管理人管理运作不同基金的基金财产所产生的债权债务不得相互抵消。</w:t>
      </w:r>
    </w:p>
    <w:p>
      <w:pPr>
        <w:pStyle w:val="2"/>
        <w:pageBreakBefore/>
        <w:spacing w:before="0" w:after="0"/>
        <w:jc w:val="center"/>
        <w:rPr>
          <w:rFonts w:hint="eastAsia" w:cs="宋体"/>
          <w:bCs/>
        </w:rPr>
      </w:pPr>
      <w:bookmarkStart w:id="14" w:name="_Toc521587224"/>
      <w:r>
        <w:rPr>
          <w:rFonts w:hint="eastAsia" w:ascii="Times New Roman" w:hAnsi="Times New Roman"/>
          <w:color w:val="auto"/>
          <w:sz w:val="30"/>
        </w:rPr>
        <w:t>第十二部分 基金资产的估值</w:t>
      </w:r>
      <w:bookmarkEnd w:id="14"/>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一、估值目的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基金资产估值的目的是客观、准确地反映基金资产是否保值、增值，依据经基金资产估值后确定的基金资产净值而计算出的基金份额净值，是计算基金申购与赎回价格的基础。</w:t>
      </w:r>
    </w:p>
    <w:p>
      <w:pPr>
        <w:spacing w:line="360" w:lineRule="auto"/>
        <w:ind w:firstLine="480"/>
        <w:rPr>
          <w:rFonts w:ascii="宋体" w:hAnsi="宋体" w:cs="宋体"/>
          <w:bCs/>
          <w:color w:val="000000"/>
          <w:sz w:val="24"/>
        </w:rPr>
      </w:pPr>
      <w:r>
        <w:rPr>
          <w:rFonts w:hint="eastAsia" w:ascii="宋体" w:hAnsi="宋体" w:cs="宋体"/>
          <w:bCs/>
          <w:color w:val="000000"/>
          <w:sz w:val="24"/>
        </w:rPr>
        <w:t>二、估值日</w:t>
      </w:r>
    </w:p>
    <w:p>
      <w:pPr>
        <w:spacing w:line="360" w:lineRule="auto"/>
        <w:ind w:firstLine="480"/>
        <w:rPr>
          <w:rFonts w:hint="eastAsia" w:ascii="宋体" w:hAnsi="宋体" w:cs="宋体"/>
          <w:bCs/>
          <w:color w:val="000000"/>
          <w:sz w:val="24"/>
        </w:rPr>
      </w:pPr>
      <w:r>
        <w:rPr>
          <w:rFonts w:ascii="宋体" w:hAnsi="宋体" w:cs="宋体"/>
          <w:bCs/>
          <w:color w:val="000000"/>
          <w:sz w:val="24"/>
        </w:rPr>
        <w:t>本基金的估值日为本基金相关的证券交易场所的交易日以及国家法律法规规定需要对外披露基金净值的非交易日。</w:t>
      </w:r>
    </w:p>
    <w:p>
      <w:pPr>
        <w:spacing w:line="360" w:lineRule="auto"/>
        <w:ind w:firstLine="480"/>
        <w:rPr>
          <w:rFonts w:ascii="宋体" w:hAnsi="宋体" w:cs="宋体"/>
          <w:bCs/>
          <w:color w:val="000000"/>
          <w:sz w:val="24"/>
        </w:rPr>
      </w:pPr>
      <w:r>
        <w:rPr>
          <w:rFonts w:hint="eastAsia" w:ascii="宋体" w:hAnsi="宋体" w:cs="宋体"/>
          <w:bCs/>
          <w:color w:val="000000"/>
          <w:sz w:val="24"/>
        </w:rPr>
        <w:t>三、估值对象</w:t>
      </w:r>
    </w:p>
    <w:p>
      <w:pPr>
        <w:spacing w:line="360" w:lineRule="auto"/>
        <w:ind w:firstLine="480"/>
        <w:rPr>
          <w:rFonts w:hint="eastAsia" w:ascii="宋体" w:hAnsi="宋体" w:cs="宋体"/>
          <w:bCs/>
          <w:color w:val="000000"/>
          <w:sz w:val="24"/>
        </w:rPr>
      </w:pPr>
      <w:r>
        <w:rPr>
          <w:rFonts w:ascii="宋体" w:hAnsi="宋体" w:cs="宋体"/>
          <w:bCs/>
          <w:color w:val="000000"/>
          <w:sz w:val="24"/>
        </w:rPr>
        <w:t>基金所拥有的股票、权证、债券和银行存款本息、应收款项、其它投资等资产及负债。</w:t>
      </w:r>
    </w:p>
    <w:p>
      <w:pPr>
        <w:spacing w:line="360" w:lineRule="auto"/>
        <w:ind w:firstLine="480"/>
        <w:rPr>
          <w:rFonts w:ascii="宋体" w:hAnsi="宋体" w:cs="宋体"/>
          <w:bCs/>
          <w:color w:val="000000"/>
          <w:sz w:val="24"/>
        </w:rPr>
      </w:pPr>
      <w:r>
        <w:rPr>
          <w:rFonts w:hint="eastAsia" w:ascii="宋体" w:hAnsi="宋体" w:cs="宋体"/>
          <w:bCs/>
          <w:color w:val="000000"/>
          <w:sz w:val="24"/>
        </w:rPr>
        <w:t>四、估值程序</w:t>
      </w:r>
    </w:p>
    <w:p>
      <w:pPr>
        <w:spacing w:line="360" w:lineRule="auto"/>
        <w:ind w:firstLine="480"/>
        <w:rPr>
          <w:rFonts w:ascii="宋体" w:hAnsi="宋体" w:cs="宋体"/>
          <w:bCs/>
          <w:color w:val="000000"/>
          <w:sz w:val="24"/>
        </w:rPr>
      </w:pPr>
      <w:r>
        <w:rPr>
          <w:rFonts w:ascii="宋体" w:hAnsi="宋体" w:cs="宋体"/>
          <w:bCs/>
          <w:color w:val="000000"/>
          <w:sz w:val="24"/>
        </w:rPr>
        <w:t>1、基金份额净值是按照每个工作日闭市后，基金资产净值除以当日基金份额的余额数量计算，精确到0.001元，小数点后第4位四舍五入。国家另有规定的，从其规定。</w:t>
      </w:r>
    </w:p>
    <w:p>
      <w:pPr>
        <w:spacing w:line="360" w:lineRule="auto"/>
        <w:ind w:firstLine="480"/>
        <w:rPr>
          <w:rFonts w:ascii="宋体" w:hAnsi="宋体" w:cs="宋体"/>
          <w:bCs/>
          <w:color w:val="000000"/>
          <w:sz w:val="24"/>
        </w:rPr>
      </w:pPr>
      <w:r>
        <w:rPr>
          <w:rFonts w:ascii="宋体" w:hAnsi="宋体" w:cs="宋体"/>
          <w:bCs/>
          <w:color w:val="000000"/>
          <w:sz w:val="24"/>
        </w:rPr>
        <w:t>每个工作日计算基金资产净值及基金份额净值，并按规定公告。</w:t>
      </w:r>
    </w:p>
    <w:p>
      <w:pPr>
        <w:spacing w:line="360" w:lineRule="auto"/>
        <w:ind w:firstLine="480"/>
        <w:rPr>
          <w:rFonts w:hint="eastAsia" w:ascii="宋体" w:hAnsi="宋体" w:cs="宋体"/>
          <w:bCs/>
          <w:color w:val="000000"/>
          <w:sz w:val="24"/>
        </w:rPr>
      </w:pPr>
      <w:r>
        <w:rPr>
          <w:rFonts w:ascii="宋体" w:hAnsi="宋体" w:cs="宋体"/>
          <w:bCs/>
          <w:color w:val="000000"/>
          <w:sz w:val="24"/>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pPr>
        <w:spacing w:line="360" w:lineRule="auto"/>
        <w:ind w:firstLine="480"/>
        <w:rPr>
          <w:rFonts w:ascii="宋体" w:hAnsi="宋体" w:cs="宋体"/>
          <w:bCs/>
          <w:color w:val="000000"/>
          <w:sz w:val="24"/>
        </w:rPr>
      </w:pPr>
      <w:r>
        <w:rPr>
          <w:rFonts w:hint="eastAsia" w:ascii="宋体" w:hAnsi="宋体" w:cs="宋体"/>
          <w:bCs/>
          <w:color w:val="000000"/>
          <w:sz w:val="24"/>
        </w:rPr>
        <w:t>五、估值方法</w:t>
      </w:r>
    </w:p>
    <w:p>
      <w:pPr>
        <w:spacing w:line="360" w:lineRule="auto"/>
        <w:ind w:firstLine="480"/>
        <w:rPr>
          <w:rFonts w:ascii="宋体" w:hAnsi="宋体" w:cs="宋体"/>
          <w:bCs/>
          <w:color w:val="000000"/>
          <w:sz w:val="24"/>
        </w:rPr>
      </w:pPr>
      <w:r>
        <w:rPr>
          <w:rFonts w:ascii="宋体" w:hAnsi="宋体" w:cs="宋体"/>
          <w:bCs/>
          <w:color w:val="000000"/>
          <w:sz w:val="24"/>
        </w:rPr>
        <w:t>1、证券交易所上市的有价证券的估值</w:t>
      </w:r>
    </w:p>
    <w:p>
      <w:pPr>
        <w:spacing w:line="360" w:lineRule="auto"/>
        <w:ind w:firstLine="480"/>
        <w:rPr>
          <w:rFonts w:ascii="宋体" w:hAnsi="宋体" w:cs="宋体"/>
          <w:bCs/>
          <w:color w:val="000000"/>
          <w:sz w:val="24"/>
        </w:rPr>
      </w:pPr>
      <w:r>
        <w:rPr>
          <w:rFonts w:ascii="宋体" w:hAnsi="宋体" w:cs="宋体"/>
          <w:bCs/>
          <w:color w:val="000000"/>
          <w:sz w:val="24"/>
        </w:rPr>
        <w:t>（1）交易所上市的有价证券（包括股票、权证等），以其估值日在证券交易所挂牌的市价（收盘价）估值；估值日无交易的，且最近交易日后经济环境未发生重大变化</w:t>
      </w:r>
      <w:r>
        <w:rPr>
          <w:rFonts w:hint="eastAsia" w:ascii="宋体" w:hAnsi="宋体" w:cs="宋体"/>
          <w:bCs/>
          <w:color w:val="000000"/>
          <w:sz w:val="24"/>
        </w:rPr>
        <w:t>或</w:t>
      </w:r>
      <w:r>
        <w:rPr>
          <w:rFonts w:ascii="宋体" w:hAnsi="宋体" w:cs="宋体"/>
          <w:bCs/>
          <w:color w:val="000000"/>
          <w:sz w:val="24"/>
        </w:rPr>
        <w:t>证券发行机构未发生影响证券价格的重大事件的，以最近交易日的市价（收盘价）估值；如最近交易日后经济环境发生了重大变化</w:t>
      </w:r>
      <w:r>
        <w:rPr>
          <w:rFonts w:hint="eastAsia" w:ascii="宋体" w:hAnsi="宋体" w:cs="宋体"/>
          <w:bCs/>
          <w:color w:val="000000"/>
          <w:sz w:val="24"/>
        </w:rPr>
        <w:t>或</w:t>
      </w:r>
      <w:r>
        <w:rPr>
          <w:rFonts w:ascii="宋体" w:hAnsi="宋体" w:cs="宋体"/>
          <w:bCs/>
          <w:color w:val="000000"/>
          <w:sz w:val="24"/>
        </w:rPr>
        <w:t>证券发行机构发生影响证券价格的重大事件的，可参考类似投资品种的现行市价及重大变化因素，调整最近交易市价，确定公允价格。</w:t>
      </w:r>
    </w:p>
    <w:p>
      <w:pPr>
        <w:spacing w:line="360" w:lineRule="auto"/>
        <w:ind w:firstLine="480"/>
        <w:rPr>
          <w:rFonts w:ascii="宋体" w:hAnsi="宋体" w:cs="宋体"/>
          <w:bCs/>
          <w:color w:val="000000"/>
          <w:sz w:val="24"/>
        </w:rPr>
      </w:pPr>
      <w:r>
        <w:rPr>
          <w:rFonts w:ascii="宋体" w:hAnsi="宋体" w:cs="宋体"/>
          <w:bCs/>
          <w:color w:val="000000"/>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spacing w:line="360" w:lineRule="auto"/>
        <w:ind w:firstLine="480"/>
        <w:rPr>
          <w:rFonts w:ascii="宋体" w:hAnsi="宋体" w:cs="宋体"/>
          <w:bCs/>
          <w:color w:val="000000"/>
          <w:sz w:val="24"/>
        </w:rPr>
      </w:pPr>
      <w:r>
        <w:rPr>
          <w:rFonts w:ascii="宋体" w:hAnsi="宋体" w:cs="宋体"/>
          <w:bCs/>
          <w:color w:val="000000"/>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spacing w:line="360" w:lineRule="auto"/>
        <w:ind w:firstLine="480"/>
        <w:rPr>
          <w:rFonts w:ascii="宋体" w:hAnsi="宋体" w:cs="宋体"/>
          <w:bCs/>
          <w:color w:val="000000"/>
          <w:sz w:val="24"/>
        </w:rPr>
      </w:pPr>
      <w:r>
        <w:rPr>
          <w:rFonts w:ascii="宋体" w:hAnsi="宋体" w:cs="宋体"/>
          <w:bCs/>
          <w:color w:val="000000"/>
          <w:sz w:val="24"/>
        </w:rPr>
        <w:t>（4）交易所上市不存在活跃市场的有价证券，采用估值技术确定公允价值。交易所上市的资产支持证券，采用估值技术确定公允价值，在估值技术难以可靠计量公允价值的情况下，按成本估值。</w:t>
      </w:r>
    </w:p>
    <w:p>
      <w:pPr>
        <w:spacing w:line="360" w:lineRule="auto"/>
        <w:ind w:firstLine="480"/>
        <w:rPr>
          <w:rFonts w:ascii="宋体" w:hAnsi="宋体" w:cs="宋体"/>
          <w:bCs/>
          <w:color w:val="000000"/>
          <w:sz w:val="24"/>
        </w:rPr>
      </w:pPr>
      <w:r>
        <w:rPr>
          <w:rFonts w:ascii="宋体" w:hAnsi="宋体" w:cs="宋体"/>
          <w:bCs/>
          <w:color w:val="000000"/>
          <w:sz w:val="24"/>
        </w:rPr>
        <w:t>2、处于未上市期间的有价证券应区分如下情况处理：</w:t>
      </w:r>
    </w:p>
    <w:p>
      <w:pPr>
        <w:spacing w:line="360" w:lineRule="auto"/>
        <w:ind w:firstLine="480"/>
        <w:rPr>
          <w:rFonts w:ascii="宋体" w:hAnsi="宋体" w:cs="宋体"/>
          <w:bCs/>
          <w:color w:val="000000"/>
          <w:sz w:val="24"/>
        </w:rPr>
      </w:pPr>
      <w:r>
        <w:rPr>
          <w:rFonts w:ascii="宋体" w:hAnsi="宋体" w:cs="宋体"/>
          <w:bCs/>
          <w:color w:val="000000"/>
          <w:sz w:val="24"/>
        </w:rPr>
        <w:t>（1）送股、转增股、配股和公开增发的新股，按估值日在证券交易所挂牌的同一股票的估值方法估值；该日无交易的，以最近一日的市价（收盘价）估值；</w:t>
      </w:r>
    </w:p>
    <w:p>
      <w:pPr>
        <w:spacing w:line="360" w:lineRule="auto"/>
        <w:ind w:firstLine="480"/>
        <w:rPr>
          <w:rFonts w:ascii="宋体" w:hAnsi="宋体" w:cs="宋体"/>
          <w:bCs/>
          <w:color w:val="000000"/>
          <w:sz w:val="24"/>
        </w:rPr>
      </w:pPr>
      <w:r>
        <w:rPr>
          <w:rFonts w:ascii="宋体" w:hAnsi="宋体" w:cs="宋体"/>
          <w:bCs/>
          <w:color w:val="000000"/>
          <w:sz w:val="24"/>
        </w:rPr>
        <w:t>（2）首次公开发行未上市的股票、债券和权证，采用估值技术确定公允价值，在估值技术难以可靠计量公允价值的情况下，按成本估值。</w:t>
      </w:r>
    </w:p>
    <w:p>
      <w:pPr>
        <w:spacing w:line="360" w:lineRule="auto"/>
        <w:ind w:firstLine="480"/>
        <w:rPr>
          <w:rFonts w:ascii="宋体" w:hAnsi="宋体" w:cs="宋体"/>
          <w:bCs/>
          <w:color w:val="000000"/>
          <w:sz w:val="24"/>
        </w:rPr>
      </w:pPr>
      <w:r>
        <w:rPr>
          <w:rFonts w:ascii="宋体" w:hAnsi="宋体" w:cs="宋体"/>
          <w:bCs/>
          <w:color w:val="000000"/>
          <w:sz w:val="24"/>
        </w:rPr>
        <w:t>（3）首次公开发行有明确锁定期的股票，同一股票在交易所上市后，按交易所上市的同一股票的估值方法估值；非公开发行有明确锁定期的股票，按监管机构或行业协会有关规定确定公允价值。</w:t>
      </w:r>
    </w:p>
    <w:p>
      <w:pPr>
        <w:spacing w:line="360" w:lineRule="auto"/>
        <w:ind w:firstLine="480"/>
        <w:rPr>
          <w:rFonts w:ascii="宋体" w:hAnsi="宋体" w:cs="宋体"/>
          <w:bCs/>
          <w:color w:val="000000"/>
          <w:sz w:val="24"/>
        </w:rPr>
      </w:pPr>
      <w:r>
        <w:rPr>
          <w:rFonts w:ascii="宋体" w:hAnsi="宋体" w:cs="宋体"/>
          <w:bCs/>
          <w:color w:val="000000"/>
          <w:sz w:val="24"/>
        </w:rPr>
        <w:t>3、全国银行间债券市场交易的债券、资产支持证券等固定收益品种，采用估值技术确定公允价值。</w:t>
      </w:r>
    </w:p>
    <w:p>
      <w:pPr>
        <w:spacing w:line="360" w:lineRule="auto"/>
        <w:ind w:firstLine="480"/>
        <w:rPr>
          <w:rFonts w:hint="eastAsia" w:ascii="宋体" w:hAnsi="宋体" w:cs="宋体"/>
          <w:bCs/>
          <w:color w:val="000000"/>
          <w:sz w:val="24"/>
        </w:rPr>
      </w:pPr>
      <w:r>
        <w:rPr>
          <w:rFonts w:ascii="宋体" w:hAnsi="宋体" w:cs="宋体"/>
          <w:bCs/>
          <w:color w:val="000000"/>
          <w:sz w:val="24"/>
        </w:rPr>
        <w:t>4、同一债券同时在两个或两个以上市场交易的，按债券所处的市场分别估值。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w:t>
      </w:r>
      <w:r>
        <w:rPr>
          <w:rFonts w:ascii="宋体" w:hAnsi="宋体" w:cs="宋体"/>
          <w:bCs/>
          <w:color w:val="000000"/>
          <w:sz w:val="24"/>
        </w:rPr>
        <w:t>、如有确凿证据表明按上述方法进行估值不能客观反映其公允价值的，基金管理人可根据具体情况与基金托管人商定后，按最能反映公允价值的价格估值。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w:t>
      </w:r>
      <w:r>
        <w:rPr>
          <w:rFonts w:ascii="宋体" w:hAnsi="宋体" w:cs="宋体"/>
          <w:bCs/>
          <w:color w:val="000000"/>
          <w:sz w:val="24"/>
        </w:rPr>
        <w:t>、其他资产按法律法规或监管机构有关规定进行估值。</w:t>
      </w:r>
    </w:p>
    <w:p>
      <w:pPr>
        <w:spacing w:line="360" w:lineRule="auto"/>
        <w:ind w:firstLine="480"/>
        <w:rPr>
          <w:rFonts w:hint="eastAsia" w:ascii="宋体" w:hAnsi="宋体" w:cs="宋体"/>
          <w:color w:val="000000"/>
        </w:rPr>
      </w:pPr>
      <w:r>
        <w:rPr>
          <w:rFonts w:hint="eastAsia" w:ascii="宋体" w:hAnsi="宋体" w:cs="宋体"/>
          <w:bCs/>
          <w:color w:val="000000"/>
          <w:sz w:val="24"/>
        </w:rPr>
        <w:t>7</w:t>
      </w:r>
      <w:r>
        <w:rPr>
          <w:rFonts w:ascii="宋体" w:hAnsi="宋体" w:cs="宋体"/>
          <w:bCs/>
          <w:color w:val="000000"/>
          <w:sz w:val="24"/>
        </w:rPr>
        <w:t>、相关法律法规以及监管部门有强制规定的，从其规定。如有新增事项，按国家最新规定估值。</w:t>
      </w:r>
    </w:p>
    <w:p>
      <w:pPr>
        <w:spacing w:line="360" w:lineRule="auto"/>
        <w:ind w:firstLine="420"/>
        <w:rPr>
          <w:rFonts w:ascii="宋体" w:hAnsi="宋体" w:cs="宋体"/>
          <w:bCs/>
          <w:color w:val="000000"/>
          <w:sz w:val="24"/>
        </w:rPr>
      </w:pPr>
      <w:r>
        <w:rPr>
          <w:rFonts w:hint="eastAsia" w:ascii="宋体" w:hAnsi="宋体" w:cs="宋体"/>
          <w:color w:val="000000"/>
        </w:rPr>
        <w:t>如基金管理人或基金托管人发现基金估值违反基金合同订明的估值方法、程序及相关法律法规的规定或者未能充分维护基金份额持有人利益时，应立即通知对方，共同查明原因，双方协商解决</w:t>
      </w:r>
      <w:r>
        <w:rPr>
          <w:rFonts w:ascii="宋体" w:hAnsi="宋体" w:cs="宋体"/>
          <w:color w:val="000000"/>
        </w:rPr>
        <w:t>。</w:t>
      </w:r>
    </w:p>
    <w:p>
      <w:pPr>
        <w:spacing w:line="360" w:lineRule="auto"/>
        <w:ind w:firstLine="480"/>
        <w:rPr>
          <w:rFonts w:hint="eastAsia" w:ascii="宋体" w:hAnsi="宋体" w:cs="宋体"/>
          <w:bCs/>
          <w:color w:val="000000"/>
          <w:sz w:val="24"/>
        </w:rPr>
      </w:pPr>
      <w:r>
        <w:rPr>
          <w:rFonts w:ascii="宋体" w:hAnsi="宋体" w:cs="宋体"/>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pPr>
        <w:spacing w:line="360" w:lineRule="auto"/>
        <w:ind w:firstLine="480"/>
        <w:rPr>
          <w:rFonts w:ascii="宋体" w:hAnsi="宋体" w:cs="宋体"/>
          <w:bCs/>
          <w:color w:val="000000"/>
          <w:sz w:val="24"/>
        </w:rPr>
      </w:pPr>
      <w:r>
        <w:rPr>
          <w:rFonts w:hint="eastAsia" w:ascii="宋体" w:hAnsi="宋体" w:cs="宋体"/>
          <w:bCs/>
          <w:color w:val="000000"/>
          <w:sz w:val="24"/>
        </w:rPr>
        <w:t>六、基金份额净值的确认</w:t>
      </w:r>
    </w:p>
    <w:p>
      <w:pPr>
        <w:spacing w:line="360" w:lineRule="auto"/>
        <w:ind w:firstLine="480"/>
        <w:rPr>
          <w:rFonts w:hint="eastAsia" w:ascii="宋体" w:hAnsi="宋体" w:cs="宋体"/>
          <w:bCs/>
          <w:color w:val="000000"/>
          <w:sz w:val="24"/>
        </w:rPr>
      </w:pPr>
      <w:r>
        <w:rPr>
          <w:rFonts w:ascii="宋体" w:hAnsi="宋体" w:cs="宋体"/>
          <w:bCs/>
          <w:color w:val="000000"/>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Pr>
          <w:rFonts w:hint="eastAsia" w:ascii="宋体" w:hAnsi="宋体" w:cs="宋体"/>
          <w:bCs/>
          <w:color w:val="000000"/>
          <w:sz w:val="24"/>
        </w:rPr>
        <w:t>。</w:t>
      </w:r>
    </w:p>
    <w:p>
      <w:pPr>
        <w:spacing w:line="360" w:lineRule="auto"/>
        <w:ind w:firstLine="480"/>
        <w:rPr>
          <w:rFonts w:ascii="宋体" w:hAnsi="宋体" w:cs="宋体"/>
          <w:bCs/>
          <w:color w:val="000000"/>
          <w:sz w:val="24"/>
        </w:rPr>
      </w:pPr>
      <w:r>
        <w:rPr>
          <w:rFonts w:hint="eastAsia" w:ascii="宋体" w:hAnsi="宋体" w:cs="宋体"/>
          <w:bCs/>
          <w:color w:val="000000"/>
          <w:sz w:val="24"/>
        </w:rPr>
        <w:t>七、估值错误的处理</w:t>
      </w:r>
    </w:p>
    <w:p>
      <w:pPr>
        <w:spacing w:line="360" w:lineRule="auto"/>
        <w:ind w:firstLine="480"/>
        <w:rPr>
          <w:rFonts w:ascii="宋体" w:hAnsi="宋体" w:cs="宋体"/>
          <w:bCs/>
          <w:color w:val="000000"/>
          <w:sz w:val="24"/>
        </w:rPr>
      </w:pPr>
      <w:r>
        <w:rPr>
          <w:rFonts w:ascii="宋体" w:hAnsi="宋体" w:cs="宋体"/>
          <w:bCs/>
          <w:color w:val="000000"/>
          <w:sz w:val="24"/>
        </w:rPr>
        <w:t>基金管理人和基金托管人将采取必要、适当、合理的措施确保基金资产估值的准确性、及时性。当基金份额净值小数点后</w:t>
      </w:r>
      <w:r>
        <w:rPr>
          <w:rFonts w:hint="eastAsia" w:ascii="宋体" w:hAnsi="宋体" w:cs="宋体"/>
          <w:bCs/>
          <w:color w:val="000000"/>
          <w:sz w:val="24"/>
        </w:rPr>
        <w:t>3</w:t>
      </w:r>
      <w:r>
        <w:rPr>
          <w:rFonts w:ascii="宋体" w:hAnsi="宋体" w:cs="宋体"/>
          <w:bCs/>
          <w:color w:val="000000"/>
          <w:sz w:val="24"/>
        </w:rPr>
        <w:t>位以内</w:t>
      </w:r>
      <w:r>
        <w:rPr>
          <w:rFonts w:hint="eastAsia" w:ascii="宋体" w:hAnsi="宋体" w:cs="宋体"/>
          <w:bCs/>
          <w:color w:val="000000"/>
          <w:sz w:val="24"/>
        </w:rPr>
        <w:t>（</w:t>
      </w:r>
      <w:r>
        <w:rPr>
          <w:rFonts w:ascii="宋体" w:hAnsi="宋体" w:cs="宋体"/>
          <w:bCs/>
          <w:color w:val="000000"/>
          <w:sz w:val="24"/>
        </w:rPr>
        <w:t>含第</w:t>
      </w:r>
      <w:r>
        <w:rPr>
          <w:rFonts w:hint="eastAsia" w:ascii="宋体" w:hAnsi="宋体" w:cs="宋体"/>
          <w:bCs/>
          <w:color w:val="000000"/>
          <w:sz w:val="24"/>
        </w:rPr>
        <w:t>3</w:t>
      </w:r>
      <w:r>
        <w:rPr>
          <w:rFonts w:ascii="宋体" w:hAnsi="宋体" w:cs="宋体"/>
          <w:bCs/>
          <w:color w:val="000000"/>
          <w:sz w:val="24"/>
        </w:rPr>
        <w:t>位</w:t>
      </w:r>
      <w:r>
        <w:rPr>
          <w:rFonts w:hint="eastAsia" w:ascii="宋体" w:hAnsi="宋体" w:cs="宋体"/>
          <w:bCs/>
          <w:color w:val="000000"/>
          <w:sz w:val="24"/>
        </w:rPr>
        <w:t>）</w:t>
      </w:r>
      <w:r>
        <w:rPr>
          <w:rFonts w:ascii="宋体" w:hAnsi="宋体" w:cs="宋体"/>
          <w:bCs/>
          <w:color w:val="000000"/>
          <w:sz w:val="24"/>
        </w:rPr>
        <w:t>发生估值错误时，视为基金份额净值错误。</w:t>
      </w:r>
    </w:p>
    <w:p>
      <w:pPr>
        <w:spacing w:line="360" w:lineRule="auto"/>
        <w:ind w:firstLine="480"/>
        <w:rPr>
          <w:rFonts w:ascii="宋体" w:hAnsi="宋体" w:cs="宋体"/>
          <w:bCs/>
          <w:color w:val="000000"/>
          <w:sz w:val="24"/>
        </w:rPr>
      </w:pPr>
      <w:r>
        <w:rPr>
          <w:rFonts w:ascii="宋体" w:hAnsi="宋体" w:cs="宋体"/>
          <w:bCs/>
          <w:color w:val="000000"/>
          <w:sz w:val="24"/>
        </w:rPr>
        <w:t>基金合同的当事人应按照以下约定处理：</w:t>
      </w:r>
    </w:p>
    <w:p>
      <w:pPr>
        <w:spacing w:line="360" w:lineRule="auto"/>
        <w:ind w:firstLine="480"/>
        <w:rPr>
          <w:rFonts w:ascii="宋体" w:hAnsi="宋体" w:cs="宋体"/>
          <w:bCs/>
          <w:color w:val="000000"/>
          <w:sz w:val="24"/>
        </w:rPr>
      </w:pPr>
      <w:r>
        <w:rPr>
          <w:rFonts w:ascii="宋体" w:hAnsi="宋体" w:cs="宋体"/>
          <w:bCs/>
          <w:color w:val="000000"/>
          <w:sz w:val="24"/>
        </w:rPr>
        <w:t>1、估值错误类型</w:t>
      </w:r>
    </w:p>
    <w:p>
      <w:pPr>
        <w:spacing w:line="360" w:lineRule="auto"/>
        <w:ind w:firstLine="480"/>
        <w:rPr>
          <w:rFonts w:ascii="宋体" w:hAnsi="宋体" w:cs="宋体"/>
          <w:bCs/>
          <w:color w:val="000000"/>
          <w:sz w:val="24"/>
        </w:rPr>
      </w:pPr>
      <w:r>
        <w:rPr>
          <w:rFonts w:ascii="宋体" w:hAnsi="宋体" w:cs="宋体"/>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rPr>
          <w:rFonts w:ascii="宋体" w:hAnsi="宋体" w:cs="宋体"/>
          <w:bCs/>
          <w:color w:val="000000"/>
          <w:sz w:val="24"/>
        </w:rPr>
      </w:pPr>
      <w:r>
        <w:rPr>
          <w:rFonts w:ascii="宋体" w:hAnsi="宋体" w:cs="宋体"/>
          <w:bCs/>
          <w:color w:val="000000"/>
          <w:sz w:val="24"/>
        </w:rPr>
        <w:t>上述估值错误的主要类型包括但不限于：资料申报差错、数据传输差错、数据计算差错、系统故障差错、下达指令差错等。</w:t>
      </w:r>
    </w:p>
    <w:p>
      <w:pPr>
        <w:spacing w:line="360" w:lineRule="auto"/>
        <w:ind w:firstLine="480"/>
        <w:rPr>
          <w:rFonts w:ascii="宋体" w:hAnsi="宋体" w:cs="宋体"/>
          <w:bCs/>
          <w:color w:val="000000"/>
          <w:sz w:val="24"/>
        </w:rPr>
      </w:pPr>
      <w:r>
        <w:rPr>
          <w:rFonts w:ascii="宋体" w:hAnsi="宋体" w:cs="宋体"/>
          <w:bCs/>
          <w:color w:val="000000"/>
          <w:sz w:val="24"/>
        </w:rPr>
        <w:t>2、估值错误处理原则</w:t>
      </w:r>
    </w:p>
    <w:p>
      <w:pPr>
        <w:spacing w:line="360" w:lineRule="auto"/>
        <w:ind w:firstLine="480"/>
        <w:rPr>
          <w:rFonts w:ascii="宋体" w:hAnsi="宋体" w:cs="宋体"/>
          <w:bCs/>
          <w:color w:val="000000"/>
          <w:sz w:val="24"/>
        </w:rPr>
      </w:pPr>
      <w:r>
        <w:rPr>
          <w:rFonts w:ascii="宋体" w:hAnsi="宋体" w:cs="宋体"/>
          <w:bCs/>
          <w:color w:val="00000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rPr>
          <w:rFonts w:ascii="宋体" w:hAnsi="宋体" w:cs="宋体"/>
          <w:bCs/>
          <w:color w:val="000000"/>
          <w:sz w:val="24"/>
        </w:rPr>
      </w:pPr>
      <w:r>
        <w:rPr>
          <w:rFonts w:ascii="宋体" w:hAnsi="宋体" w:cs="宋体"/>
          <w:bCs/>
          <w:color w:val="000000"/>
          <w:sz w:val="24"/>
        </w:rPr>
        <w:t>（2）估值错误的责任方对有关当事人的直接损失负责，不对间接损失负责，并且仅对估值错误的有关直接当事人负责，不对第三方负责。</w:t>
      </w:r>
    </w:p>
    <w:p>
      <w:pPr>
        <w:spacing w:line="360" w:lineRule="auto"/>
        <w:ind w:firstLine="480"/>
        <w:rPr>
          <w:rFonts w:ascii="宋体" w:hAnsi="宋体" w:cs="宋体"/>
          <w:bCs/>
          <w:color w:val="000000"/>
          <w:sz w:val="24"/>
        </w:rPr>
      </w:pPr>
      <w:r>
        <w:rPr>
          <w:rFonts w:ascii="宋体" w:hAnsi="宋体" w:cs="宋体"/>
          <w:bCs/>
          <w:color w:val="000000"/>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rPr>
          <w:rFonts w:ascii="宋体" w:hAnsi="宋体" w:cs="宋体"/>
          <w:bCs/>
          <w:color w:val="000000"/>
          <w:sz w:val="24"/>
        </w:rPr>
      </w:pPr>
      <w:r>
        <w:rPr>
          <w:rFonts w:ascii="宋体" w:hAnsi="宋体" w:cs="宋体"/>
          <w:bCs/>
          <w:color w:val="000000"/>
          <w:sz w:val="24"/>
        </w:rPr>
        <w:t>（4）估值错误调整采用尽量恢复至假设未发生估值错误的正确情形的方式。</w:t>
      </w:r>
    </w:p>
    <w:p>
      <w:pPr>
        <w:spacing w:line="360" w:lineRule="auto"/>
        <w:ind w:firstLine="480"/>
        <w:rPr>
          <w:rFonts w:ascii="宋体" w:hAnsi="宋体" w:cs="宋体"/>
          <w:bCs/>
          <w:color w:val="000000"/>
          <w:sz w:val="24"/>
        </w:rPr>
      </w:pPr>
      <w:r>
        <w:rPr>
          <w:rFonts w:ascii="宋体" w:hAnsi="宋体" w:cs="宋体"/>
          <w:bCs/>
          <w:color w:val="000000"/>
          <w:sz w:val="24"/>
        </w:rPr>
        <w:t>3、估值错误处理程序</w:t>
      </w:r>
    </w:p>
    <w:p>
      <w:pPr>
        <w:spacing w:line="360" w:lineRule="auto"/>
        <w:ind w:firstLine="480"/>
        <w:rPr>
          <w:rFonts w:ascii="宋体" w:hAnsi="宋体" w:cs="宋体"/>
          <w:bCs/>
          <w:color w:val="000000"/>
          <w:sz w:val="24"/>
        </w:rPr>
      </w:pPr>
      <w:r>
        <w:rPr>
          <w:rFonts w:ascii="宋体" w:hAnsi="宋体" w:cs="宋体"/>
          <w:bCs/>
          <w:color w:val="000000"/>
          <w:sz w:val="24"/>
        </w:rPr>
        <w:t>估值错误被发现后，有关的当事人应当及时进行处理，处理的程序如下：</w:t>
      </w:r>
    </w:p>
    <w:p>
      <w:pPr>
        <w:spacing w:line="360" w:lineRule="auto"/>
        <w:ind w:firstLine="480"/>
        <w:rPr>
          <w:rFonts w:ascii="宋体" w:hAnsi="宋体" w:cs="宋体"/>
          <w:bCs/>
          <w:color w:val="000000"/>
          <w:sz w:val="24"/>
        </w:rPr>
      </w:pPr>
      <w:r>
        <w:rPr>
          <w:rFonts w:ascii="宋体" w:hAnsi="宋体" w:cs="宋体"/>
          <w:bCs/>
          <w:color w:val="000000"/>
          <w:sz w:val="24"/>
        </w:rPr>
        <w:t>（1）查明估值错误发生的原因，列明所有的当事人，并根据估值错误发生的原因确定估值错误的责任方；</w:t>
      </w:r>
    </w:p>
    <w:p>
      <w:pPr>
        <w:spacing w:line="360" w:lineRule="auto"/>
        <w:ind w:firstLine="480"/>
        <w:rPr>
          <w:rFonts w:ascii="宋体" w:hAnsi="宋体" w:cs="宋体"/>
          <w:bCs/>
          <w:color w:val="000000"/>
          <w:sz w:val="24"/>
        </w:rPr>
      </w:pPr>
      <w:r>
        <w:rPr>
          <w:rFonts w:ascii="宋体" w:hAnsi="宋体" w:cs="宋体"/>
          <w:bCs/>
          <w:color w:val="000000"/>
          <w:sz w:val="24"/>
        </w:rPr>
        <w:t>（2）根据估值错误处理原则或当事人协商的方法对因估值错误造成的损失进行评估；</w:t>
      </w:r>
    </w:p>
    <w:p>
      <w:pPr>
        <w:spacing w:line="360" w:lineRule="auto"/>
        <w:ind w:firstLine="480"/>
        <w:rPr>
          <w:rFonts w:ascii="宋体" w:hAnsi="宋体" w:cs="宋体"/>
          <w:bCs/>
          <w:color w:val="000000"/>
          <w:sz w:val="24"/>
        </w:rPr>
      </w:pPr>
      <w:r>
        <w:rPr>
          <w:rFonts w:ascii="宋体" w:hAnsi="宋体" w:cs="宋体"/>
          <w:bCs/>
          <w:color w:val="000000"/>
          <w:sz w:val="24"/>
        </w:rPr>
        <w:t>（3）根据估值错误处理原则或当事人协商的方法由估值错误的责任方进行更正和赔偿损失；</w:t>
      </w:r>
    </w:p>
    <w:p>
      <w:pPr>
        <w:spacing w:line="360" w:lineRule="auto"/>
        <w:ind w:firstLine="480"/>
        <w:rPr>
          <w:rFonts w:ascii="宋体" w:hAnsi="宋体" w:cs="宋体"/>
          <w:bCs/>
          <w:color w:val="000000"/>
          <w:sz w:val="24"/>
        </w:rPr>
      </w:pPr>
      <w:r>
        <w:rPr>
          <w:rFonts w:ascii="宋体" w:hAnsi="宋体" w:cs="宋体"/>
          <w:bCs/>
          <w:color w:val="000000"/>
          <w:sz w:val="24"/>
        </w:rPr>
        <w:t>（4）根据估值错误处理的方法，需要修改基金登记机构交易数据的，由基金登记机构进行更正，并就估值错误的更正向有关当事人进行确认。</w:t>
      </w:r>
    </w:p>
    <w:p>
      <w:pPr>
        <w:spacing w:line="360" w:lineRule="auto"/>
        <w:ind w:firstLine="480"/>
        <w:rPr>
          <w:rFonts w:ascii="宋体" w:hAnsi="宋体" w:cs="宋体"/>
          <w:bCs/>
          <w:color w:val="000000"/>
          <w:sz w:val="24"/>
        </w:rPr>
      </w:pPr>
      <w:r>
        <w:rPr>
          <w:rFonts w:ascii="宋体" w:hAnsi="宋体" w:cs="宋体"/>
          <w:bCs/>
          <w:color w:val="000000"/>
          <w:sz w:val="24"/>
        </w:rPr>
        <w:t>4、基金份额净值估值错误处理的方法如下：</w:t>
      </w:r>
    </w:p>
    <w:p>
      <w:pPr>
        <w:spacing w:line="360" w:lineRule="auto"/>
        <w:ind w:firstLine="480"/>
        <w:rPr>
          <w:rFonts w:ascii="宋体" w:hAnsi="宋体" w:cs="宋体"/>
          <w:bCs/>
          <w:color w:val="000000"/>
          <w:sz w:val="24"/>
        </w:rPr>
      </w:pPr>
      <w:r>
        <w:rPr>
          <w:rFonts w:ascii="宋体" w:hAnsi="宋体" w:cs="宋体"/>
          <w:bCs/>
          <w:color w:val="000000"/>
          <w:sz w:val="24"/>
        </w:rPr>
        <w:t>（1）基金份额净值计算出现错误时，基金管理人应当立即予以纠正，通报基金托管人，并采取合理的措施防止损失进一步扩大。</w:t>
      </w:r>
    </w:p>
    <w:p>
      <w:pPr>
        <w:spacing w:line="360" w:lineRule="auto"/>
        <w:ind w:firstLine="480"/>
        <w:rPr>
          <w:rFonts w:ascii="宋体" w:hAnsi="宋体" w:cs="宋体"/>
          <w:bCs/>
          <w:color w:val="000000"/>
          <w:sz w:val="24"/>
        </w:rPr>
      </w:pPr>
      <w:r>
        <w:rPr>
          <w:rFonts w:ascii="宋体" w:hAnsi="宋体" w:cs="宋体"/>
          <w:bCs/>
          <w:color w:val="000000"/>
          <w:sz w:val="24"/>
        </w:rPr>
        <w:t>（2）错误偏差达到基金份额净值的0.25%时，基金管理人应当通报基金托管人并报中国证监会备案；错误偏差达到基金份额净值的0.5%时，基金管理人应当公告。</w:t>
      </w:r>
    </w:p>
    <w:p>
      <w:pPr>
        <w:spacing w:line="360" w:lineRule="auto"/>
        <w:ind w:firstLine="480"/>
        <w:rPr>
          <w:rFonts w:hint="eastAsia" w:ascii="宋体" w:hAnsi="宋体" w:cs="宋体"/>
          <w:bCs/>
          <w:color w:val="000000"/>
          <w:sz w:val="24"/>
        </w:rPr>
      </w:pPr>
      <w:r>
        <w:rPr>
          <w:rFonts w:ascii="宋体" w:hAnsi="宋体" w:cs="宋体"/>
          <w:bCs/>
          <w:color w:val="000000"/>
          <w:sz w:val="24"/>
        </w:rPr>
        <w:t>（3）前述内容如法律法规或监管机关另有规定的，从其规定处理。</w:t>
      </w:r>
    </w:p>
    <w:p>
      <w:pPr>
        <w:spacing w:line="360" w:lineRule="auto"/>
        <w:ind w:firstLine="480"/>
        <w:rPr>
          <w:rFonts w:ascii="宋体" w:hAnsi="宋体" w:cs="宋体"/>
          <w:bCs/>
          <w:color w:val="000000"/>
          <w:sz w:val="24"/>
        </w:rPr>
      </w:pPr>
      <w:r>
        <w:rPr>
          <w:rFonts w:hint="eastAsia" w:ascii="宋体" w:hAnsi="宋体" w:cs="宋体"/>
          <w:bCs/>
          <w:color w:val="000000"/>
          <w:sz w:val="24"/>
        </w:rPr>
        <w:t>八、暂停估值的情形</w:t>
      </w:r>
    </w:p>
    <w:p>
      <w:pPr>
        <w:spacing w:line="360" w:lineRule="auto"/>
        <w:ind w:firstLine="480"/>
        <w:rPr>
          <w:rFonts w:ascii="宋体" w:hAnsi="宋体" w:cs="宋体"/>
          <w:bCs/>
          <w:color w:val="000000"/>
          <w:sz w:val="24"/>
        </w:rPr>
      </w:pPr>
      <w:r>
        <w:rPr>
          <w:rFonts w:ascii="宋体" w:hAnsi="宋体" w:cs="宋体"/>
          <w:bCs/>
          <w:color w:val="000000"/>
          <w:sz w:val="24"/>
        </w:rPr>
        <w:t>1、基金投资所涉及的证券交易市场遇法定节假日或因其他原因暂停营业时；</w:t>
      </w:r>
    </w:p>
    <w:p>
      <w:pPr>
        <w:spacing w:line="360" w:lineRule="auto"/>
        <w:ind w:firstLine="480"/>
        <w:rPr>
          <w:rFonts w:hint="eastAsia" w:ascii="宋体" w:hAnsi="宋体" w:cs="宋体"/>
          <w:bCs/>
          <w:color w:val="000000"/>
          <w:sz w:val="24"/>
        </w:rPr>
      </w:pPr>
      <w:r>
        <w:rPr>
          <w:rFonts w:ascii="宋体" w:hAnsi="宋体" w:cs="宋体"/>
          <w:bCs/>
          <w:color w:val="000000"/>
          <w:sz w:val="24"/>
        </w:rPr>
        <w:t>2、因不可抗力致使基金管理人、基金托管人无法准确评估基金资产价值时；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w:t>
      </w:r>
      <w:r>
        <w:rPr>
          <w:rFonts w:ascii="宋体" w:hAnsi="宋体" w:cs="宋体"/>
          <w:bCs/>
          <w:color w:val="000000"/>
          <w:sz w:val="24"/>
        </w:rPr>
        <w:t>、</w:t>
      </w:r>
      <w:r>
        <w:rPr>
          <w:rFonts w:hint="eastAsia" w:ascii="宋体" w:hAnsi="宋体" w:cs="宋体"/>
          <w:bCs/>
          <w:color w:val="000000"/>
          <w:sz w:val="24"/>
        </w:rPr>
        <w:t>当前一估值日基金资产净值50%以上的资产出现无可参考的活跃市场价格且采用估值技术仍导致公允价值存在重大不确定性时，基金管理人经与基金托管人协商确认后，决定暂停基金估值时；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w:t>
      </w:r>
      <w:r>
        <w:rPr>
          <w:rFonts w:ascii="宋体" w:hAnsi="宋体" w:cs="宋体"/>
          <w:bCs/>
          <w:color w:val="000000"/>
          <w:sz w:val="24"/>
        </w:rPr>
        <w:t>中国证监会和基金合同认定的其它情形</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九、特殊情形的处理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w:t>
      </w:r>
      <w:r>
        <w:rPr>
          <w:rFonts w:ascii="宋体" w:hAnsi="宋体" w:cs="宋体"/>
          <w:bCs/>
          <w:color w:val="000000"/>
          <w:sz w:val="24"/>
        </w:rPr>
        <w:t>基金管理人或基金托管人按估值方法的第</w:t>
      </w:r>
      <w:r>
        <w:rPr>
          <w:rFonts w:hint="eastAsia" w:ascii="宋体" w:hAnsi="宋体" w:cs="宋体"/>
          <w:bCs/>
          <w:color w:val="000000"/>
          <w:sz w:val="24"/>
        </w:rPr>
        <w:t>6</w:t>
      </w:r>
      <w:r>
        <w:rPr>
          <w:rFonts w:ascii="宋体" w:hAnsi="宋体" w:cs="宋体"/>
          <w:bCs/>
          <w:color w:val="000000"/>
          <w:sz w:val="24"/>
        </w:rPr>
        <w:t>项进行估值时，所造成的误差不作为</w:t>
      </w:r>
      <w:r>
        <w:rPr>
          <w:rFonts w:hint="eastAsia" w:ascii="宋体" w:hAnsi="宋体" w:cs="宋体"/>
          <w:bCs/>
          <w:color w:val="000000"/>
          <w:sz w:val="24"/>
        </w:rPr>
        <w:t>基金资产估值</w:t>
      </w:r>
      <w:r>
        <w:rPr>
          <w:rFonts w:ascii="宋体" w:hAnsi="宋体" w:cs="宋体"/>
          <w:bCs/>
          <w:color w:val="000000"/>
          <w:sz w:val="24"/>
        </w:rPr>
        <w:t>错误处理。</w:t>
      </w:r>
    </w:p>
    <w:p>
      <w:pPr>
        <w:spacing w:line="360" w:lineRule="auto"/>
        <w:ind w:firstLine="480"/>
        <w:rPr>
          <w:rFonts w:ascii="宋体" w:hAnsi="宋体" w:cs="宋体"/>
          <w:bCs/>
          <w:color w:val="000000"/>
          <w:sz w:val="24"/>
        </w:rPr>
      </w:pPr>
      <w:r>
        <w:rPr>
          <w:rFonts w:hint="eastAsia" w:ascii="宋体" w:hAnsi="宋体" w:cs="宋体"/>
          <w:bCs/>
          <w:color w:val="000000"/>
          <w:sz w:val="24"/>
        </w:rPr>
        <w:t>2、</w:t>
      </w:r>
      <w:r>
        <w:rPr>
          <w:rFonts w:ascii="宋体" w:hAnsi="宋体" w:cs="宋体"/>
          <w:bCs/>
          <w:color w:val="000000"/>
          <w:sz w:val="24"/>
        </w:rPr>
        <w:t>由于不可抗力原因，或由于证券交易所及登记</w:t>
      </w:r>
      <w:r>
        <w:rPr>
          <w:rFonts w:hint="eastAsia" w:ascii="宋体" w:hAnsi="宋体" w:cs="宋体"/>
          <w:bCs/>
          <w:color w:val="000000"/>
          <w:sz w:val="24"/>
        </w:rPr>
        <w:t>结算</w:t>
      </w:r>
      <w:r>
        <w:rPr>
          <w:rFonts w:ascii="宋体" w:hAnsi="宋体" w:cs="宋体"/>
          <w:bCs/>
          <w:color w:val="000000"/>
          <w:sz w:val="24"/>
        </w:rPr>
        <w:t>公司发送的数据错误，</w:t>
      </w:r>
      <w:r>
        <w:rPr>
          <w:rFonts w:hint="eastAsia" w:ascii="宋体" w:hAnsi="宋体" w:cs="宋体"/>
          <w:bCs/>
          <w:color w:val="000000"/>
          <w:sz w:val="24"/>
        </w:rPr>
        <w:t>或国家会计政策变更、市场规则变更等，</w:t>
      </w:r>
      <w:r>
        <w:rPr>
          <w:rFonts w:ascii="宋体" w:hAnsi="宋体" w:cs="宋体"/>
          <w:bCs/>
          <w:color w:val="000000"/>
          <w:sz w:val="24"/>
        </w:rPr>
        <w:t>基金管理人和基金托管人虽然已经采取必要、适当、合理的措施进行检查，但未能发现错误的，由此造成的基金资产估值错误，基金管理人和基金托管人免除赔偿责任。但基金管理人</w:t>
      </w:r>
      <w:r>
        <w:rPr>
          <w:rFonts w:hint="eastAsia" w:ascii="宋体" w:hAnsi="宋体" w:cs="宋体"/>
          <w:bCs/>
          <w:color w:val="000000"/>
          <w:sz w:val="24"/>
        </w:rPr>
        <w:t>和基金托管人</w:t>
      </w:r>
      <w:r>
        <w:rPr>
          <w:rFonts w:ascii="宋体" w:hAnsi="宋体" w:cs="宋体"/>
          <w:bCs/>
          <w:color w:val="000000"/>
          <w:sz w:val="24"/>
        </w:rPr>
        <w:t>应当积极采取必要的措施消除由此造成的影响。</w:t>
      </w:r>
    </w:p>
    <w:p>
      <w:pPr>
        <w:spacing w:line="360" w:lineRule="auto"/>
        <w:ind w:firstLine="480"/>
        <w:rPr>
          <w:rFonts w:ascii="宋体" w:hAnsi="宋体" w:cs="宋体"/>
          <w:bCs/>
          <w:color w:val="000000"/>
          <w:sz w:val="24"/>
        </w:rPr>
      </w:pPr>
    </w:p>
    <w:p>
      <w:pPr>
        <w:pStyle w:val="2"/>
        <w:pageBreakBefore/>
        <w:spacing w:before="0" w:after="0"/>
        <w:jc w:val="center"/>
        <w:rPr>
          <w:rFonts w:hint="eastAsia" w:cs="宋体"/>
          <w:bCs/>
        </w:rPr>
      </w:pPr>
      <w:bookmarkStart w:id="15" w:name="_Toc521587225"/>
      <w:r>
        <w:rPr>
          <w:rFonts w:hint="eastAsia" w:ascii="Times New Roman" w:hAnsi="Times New Roman"/>
          <w:color w:val="auto"/>
          <w:sz w:val="30"/>
        </w:rPr>
        <w:t>第十三部分 基金的收益分配</w:t>
      </w:r>
      <w:bookmarkEnd w:id="15"/>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一、收益的构成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在本基金《基金合同》项下，基金收益即基金利润是指基金利息收入、投资收益、公允价值变动收益和其他收入扣除相关费用后的余额，基金已实现收益指基金收益减去公允价值变动收益后的余额。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基金可供分配利润指截至收益分配基准日基金未分配利润与未分配利润中已实现收益的孰低数。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二、收益分配原则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1、由于本基金</w:t>
      </w:r>
      <w:r>
        <w:rPr>
          <w:rFonts w:ascii="宋体" w:hAnsi="宋体" w:cs="宋体"/>
          <w:bCs/>
          <w:color w:val="000000"/>
          <w:sz w:val="24"/>
        </w:rPr>
        <w:t xml:space="preserve">A </w:t>
      </w:r>
      <w:r>
        <w:rPr>
          <w:rFonts w:hint="eastAsia" w:ascii="宋体" w:hAnsi="宋体" w:cs="宋体"/>
          <w:bCs/>
          <w:color w:val="000000"/>
          <w:sz w:val="24"/>
        </w:rPr>
        <w:t>类基金份额不收取销售服务费，C</w:t>
      </w:r>
      <w:r>
        <w:rPr>
          <w:rFonts w:ascii="宋体" w:hAnsi="宋体" w:cs="宋体"/>
          <w:bCs/>
          <w:color w:val="000000"/>
          <w:sz w:val="24"/>
        </w:rPr>
        <w:t xml:space="preserve"> </w:t>
      </w:r>
      <w:r>
        <w:rPr>
          <w:rFonts w:hint="eastAsia" w:ascii="宋体" w:hAnsi="宋体" w:cs="宋体"/>
          <w:bCs/>
          <w:color w:val="000000"/>
          <w:sz w:val="24"/>
        </w:rPr>
        <w:t>类基金份额收取销售服务费，各基金份额类别对应的可分配收益将有所不同，本基金同一基金份额类别内的每一基金份额享有同等分配权；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w:t>
      </w:r>
      <w:r>
        <w:rPr>
          <w:rFonts w:ascii="宋体" w:hAnsi="宋体" w:cs="宋体"/>
          <w:bCs/>
          <w:color w:val="000000"/>
          <w:sz w:val="24"/>
        </w:rPr>
        <w:t>、在符合有关基金分红条件的前提下，本基金每年收益分配次数最多为</w:t>
      </w:r>
      <w:r>
        <w:rPr>
          <w:rFonts w:hint="eastAsia" w:ascii="宋体" w:hAnsi="宋体" w:cs="宋体"/>
          <w:bCs/>
          <w:color w:val="000000"/>
          <w:sz w:val="24"/>
        </w:rPr>
        <w:t>6</w:t>
      </w:r>
      <w:r>
        <w:rPr>
          <w:rFonts w:ascii="宋体" w:hAnsi="宋体" w:cs="宋体"/>
          <w:bCs/>
          <w:color w:val="000000"/>
          <w:sz w:val="24"/>
        </w:rPr>
        <w:t>次，每次收益分配比例不得低于该次可供分配利润的</w:t>
      </w:r>
      <w:r>
        <w:rPr>
          <w:rFonts w:hint="eastAsia" w:ascii="宋体" w:hAnsi="宋体" w:cs="宋体"/>
          <w:bCs/>
          <w:color w:val="000000"/>
          <w:sz w:val="24"/>
        </w:rPr>
        <w:t>20</w:t>
      </w:r>
      <w:r>
        <w:rPr>
          <w:rFonts w:ascii="宋体" w:hAnsi="宋体" w:cs="宋体"/>
          <w:bCs/>
          <w:color w:val="000000"/>
          <w:sz w:val="24"/>
        </w:rPr>
        <w:t>%，若《基金合同》生效不满3个月可不进行收益分配；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w:t>
      </w:r>
      <w:r>
        <w:rPr>
          <w:rFonts w:ascii="宋体" w:hAnsi="宋体" w:cs="宋体"/>
          <w:bCs/>
          <w:color w:val="000000"/>
          <w:sz w:val="24"/>
        </w:rPr>
        <w:t>、本基金收益分配方式分两种：现金分红与红利再投资，投资者可选择现金红利或将现金红利自动转为基金份额进行再投资；若投资者不选择，本基金默认的收益分配方式是现金分红；</w:t>
      </w:r>
      <w:r>
        <w:rPr>
          <w:rFonts w:hint="eastAsia" w:ascii="宋体" w:hAnsi="宋体" w:cs="宋体"/>
          <w:bCs/>
          <w:color w:val="000000"/>
          <w:sz w:val="24"/>
        </w:rPr>
        <w:t>基金份额持有人可对</w:t>
      </w:r>
      <w:r>
        <w:rPr>
          <w:rFonts w:ascii="宋体" w:hAnsi="宋体" w:cs="宋体"/>
          <w:bCs/>
          <w:color w:val="000000"/>
          <w:sz w:val="24"/>
        </w:rPr>
        <w:t xml:space="preserve">A </w:t>
      </w:r>
      <w:r>
        <w:rPr>
          <w:rFonts w:hint="eastAsia" w:ascii="宋体" w:hAnsi="宋体" w:cs="宋体"/>
          <w:bCs/>
          <w:color w:val="000000"/>
          <w:sz w:val="24"/>
        </w:rPr>
        <w:t>类和C类基金份额分别选择不同的分红方式。选择采取红利再投资形式的，同一类别基金份额的分红资金将按权益登记日该类别的基金份额净值转成相应的同一类别的基金份额，红利再投资的份额免收申购费。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同一投资人持有的同一类别的基金份额只能选择一种分红方式，如投资人在不同销售机构选择的分红方式不同，则注册登记机构将以投资人最后一次选择的分红方式为准；</w:t>
      </w:r>
    </w:p>
    <w:p>
      <w:pPr>
        <w:spacing w:line="360" w:lineRule="auto"/>
        <w:ind w:firstLine="480"/>
        <w:rPr>
          <w:rFonts w:ascii="宋体" w:hAnsi="宋体" w:cs="宋体"/>
          <w:bCs/>
          <w:color w:val="000000"/>
          <w:sz w:val="24"/>
        </w:rPr>
      </w:pPr>
      <w:r>
        <w:rPr>
          <w:rFonts w:hint="eastAsia" w:ascii="宋体" w:hAnsi="宋体" w:cs="宋体"/>
          <w:bCs/>
          <w:color w:val="000000"/>
          <w:sz w:val="24"/>
        </w:rPr>
        <w:t>4</w:t>
      </w:r>
      <w:r>
        <w:rPr>
          <w:rFonts w:ascii="宋体" w:hAnsi="宋体" w:cs="宋体"/>
          <w:bCs/>
          <w:color w:val="000000"/>
          <w:sz w:val="24"/>
        </w:rPr>
        <w:t>、基金收益分配后基金份额净值不能低于面值；即基金收益分配基准日的基金份额净值减去每单位基金份额收益分配金额后不能低于面值。</w:t>
      </w:r>
    </w:p>
    <w:p>
      <w:pPr>
        <w:spacing w:line="360" w:lineRule="auto"/>
        <w:ind w:firstLine="480"/>
        <w:rPr>
          <w:rFonts w:hint="eastAsia" w:ascii="宋体" w:hAnsi="宋体" w:cs="宋体"/>
          <w:bCs/>
          <w:color w:val="000000"/>
          <w:sz w:val="24"/>
        </w:rPr>
      </w:pPr>
      <w:r>
        <w:rPr>
          <w:rFonts w:ascii="宋体" w:hAnsi="宋体" w:cs="宋体"/>
          <w:bCs/>
          <w:color w:val="000000"/>
          <w:sz w:val="24"/>
        </w:rPr>
        <w:t>5、法律法规或监管机关另有规定的，从其规定。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三、收益分配方案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基金收益分配方案中应载明截止收益分配基准日的可供分配利润、基金收益分配对象、分配时间、分配数额及比例、分配方式等内容。</w:t>
      </w:r>
    </w:p>
    <w:p>
      <w:pPr>
        <w:spacing w:line="360" w:lineRule="auto"/>
        <w:ind w:firstLine="480"/>
        <w:rPr>
          <w:rFonts w:ascii="宋体" w:hAnsi="宋体" w:cs="宋体"/>
          <w:bCs/>
          <w:color w:val="000000"/>
          <w:sz w:val="24"/>
        </w:rPr>
      </w:pPr>
      <w:r>
        <w:rPr>
          <w:rFonts w:hint="eastAsia" w:ascii="宋体" w:hAnsi="宋体" w:cs="宋体"/>
          <w:bCs/>
          <w:color w:val="000000"/>
          <w:sz w:val="24"/>
        </w:rPr>
        <w:t>四、收益分配方案的确定与公告</w:t>
      </w:r>
    </w:p>
    <w:p>
      <w:pPr>
        <w:spacing w:line="360" w:lineRule="auto"/>
        <w:ind w:firstLine="480"/>
        <w:rPr>
          <w:rFonts w:ascii="宋体" w:hAnsi="宋体" w:cs="宋体"/>
          <w:bCs/>
          <w:color w:val="000000"/>
          <w:sz w:val="24"/>
        </w:rPr>
      </w:pPr>
      <w:r>
        <w:rPr>
          <w:rFonts w:ascii="宋体" w:hAnsi="宋体" w:cs="宋体"/>
          <w:bCs/>
          <w:color w:val="000000"/>
          <w:sz w:val="24"/>
        </w:rPr>
        <w:t>本基金收益分配方案由基金管理人拟定，并由基金托管人复核，在2个工作日内在指定媒体公告并报中国证监会备案。</w:t>
      </w:r>
    </w:p>
    <w:p>
      <w:pPr>
        <w:spacing w:line="360" w:lineRule="auto"/>
        <w:ind w:firstLine="480"/>
        <w:rPr>
          <w:rFonts w:hint="eastAsia" w:ascii="宋体" w:hAnsi="宋体" w:cs="宋体"/>
          <w:bCs/>
          <w:color w:val="000000"/>
          <w:sz w:val="24"/>
        </w:rPr>
      </w:pPr>
      <w:r>
        <w:rPr>
          <w:rFonts w:ascii="宋体" w:hAnsi="宋体" w:cs="宋体"/>
          <w:bCs/>
          <w:color w:val="000000"/>
          <w:sz w:val="24"/>
        </w:rPr>
        <w:t>基金红利发放日距离收益分配基准日（即可供分配利润计算截止日）的时间不得超过15个工作日。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五、收益分配中发生的费用</w:t>
      </w:r>
    </w:p>
    <w:p>
      <w:pPr>
        <w:spacing w:line="360" w:lineRule="auto"/>
        <w:ind w:firstLine="480"/>
        <w:rPr>
          <w:rFonts w:ascii="宋体" w:hAnsi="宋体" w:cs="宋体"/>
          <w:bCs/>
          <w:color w:val="000000"/>
          <w:sz w:val="24"/>
        </w:rPr>
      </w:pPr>
      <w:r>
        <w:rPr>
          <w:rFonts w:hint="eastAsia" w:ascii="宋体" w:hAnsi="宋体" w:cs="宋体"/>
          <w:bCs/>
          <w:color w:val="000000"/>
          <w:sz w:val="24"/>
        </w:rPr>
        <w:t>1、收益分配采用红利再投资方式免收再投资的费用。</w:t>
      </w:r>
    </w:p>
    <w:p>
      <w:pPr>
        <w:spacing w:line="360" w:lineRule="auto"/>
        <w:ind w:firstLine="480"/>
        <w:rPr>
          <w:rFonts w:hint="eastAsia"/>
          <w:sz w:val="30"/>
        </w:rPr>
      </w:pPr>
      <w:r>
        <w:rPr>
          <w:rFonts w:ascii="宋体" w:hAnsi="宋体" w:cs="宋体"/>
          <w:bCs/>
          <w:color w:val="000000"/>
          <w:sz w:val="24"/>
        </w:rPr>
        <w:t>2</w:t>
      </w:r>
      <w:r>
        <w:rPr>
          <w:rFonts w:hint="eastAsia" w:ascii="宋体" w:hAnsi="宋体" w:cs="宋体"/>
          <w:bCs/>
          <w:color w:val="000000"/>
          <w:sz w:val="24"/>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pPr>
        <w:pStyle w:val="2"/>
        <w:pageBreakBefore/>
        <w:spacing w:before="0" w:after="0"/>
        <w:jc w:val="center"/>
        <w:rPr>
          <w:rFonts w:hint="eastAsia" w:cs="宋体"/>
          <w:bCs/>
        </w:rPr>
      </w:pPr>
      <w:bookmarkStart w:id="16" w:name="_Toc521587226"/>
      <w:r>
        <w:rPr>
          <w:rFonts w:hint="eastAsia" w:ascii="Times New Roman" w:hAnsi="Times New Roman"/>
          <w:color w:val="auto"/>
          <w:sz w:val="30"/>
        </w:rPr>
        <w:t>第十四部分 基金的费用与税收</w:t>
      </w:r>
      <w:bookmarkEnd w:id="16"/>
    </w:p>
    <w:p>
      <w:pPr>
        <w:spacing w:line="360" w:lineRule="auto"/>
        <w:ind w:firstLine="480"/>
        <w:rPr>
          <w:rFonts w:hint="eastAsia"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一、基金费用的种类</w:t>
      </w:r>
    </w:p>
    <w:p>
      <w:pPr>
        <w:spacing w:line="360" w:lineRule="auto"/>
        <w:ind w:firstLine="480"/>
        <w:rPr>
          <w:rFonts w:ascii="宋体" w:hAnsi="宋体" w:cs="宋体"/>
          <w:bCs/>
          <w:color w:val="000000"/>
          <w:sz w:val="24"/>
        </w:rPr>
      </w:pPr>
      <w:r>
        <w:rPr>
          <w:rFonts w:ascii="宋体" w:hAnsi="宋体" w:cs="宋体"/>
          <w:bCs/>
          <w:color w:val="000000"/>
          <w:sz w:val="24"/>
        </w:rPr>
        <w:t>1、基金管理人的管理费；</w:t>
      </w:r>
    </w:p>
    <w:p>
      <w:pPr>
        <w:spacing w:line="360" w:lineRule="auto"/>
        <w:ind w:firstLine="480"/>
        <w:rPr>
          <w:rFonts w:hint="eastAsia" w:ascii="宋体" w:hAnsi="宋体" w:cs="宋体"/>
          <w:bCs/>
          <w:color w:val="000000"/>
          <w:sz w:val="24"/>
        </w:rPr>
      </w:pPr>
      <w:r>
        <w:rPr>
          <w:rFonts w:ascii="宋体" w:hAnsi="宋体" w:cs="宋体"/>
          <w:bCs/>
          <w:color w:val="000000"/>
          <w:sz w:val="24"/>
        </w:rPr>
        <w:t>2、基金托管人的托管费；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3、基金销售服务费：本基金从C类基金资产中计提的销售服务费；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w:t>
      </w:r>
      <w:r>
        <w:rPr>
          <w:rFonts w:ascii="宋体" w:hAnsi="宋体" w:cs="宋体"/>
          <w:bCs/>
          <w:color w:val="000000"/>
          <w:sz w:val="24"/>
        </w:rPr>
        <w:t>、《基金合同》生效后与基金相关的信息披露费用；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w:t>
      </w:r>
      <w:r>
        <w:rPr>
          <w:rFonts w:ascii="宋体" w:hAnsi="宋体" w:cs="宋体"/>
          <w:bCs/>
          <w:color w:val="000000"/>
          <w:sz w:val="24"/>
        </w:rPr>
        <w:t>、《基金合同》生效后与基金相关的会计师费、律师费和诉讼费；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w:t>
      </w:r>
      <w:r>
        <w:rPr>
          <w:rFonts w:ascii="宋体" w:hAnsi="宋体" w:cs="宋体"/>
          <w:bCs/>
          <w:color w:val="000000"/>
          <w:sz w:val="24"/>
        </w:rPr>
        <w:t>、基金份额持有人大会费用；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w:t>
      </w:r>
      <w:r>
        <w:rPr>
          <w:rFonts w:ascii="宋体" w:hAnsi="宋体" w:cs="宋体"/>
          <w:bCs/>
          <w:color w:val="000000"/>
          <w:sz w:val="24"/>
        </w:rPr>
        <w:t>、基金的证券交易费用；</w:t>
      </w:r>
    </w:p>
    <w:p>
      <w:pPr>
        <w:spacing w:line="360" w:lineRule="auto"/>
        <w:ind w:firstLine="480"/>
        <w:rPr>
          <w:rFonts w:ascii="宋体" w:hAnsi="宋体" w:cs="宋体"/>
          <w:bCs/>
          <w:color w:val="000000"/>
          <w:sz w:val="24"/>
        </w:rPr>
      </w:pPr>
      <w:r>
        <w:rPr>
          <w:rFonts w:hint="eastAsia" w:ascii="宋体" w:hAnsi="宋体" w:cs="宋体"/>
          <w:bCs/>
          <w:color w:val="000000"/>
          <w:sz w:val="24"/>
        </w:rPr>
        <w:t>8</w:t>
      </w:r>
      <w:r>
        <w:rPr>
          <w:rFonts w:ascii="宋体" w:hAnsi="宋体" w:cs="宋体"/>
          <w:bCs/>
          <w:color w:val="000000"/>
          <w:sz w:val="24"/>
        </w:rPr>
        <w:t>、基金的银行汇划费用；</w:t>
      </w:r>
    </w:p>
    <w:p>
      <w:pPr>
        <w:spacing w:line="360" w:lineRule="auto"/>
        <w:ind w:firstLine="480"/>
        <w:rPr>
          <w:rFonts w:hint="eastAsia" w:ascii="宋体" w:hAnsi="宋体" w:cs="宋体"/>
          <w:bCs/>
          <w:color w:val="000000"/>
          <w:sz w:val="24"/>
        </w:rPr>
      </w:pPr>
      <w:r>
        <w:rPr>
          <w:rFonts w:ascii="宋体" w:hAnsi="宋体" w:cs="宋体"/>
          <w:bCs/>
          <w:color w:val="000000"/>
          <w:sz w:val="24"/>
        </w:rPr>
        <w:t>9、按照国家有关规定和《基金合同》约定，可以在基金财产中列支的其他费用。</w:t>
      </w:r>
    </w:p>
    <w:p>
      <w:pPr>
        <w:spacing w:line="360" w:lineRule="auto"/>
        <w:ind w:firstLine="480"/>
        <w:rPr>
          <w:rFonts w:ascii="宋体" w:hAnsi="宋体" w:cs="宋体"/>
          <w:bCs/>
          <w:color w:val="000000"/>
          <w:sz w:val="24"/>
        </w:rPr>
      </w:pPr>
      <w:r>
        <w:rPr>
          <w:rFonts w:hint="eastAsia" w:ascii="宋体" w:hAnsi="宋体" w:cs="宋体"/>
          <w:bCs/>
          <w:color w:val="000000"/>
          <w:sz w:val="24"/>
        </w:rPr>
        <w:t>二、基金费用计提方法、计提标准和支付方式</w:t>
      </w:r>
    </w:p>
    <w:p>
      <w:pPr>
        <w:spacing w:line="360" w:lineRule="auto"/>
        <w:ind w:firstLine="480"/>
        <w:rPr>
          <w:rFonts w:ascii="宋体" w:hAnsi="宋体" w:cs="宋体"/>
          <w:bCs/>
          <w:color w:val="000000"/>
          <w:sz w:val="24"/>
        </w:rPr>
      </w:pPr>
      <w:r>
        <w:rPr>
          <w:rFonts w:ascii="宋体" w:hAnsi="宋体" w:cs="宋体"/>
          <w:bCs/>
          <w:color w:val="000000"/>
          <w:sz w:val="24"/>
        </w:rPr>
        <w:t xml:space="preserve">1、基金管理人的管理费 </w:t>
      </w:r>
    </w:p>
    <w:p>
      <w:pPr>
        <w:spacing w:line="360" w:lineRule="auto"/>
        <w:ind w:firstLine="480"/>
        <w:rPr>
          <w:rFonts w:ascii="宋体" w:hAnsi="宋体" w:cs="宋体"/>
          <w:bCs/>
          <w:color w:val="000000"/>
          <w:sz w:val="24"/>
        </w:rPr>
      </w:pPr>
      <w:r>
        <w:rPr>
          <w:rFonts w:ascii="宋体" w:hAnsi="宋体" w:cs="宋体"/>
          <w:bCs/>
          <w:color w:val="000000"/>
          <w:sz w:val="24"/>
        </w:rPr>
        <w:t>本基金的管理费按前一日基金资产净值的</w:t>
      </w:r>
      <w:r>
        <w:rPr>
          <w:rFonts w:hint="eastAsia" w:ascii="宋体" w:hAnsi="宋体" w:cs="宋体"/>
          <w:bCs/>
          <w:color w:val="000000"/>
          <w:sz w:val="24"/>
        </w:rPr>
        <w:t>0.6</w:t>
      </w:r>
      <w:r>
        <w:rPr>
          <w:rFonts w:ascii="宋体" w:hAnsi="宋体" w:cs="宋体"/>
          <w:bCs/>
          <w:color w:val="000000"/>
          <w:sz w:val="24"/>
        </w:rPr>
        <w:t>%年费率计提。管理费的计算方法如下：</w:t>
      </w:r>
    </w:p>
    <w:p>
      <w:pPr>
        <w:spacing w:line="360" w:lineRule="auto"/>
        <w:ind w:firstLine="480"/>
        <w:rPr>
          <w:rFonts w:ascii="宋体" w:hAnsi="宋体" w:cs="宋体"/>
          <w:bCs/>
          <w:color w:val="000000"/>
          <w:sz w:val="24"/>
        </w:rPr>
      </w:pPr>
      <w:r>
        <w:rPr>
          <w:rFonts w:ascii="宋体" w:hAnsi="宋体" w:cs="宋体"/>
          <w:bCs/>
          <w:color w:val="000000"/>
          <w:sz w:val="24"/>
        </w:rPr>
        <w:t>H＝E×</w:t>
      </w:r>
      <w:r>
        <w:rPr>
          <w:rFonts w:hint="eastAsia" w:ascii="宋体" w:hAnsi="宋体" w:cs="宋体"/>
          <w:bCs/>
          <w:color w:val="000000"/>
          <w:sz w:val="24"/>
        </w:rPr>
        <w:t>0.6</w:t>
      </w:r>
      <w:r>
        <w:rPr>
          <w:rFonts w:ascii="宋体" w:hAnsi="宋体" w:cs="宋体"/>
          <w:bCs/>
          <w:color w:val="000000"/>
          <w:sz w:val="24"/>
        </w:rPr>
        <w:t xml:space="preserve"> %÷当年天数</w:t>
      </w:r>
    </w:p>
    <w:p>
      <w:pPr>
        <w:spacing w:line="360" w:lineRule="auto"/>
        <w:ind w:firstLine="480"/>
        <w:rPr>
          <w:rFonts w:ascii="宋体" w:hAnsi="宋体" w:cs="宋体"/>
          <w:bCs/>
          <w:color w:val="000000"/>
          <w:sz w:val="24"/>
        </w:rPr>
      </w:pPr>
      <w:r>
        <w:rPr>
          <w:rFonts w:ascii="宋体" w:hAnsi="宋体" w:cs="宋体"/>
          <w:bCs/>
          <w:color w:val="000000"/>
          <w:sz w:val="24"/>
        </w:rPr>
        <w:t>H为每日应计提的基金管理费</w:t>
      </w:r>
    </w:p>
    <w:p>
      <w:pPr>
        <w:spacing w:line="360" w:lineRule="auto"/>
        <w:ind w:firstLine="480"/>
        <w:rPr>
          <w:rFonts w:ascii="宋体" w:hAnsi="宋体" w:cs="宋体"/>
          <w:bCs/>
          <w:color w:val="000000"/>
          <w:sz w:val="24"/>
        </w:rPr>
      </w:pPr>
      <w:r>
        <w:rPr>
          <w:rFonts w:ascii="宋体" w:hAnsi="宋体" w:cs="宋体"/>
          <w:bCs/>
          <w:color w:val="000000"/>
          <w:sz w:val="24"/>
        </w:rPr>
        <w:t>E为前一日的基金资产净值</w:t>
      </w:r>
    </w:p>
    <w:p>
      <w:pPr>
        <w:spacing w:line="360" w:lineRule="auto"/>
        <w:ind w:firstLine="480"/>
        <w:rPr>
          <w:rFonts w:ascii="宋体" w:hAnsi="宋体" w:cs="宋体"/>
          <w:bCs/>
          <w:color w:val="000000"/>
          <w:sz w:val="24"/>
        </w:rPr>
      </w:pPr>
      <w:r>
        <w:rPr>
          <w:rFonts w:ascii="宋体" w:hAnsi="宋体" w:cs="宋体"/>
          <w:bCs/>
          <w:color w:val="000000"/>
          <w:sz w:val="24"/>
        </w:rPr>
        <w:t>基金管理费每日计算，逐日累计至每月月末，按月支付，由基金管理人向基金托管人发送基金管理费划款指令，基金托管人复核后于次月前</w:t>
      </w:r>
      <w:r>
        <w:rPr>
          <w:rFonts w:hint="eastAsia" w:ascii="宋体" w:hAnsi="宋体" w:cs="宋体"/>
          <w:bCs/>
          <w:color w:val="000000"/>
          <w:sz w:val="24"/>
        </w:rPr>
        <w:t>5</w:t>
      </w:r>
      <w:r>
        <w:rPr>
          <w:rFonts w:ascii="宋体" w:hAnsi="宋体" w:cs="宋体"/>
          <w:bCs/>
          <w:color w:val="000000"/>
          <w:sz w:val="24"/>
        </w:rPr>
        <w:t>个工作日内从基金财产中一次性支付给基金管理人。若遇法定节假日、公休假等,支付日期顺延。</w:t>
      </w:r>
    </w:p>
    <w:p>
      <w:pPr>
        <w:spacing w:line="360" w:lineRule="auto"/>
        <w:ind w:firstLine="480"/>
        <w:rPr>
          <w:rFonts w:ascii="宋体" w:hAnsi="宋体" w:cs="宋体"/>
          <w:bCs/>
          <w:color w:val="000000"/>
          <w:sz w:val="24"/>
        </w:rPr>
      </w:pPr>
      <w:r>
        <w:rPr>
          <w:rFonts w:ascii="宋体" w:hAnsi="宋体" w:cs="宋体"/>
          <w:bCs/>
          <w:color w:val="000000"/>
          <w:sz w:val="24"/>
        </w:rPr>
        <w:t>2、基金托管人的托管费</w:t>
      </w:r>
    </w:p>
    <w:p>
      <w:pPr>
        <w:spacing w:line="360" w:lineRule="auto"/>
        <w:ind w:firstLine="480"/>
        <w:rPr>
          <w:rFonts w:ascii="宋体" w:hAnsi="宋体" w:cs="宋体"/>
          <w:bCs/>
          <w:color w:val="000000"/>
          <w:sz w:val="24"/>
        </w:rPr>
      </w:pPr>
      <w:r>
        <w:rPr>
          <w:rFonts w:ascii="宋体" w:hAnsi="宋体" w:cs="宋体"/>
          <w:bCs/>
          <w:color w:val="000000"/>
          <w:sz w:val="24"/>
        </w:rPr>
        <w:t>本基金的托管费按前一日基金资产净值的0.2%的年费率计提。托管费的计算方法如下：</w:t>
      </w:r>
    </w:p>
    <w:p>
      <w:pPr>
        <w:spacing w:line="360" w:lineRule="auto"/>
        <w:ind w:firstLine="480"/>
        <w:rPr>
          <w:rFonts w:ascii="宋体" w:hAnsi="宋体" w:cs="宋体"/>
          <w:bCs/>
          <w:color w:val="000000"/>
          <w:sz w:val="24"/>
        </w:rPr>
      </w:pPr>
      <w:r>
        <w:rPr>
          <w:rFonts w:ascii="宋体" w:hAnsi="宋体" w:cs="宋体"/>
          <w:bCs/>
          <w:color w:val="000000"/>
          <w:sz w:val="24"/>
        </w:rPr>
        <w:t>H＝E×0.2%÷当年天数</w:t>
      </w:r>
    </w:p>
    <w:p>
      <w:pPr>
        <w:spacing w:line="360" w:lineRule="auto"/>
        <w:ind w:firstLine="480"/>
        <w:rPr>
          <w:rFonts w:ascii="宋体" w:hAnsi="宋体" w:cs="宋体"/>
          <w:bCs/>
          <w:color w:val="000000"/>
          <w:sz w:val="24"/>
        </w:rPr>
      </w:pPr>
      <w:r>
        <w:rPr>
          <w:rFonts w:ascii="宋体" w:hAnsi="宋体" w:cs="宋体"/>
          <w:bCs/>
          <w:color w:val="000000"/>
          <w:sz w:val="24"/>
        </w:rPr>
        <w:t>H为每日应计提的基金托管费</w:t>
      </w:r>
    </w:p>
    <w:p>
      <w:pPr>
        <w:spacing w:line="360" w:lineRule="auto"/>
        <w:ind w:firstLine="480"/>
        <w:rPr>
          <w:rFonts w:ascii="宋体" w:hAnsi="宋体" w:cs="宋体"/>
          <w:bCs/>
          <w:color w:val="000000"/>
          <w:sz w:val="24"/>
        </w:rPr>
      </w:pPr>
      <w:r>
        <w:rPr>
          <w:rFonts w:ascii="宋体" w:hAnsi="宋体" w:cs="宋体"/>
          <w:bCs/>
          <w:color w:val="000000"/>
          <w:sz w:val="24"/>
        </w:rPr>
        <w:t>E为前一日的基金资产净值</w:t>
      </w:r>
    </w:p>
    <w:p>
      <w:pPr>
        <w:spacing w:line="360" w:lineRule="auto"/>
        <w:ind w:firstLine="480"/>
        <w:rPr>
          <w:rFonts w:ascii="宋体" w:hAnsi="宋体" w:cs="宋体"/>
          <w:bCs/>
          <w:color w:val="000000"/>
          <w:sz w:val="24"/>
        </w:rPr>
      </w:pPr>
      <w:r>
        <w:rPr>
          <w:rFonts w:ascii="宋体" w:hAnsi="宋体" w:cs="宋体"/>
          <w:bCs/>
          <w:color w:val="000000"/>
          <w:sz w:val="24"/>
        </w:rPr>
        <w:t>基金托管费每日计算，逐日累计至每月月末，按月支付，由基金管理人向基金托管人发送基金托管费划款指令，基金托管人复核后于次月前</w:t>
      </w:r>
      <w:r>
        <w:rPr>
          <w:rFonts w:hint="eastAsia" w:ascii="宋体" w:hAnsi="宋体" w:cs="宋体"/>
          <w:bCs/>
          <w:color w:val="000000"/>
          <w:sz w:val="24"/>
        </w:rPr>
        <w:t>5</w:t>
      </w:r>
      <w:r>
        <w:rPr>
          <w:rFonts w:ascii="宋体" w:hAnsi="宋体" w:cs="宋体"/>
          <w:bCs/>
          <w:color w:val="000000"/>
          <w:sz w:val="24"/>
        </w:rPr>
        <w:t>个工作日内从基金财产中一次性支取。若遇法定节假日、公休日等,支付日期顺延。</w:t>
      </w:r>
    </w:p>
    <w:p>
      <w:pPr>
        <w:spacing w:line="360" w:lineRule="auto"/>
        <w:ind w:firstLine="480"/>
        <w:rPr>
          <w:rFonts w:hint="eastAsia" w:ascii="宋体" w:hAnsi="宋体" w:cs="宋体"/>
          <w:bCs/>
          <w:color w:val="000000"/>
          <w:sz w:val="24"/>
        </w:rPr>
      </w:pPr>
      <w:r>
        <w:rPr>
          <w:rFonts w:ascii="宋体" w:hAnsi="宋体" w:cs="宋体"/>
          <w:bCs/>
          <w:color w:val="000000"/>
          <w:sz w:val="24"/>
        </w:rPr>
        <w:t>3</w:t>
      </w:r>
      <w:r>
        <w:rPr>
          <w:rFonts w:hint="eastAsia" w:ascii="宋体" w:hAnsi="宋体" w:cs="宋体"/>
          <w:bCs/>
          <w:color w:val="000000"/>
          <w:sz w:val="24"/>
        </w:rPr>
        <w:t>、销售服务费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w:t>
      </w:r>
      <w:r>
        <w:rPr>
          <w:rFonts w:ascii="宋体" w:hAnsi="宋体" w:cs="宋体"/>
          <w:bCs/>
          <w:color w:val="000000"/>
          <w:sz w:val="24"/>
        </w:rPr>
        <w:t xml:space="preserve">A </w:t>
      </w:r>
      <w:r>
        <w:rPr>
          <w:rFonts w:hint="eastAsia" w:ascii="宋体" w:hAnsi="宋体" w:cs="宋体"/>
          <w:bCs/>
          <w:color w:val="000000"/>
          <w:sz w:val="24"/>
        </w:rPr>
        <w:t>类基金份额不收取销售服务费，C</w:t>
      </w:r>
      <w:r>
        <w:rPr>
          <w:rFonts w:ascii="宋体" w:hAnsi="宋体" w:cs="宋体"/>
          <w:bCs/>
          <w:color w:val="000000"/>
          <w:sz w:val="24"/>
        </w:rPr>
        <w:t xml:space="preserve"> </w:t>
      </w:r>
      <w:r>
        <w:rPr>
          <w:rFonts w:hint="eastAsia" w:ascii="宋体" w:hAnsi="宋体" w:cs="宋体"/>
          <w:bCs/>
          <w:color w:val="000000"/>
          <w:sz w:val="24"/>
        </w:rPr>
        <w:t>类基金份额的销售服务费年费率为</w:t>
      </w:r>
      <w:r>
        <w:rPr>
          <w:rFonts w:ascii="宋体" w:hAnsi="宋体" w:cs="宋体"/>
          <w:bCs/>
          <w:color w:val="000000"/>
          <w:sz w:val="24"/>
        </w:rPr>
        <w:t xml:space="preserve">0.35% </w:t>
      </w:r>
      <w:r>
        <w:rPr>
          <w:rFonts w:hint="eastAsia" w:ascii="宋体" w:hAnsi="宋体" w:cs="宋体"/>
          <w:bCs/>
          <w:color w:val="000000"/>
          <w:sz w:val="24"/>
        </w:rPr>
        <w:t>。</w:t>
      </w:r>
    </w:p>
    <w:p>
      <w:pPr>
        <w:spacing w:line="360" w:lineRule="auto"/>
        <w:ind w:firstLine="480"/>
        <w:rPr>
          <w:rFonts w:ascii="宋体" w:hAnsi="宋体" w:cs="宋体"/>
          <w:bCs/>
          <w:color w:val="000000"/>
          <w:sz w:val="24"/>
        </w:rPr>
      </w:pPr>
      <w:r>
        <w:rPr>
          <w:rFonts w:hint="eastAsia" w:ascii="宋体" w:hAnsi="宋体" w:cs="宋体"/>
          <w:bCs/>
          <w:color w:val="000000"/>
          <w:sz w:val="24"/>
        </w:rPr>
        <w:t>销售服务费计算方法如下，按C类基金份额基金资产净值计提：</w:t>
      </w:r>
    </w:p>
    <w:p>
      <w:pPr>
        <w:spacing w:line="360" w:lineRule="auto"/>
        <w:ind w:firstLine="480"/>
        <w:rPr>
          <w:rFonts w:ascii="宋体" w:hAnsi="宋体" w:cs="宋体"/>
          <w:bCs/>
          <w:color w:val="000000"/>
          <w:sz w:val="24"/>
        </w:rPr>
      </w:pPr>
      <w:r>
        <w:rPr>
          <w:rFonts w:ascii="宋体" w:hAnsi="宋体" w:cs="宋体"/>
          <w:bCs/>
          <w:color w:val="000000"/>
          <w:sz w:val="24"/>
        </w:rPr>
        <w:t>H</w:t>
      </w:r>
      <w:r>
        <w:rPr>
          <w:rFonts w:hint="eastAsia" w:ascii="宋体" w:hAnsi="宋体" w:cs="宋体"/>
          <w:bCs/>
          <w:color w:val="000000"/>
          <w:sz w:val="24"/>
        </w:rPr>
        <w:t>＝</w:t>
      </w:r>
      <w:r>
        <w:rPr>
          <w:rFonts w:ascii="宋体" w:hAnsi="宋体" w:cs="宋体"/>
          <w:bCs/>
          <w:color w:val="000000"/>
          <w:sz w:val="24"/>
        </w:rPr>
        <w:t>E</w:t>
      </w:r>
      <w:r>
        <w:rPr>
          <w:rFonts w:hint="eastAsia" w:ascii="宋体" w:hAnsi="宋体" w:cs="宋体"/>
          <w:bCs/>
          <w:color w:val="000000"/>
          <w:sz w:val="24"/>
        </w:rPr>
        <w:t>×</w:t>
      </w:r>
      <w:r>
        <w:rPr>
          <w:rFonts w:ascii="宋体" w:hAnsi="宋体" w:cs="宋体"/>
          <w:bCs/>
          <w:color w:val="000000"/>
          <w:sz w:val="24"/>
        </w:rPr>
        <w:t xml:space="preserve">0.35% </w:t>
      </w:r>
      <w:r>
        <w:rPr>
          <w:rFonts w:hint="eastAsia" w:ascii="宋体" w:hAnsi="宋体" w:cs="宋体"/>
          <w:bCs/>
          <w:color w:val="000000"/>
          <w:sz w:val="24"/>
        </w:rPr>
        <w:t>÷当年天数</w:t>
      </w:r>
    </w:p>
    <w:p>
      <w:pPr>
        <w:spacing w:line="360" w:lineRule="auto"/>
        <w:ind w:firstLine="480"/>
        <w:rPr>
          <w:rFonts w:ascii="宋体" w:hAnsi="宋体" w:cs="宋体"/>
          <w:bCs/>
          <w:color w:val="000000"/>
          <w:sz w:val="24"/>
        </w:rPr>
      </w:pPr>
      <w:r>
        <w:rPr>
          <w:rFonts w:ascii="宋体" w:hAnsi="宋体" w:cs="宋体"/>
          <w:bCs/>
          <w:color w:val="000000"/>
          <w:sz w:val="24"/>
        </w:rPr>
        <w:t>H</w:t>
      </w:r>
      <w:r>
        <w:rPr>
          <w:rFonts w:hint="eastAsia" w:ascii="宋体" w:hAnsi="宋体" w:cs="宋体"/>
          <w:bCs/>
          <w:color w:val="000000"/>
          <w:sz w:val="24"/>
        </w:rPr>
        <w:t>为C类基金份额每日应计提的销售服务费</w:t>
      </w:r>
    </w:p>
    <w:p>
      <w:pPr>
        <w:spacing w:line="360" w:lineRule="auto"/>
        <w:ind w:firstLine="480"/>
        <w:rPr>
          <w:rFonts w:hint="eastAsia" w:ascii="宋体" w:hAnsi="宋体" w:cs="宋体"/>
          <w:bCs/>
          <w:color w:val="000000"/>
          <w:sz w:val="24"/>
        </w:rPr>
      </w:pPr>
      <w:r>
        <w:rPr>
          <w:rFonts w:ascii="宋体" w:hAnsi="宋体" w:cs="宋体"/>
          <w:bCs/>
          <w:color w:val="000000"/>
          <w:sz w:val="24"/>
        </w:rPr>
        <w:t>E</w:t>
      </w:r>
      <w:r>
        <w:rPr>
          <w:rFonts w:hint="eastAsia" w:ascii="宋体" w:hAnsi="宋体" w:cs="宋体"/>
          <w:bCs/>
          <w:color w:val="000000"/>
          <w:sz w:val="24"/>
        </w:rPr>
        <w:t>为C类基金份额前一日基金资产净值</w:t>
      </w:r>
    </w:p>
    <w:p>
      <w:pPr>
        <w:spacing w:line="360" w:lineRule="auto"/>
        <w:ind w:firstLine="480"/>
        <w:rPr>
          <w:rFonts w:ascii="宋体" w:hAnsi="宋体" w:cs="宋体"/>
          <w:bCs/>
          <w:color w:val="000000"/>
          <w:sz w:val="24"/>
        </w:rPr>
      </w:pPr>
      <w:r>
        <w:rPr>
          <w:rFonts w:hint="eastAsia" w:ascii="宋体" w:hAnsi="宋体" w:cs="宋体"/>
          <w:bCs/>
          <w:color w:val="000000"/>
          <w:sz w:val="24"/>
        </w:rPr>
        <w:t>基金销售服务费</w:t>
      </w:r>
      <w:r>
        <w:rPr>
          <w:rFonts w:ascii="宋体" w:hAnsi="宋体" w:cs="宋体"/>
          <w:bCs/>
          <w:color w:val="000000"/>
          <w:sz w:val="24"/>
        </w:rPr>
        <w:t>每日计算，逐日累计至每月月末，按月支付，由基金管理人向基金托管人发送</w:t>
      </w:r>
      <w:r>
        <w:rPr>
          <w:rFonts w:hint="eastAsia" w:ascii="宋体" w:hAnsi="宋体" w:cs="宋体"/>
          <w:bCs/>
          <w:color w:val="000000"/>
          <w:sz w:val="24"/>
        </w:rPr>
        <w:t>基金销售服务费</w:t>
      </w:r>
      <w:r>
        <w:rPr>
          <w:rFonts w:ascii="宋体" w:hAnsi="宋体" w:cs="宋体"/>
          <w:bCs/>
          <w:color w:val="000000"/>
          <w:sz w:val="24"/>
        </w:rPr>
        <w:t>划款指令，基金托管人复核后于次月前</w:t>
      </w:r>
      <w:r>
        <w:rPr>
          <w:rFonts w:hint="eastAsia" w:ascii="宋体" w:hAnsi="宋体" w:cs="宋体"/>
          <w:bCs/>
          <w:color w:val="000000"/>
          <w:sz w:val="24"/>
        </w:rPr>
        <w:t>5</w:t>
      </w:r>
      <w:r>
        <w:rPr>
          <w:rFonts w:ascii="宋体" w:hAnsi="宋体" w:cs="宋体"/>
          <w:bCs/>
          <w:color w:val="000000"/>
          <w:sz w:val="24"/>
        </w:rPr>
        <w:t>个工作日内从基金财产中划出，经登记机构分别支付给各个基金销售机构。</w:t>
      </w:r>
    </w:p>
    <w:p>
      <w:pPr>
        <w:spacing w:line="360" w:lineRule="auto"/>
        <w:ind w:firstLine="480"/>
        <w:rPr>
          <w:rFonts w:hint="eastAsia" w:ascii="宋体" w:hAnsi="宋体" w:cs="宋体"/>
          <w:bCs/>
          <w:color w:val="000000"/>
          <w:sz w:val="24"/>
        </w:rPr>
      </w:pPr>
      <w:r>
        <w:rPr>
          <w:rFonts w:ascii="宋体" w:hAnsi="宋体" w:cs="宋体"/>
          <w:bCs/>
          <w:color w:val="000000"/>
          <w:sz w:val="24"/>
        </w:rPr>
        <w:t>上述“</w:t>
      </w:r>
      <w:r>
        <w:rPr>
          <w:rFonts w:hint="eastAsia" w:ascii="宋体" w:hAnsi="宋体" w:cs="宋体"/>
          <w:bCs/>
          <w:color w:val="000000"/>
          <w:sz w:val="24"/>
        </w:rPr>
        <w:t>一、</w:t>
      </w:r>
      <w:r>
        <w:rPr>
          <w:rFonts w:ascii="宋体" w:hAnsi="宋体" w:cs="宋体"/>
          <w:bCs/>
          <w:color w:val="000000"/>
          <w:sz w:val="24"/>
        </w:rPr>
        <w:t>基金费用的种类中第</w:t>
      </w:r>
      <w:r>
        <w:rPr>
          <w:rFonts w:hint="eastAsia" w:ascii="宋体" w:hAnsi="宋体" w:cs="宋体"/>
          <w:bCs/>
          <w:color w:val="000000"/>
          <w:sz w:val="24"/>
        </w:rPr>
        <w:t>4</w:t>
      </w:r>
      <w:r>
        <w:rPr>
          <w:rFonts w:ascii="宋体" w:hAnsi="宋体" w:cs="宋体"/>
          <w:bCs/>
          <w:color w:val="000000"/>
          <w:sz w:val="24"/>
        </w:rPr>
        <w:t>－</w:t>
      </w:r>
      <w:r>
        <w:rPr>
          <w:rFonts w:hint="eastAsia" w:ascii="宋体" w:hAnsi="宋体" w:cs="宋体"/>
          <w:bCs/>
          <w:color w:val="000000"/>
          <w:sz w:val="24"/>
        </w:rPr>
        <w:t>8</w:t>
      </w:r>
      <w:r>
        <w:rPr>
          <w:rFonts w:ascii="宋体" w:hAnsi="宋体" w:cs="宋体"/>
          <w:bCs/>
          <w:color w:val="000000"/>
          <w:sz w:val="24"/>
        </w:rPr>
        <w:t>项费用”，根据有关法规及相应协议规定，按费用实际支出金额列入当期费用，由基金托管人从基金财产中支付。</w:t>
      </w:r>
    </w:p>
    <w:p>
      <w:pPr>
        <w:spacing w:line="360" w:lineRule="auto"/>
        <w:ind w:firstLine="480"/>
        <w:rPr>
          <w:rFonts w:ascii="宋体" w:hAnsi="宋体" w:cs="宋体"/>
          <w:bCs/>
          <w:color w:val="000000"/>
          <w:sz w:val="24"/>
        </w:rPr>
      </w:pPr>
      <w:r>
        <w:rPr>
          <w:rFonts w:hint="eastAsia" w:ascii="宋体" w:hAnsi="宋体" w:cs="宋体"/>
          <w:bCs/>
          <w:color w:val="000000"/>
          <w:sz w:val="24"/>
        </w:rPr>
        <w:t>三、不列入基金费用的项目</w:t>
      </w:r>
    </w:p>
    <w:p>
      <w:pPr>
        <w:spacing w:line="360" w:lineRule="auto"/>
        <w:ind w:firstLine="480"/>
        <w:rPr>
          <w:rFonts w:ascii="宋体" w:hAnsi="宋体" w:cs="宋体"/>
          <w:bCs/>
          <w:color w:val="000000"/>
          <w:sz w:val="24"/>
        </w:rPr>
      </w:pPr>
      <w:r>
        <w:rPr>
          <w:rFonts w:ascii="宋体" w:hAnsi="宋体" w:cs="宋体"/>
          <w:bCs/>
          <w:color w:val="000000"/>
          <w:sz w:val="24"/>
        </w:rPr>
        <w:t>1、基金管理人和基金托管人因未履行或未完全履行义务导致的费用支出或基金财产的损失；</w:t>
      </w:r>
    </w:p>
    <w:p>
      <w:pPr>
        <w:spacing w:line="360" w:lineRule="auto"/>
        <w:ind w:firstLine="480"/>
        <w:rPr>
          <w:rFonts w:ascii="宋体" w:hAnsi="宋体" w:cs="宋体"/>
          <w:bCs/>
          <w:color w:val="000000"/>
          <w:sz w:val="24"/>
        </w:rPr>
      </w:pPr>
      <w:r>
        <w:rPr>
          <w:rFonts w:ascii="宋体" w:hAnsi="宋体" w:cs="宋体"/>
          <w:bCs/>
          <w:color w:val="000000"/>
          <w:sz w:val="24"/>
        </w:rPr>
        <w:t>2、基金管理人和基金托管人处理与基金运作无关的事项发生的费用；</w:t>
      </w:r>
    </w:p>
    <w:p>
      <w:pPr>
        <w:spacing w:line="360" w:lineRule="auto"/>
        <w:ind w:firstLine="480"/>
        <w:rPr>
          <w:rFonts w:ascii="宋体" w:hAnsi="宋体" w:cs="宋体"/>
          <w:bCs/>
          <w:color w:val="000000"/>
          <w:sz w:val="24"/>
        </w:rPr>
      </w:pPr>
      <w:r>
        <w:rPr>
          <w:rFonts w:ascii="宋体" w:hAnsi="宋体" w:cs="宋体"/>
          <w:bCs/>
          <w:color w:val="000000"/>
          <w:sz w:val="24"/>
        </w:rPr>
        <w:t>3、《基金合同》生效前的相关费用；</w:t>
      </w:r>
    </w:p>
    <w:p>
      <w:pPr>
        <w:spacing w:line="360" w:lineRule="auto"/>
        <w:ind w:firstLine="480"/>
        <w:rPr>
          <w:rFonts w:hint="eastAsia" w:ascii="宋体" w:hAnsi="宋体" w:cs="宋体"/>
          <w:bCs/>
          <w:color w:val="000000"/>
          <w:sz w:val="24"/>
        </w:rPr>
      </w:pPr>
      <w:r>
        <w:rPr>
          <w:rFonts w:ascii="宋体" w:hAnsi="宋体" w:cs="宋体"/>
          <w:bCs/>
          <w:color w:val="000000"/>
          <w:sz w:val="24"/>
        </w:rPr>
        <w:t>4、其他根据相关法律法规及中国证监会的有关规定不得列入基金费用的项目。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四、基金管理费、基金托管费和销售服务费的调整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基金管理人和基金托管人可协商酌情调低基金管理费、基金托管费和销售服务费，无须召开基金份额持有人大会。基金管理人必须最迟于新的费率实施日</w:t>
      </w:r>
      <w:r>
        <w:rPr>
          <w:rFonts w:ascii="宋体" w:hAnsi="宋体" w:cs="宋体"/>
          <w:bCs/>
          <w:color w:val="000000"/>
          <w:sz w:val="24"/>
        </w:rPr>
        <w:t xml:space="preserve">2 </w:t>
      </w:r>
      <w:r>
        <w:rPr>
          <w:rFonts w:hint="eastAsia" w:ascii="宋体" w:hAnsi="宋体" w:cs="宋体"/>
          <w:bCs/>
          <w:color w:val="000000"/>
          <w:sz w:val="24"/>
        </w:rPr>
        <w:t>日前在指定媒体上刊登公告。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五、税收</w:t>
      </w:r>
    </w:p>
    <w:p>
      <w:pPr>
        <w:spacing w:line="360" w:lineRule="auto"/>
        <w:ind w:firstLine="480"/>
        <w:rPr>
          <w:rFonts w:hint="eastAsia"/>
          <w:sz w:val="30"/>
        </w:rPr>
      </w:pPr>
      <w:r>
        <w:rPr>
          <w:rFonts w:hint="eastAsia" w:ascii="宋体" w:hAnsi="宋体" w:cs="宋体"/>
          <w:bCs/>
          <w:color w:val="000000"/>
          <w:sz w:val="24"/>
        </w:rPr>
        <w:t>本基金运作过程中涉及的各纳税主体，依照国家法律法规的规定履行纳税义务。</w:t>
      </w:r>
    </w:p>
    <w:p>
      <w:pPr>
        <w:pStyle w:val="2"/>
        <w:pageBreakBefore/>
        <w:spacing w:before="0" w:after="0"/>
        <w:jc w:val="center"/>
        <w:rPr>
          <w:rFonts w:hint="eastAsia" w:cs="宋体"/>
          <w:bCs/>
        </w:rPr>
      </w:pPr>
      <w:bookmarkStart w:id="17" w:name="_Toc521587227"/>
      <w:r>
        <w:rPr>
          <w:rFonts w:hint="eastAsia" w:ascii="Times New Roman" w:hAnsi="Times New Roman"/>
          <w:color w:val="auto"/>
          <w:sz w:val="30"/>
        </w:rPr>
        <w:t>第十五部分 基金的会计与审计</w:t>
      </w:r>
      <w:bookmarkEnd w:id="17"/>
    </w:p>
    <w:p>
      <w:pPr>
        <w:spacing w:line="360" w:lineRule="auto"/>
        <w:ind w:firstLine="480"/>
        <w:rPr>
          <w:rFonts w:hint="eastAsia"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一、基金会计政策</w:t>
      </w:r>
    </w:p>
    <w:p>
      <w:pPr>
        <w:spacing w:line="360" w:lineRule="auto"/>
        <w:ind w:firstLine="480"/>
        <w:rPr>
          <w:rFonts w:ascii="宋体" w:hAnsi="宋体" w:cs="宋体"/>
          <w:bCs/>
          <w:color w:val="000000"/>
          <w:sz w:val="24"/>
        </w:rPr>
      </w:pPr>
      <w:r>
        <w:rPr>
          <w:rFonts w:ascii="宋体" w:hAnsi="宋体" w:cs="宋体"/>
          <w:bCs/>
          <w:color w:val="000000"/>
          <w:sz w:val="24"/>
        </w:rPr>
        <w:t>1、基金管理人为本基金的基金会计责任方；</w:t>
      </w:r>
    </w:p>
    <w:p>
      <w:pPr>
        <w:spacing w:line="360" w:lineRule="auto"/>
        <w:ind w:firstLine="480"/>
        <w:rPr>
          <w:rFonts w:ascii="宋体" w:hAnsi="宋体" w:cs="宋体"/>
          <w:bCs/>
          <w:color w:val="000000"/>
          <w:sz w:val="24"/>
        </w:rPr>
      </w:pPr>
      <w:r>
        <w:rPr>
          <w:rFonts w:ascii="宋体" w:hAnsi="宋体" w:cs="宋体"/>
          <w:bCs/>
          <w:color w:val="000000"/>
          <w:sz w:val="24"/>
        </w:rPr>
        <w:t>2、基金的会计年度为公历年度的1月1日至12月31日；基金首次募集的会计年度按如下原则：如果《基金合同》生效少于2个月，可以并入下一个会计年度；</w:t>
      </w:r>
    </w:p>
    <w:p>
      <w:pPr>
        <w:spacing w:line="360" w:lineRule="auto"/>
        <w:ind w:firstLine="480"/>
        <w:rPr>
          <w:rFonts w:ascii="宋体" w:hAnsi="宋体" w:cs="宋体"/>
          <w:bCs/>
          <w:color w:val="000000"/>
          <w:sz w:val="24"/>
        </w:rPr>
      </w:pPr>
      <w:r>
        <w:rPr>
          <w:rFonts w:ascii="宋体" w:hAnsi="宋体" w:cs="宋体"/>
          <w:bCs/>
          <w:color w:val="000000"/>
          <w:sz w:val="24"/>
        </w:rPr>
        <w:t>3、基金核算以人民币为记账本位币，以人民币元为记账单位；</w:t>
      </w:r>
    </w:p>
    <w:p>
      <w:pPr>
        <w:spacing w:line="360" w:lineRule="auto"/>
        <w:ind w:firstLine="480"/>
        <w:rPr>
          <w:rFonts w:ascii="宋体" w:hAnsi="宋体" w:cs="宋体"/>
          <w:bCs/>
          <w:color w:val="000000"/>
          <w:sz w:val="24"/>
        </w:rPr>
      </w:pPr>
      <w:r>
        <w:rPr>
          <w:rFonts w:ascii="宋体" w:hAnsi="宋体" w:cs="宋体"/>
          <w:bCs/>
          <w:color w:val="000000"/>
          <w:sz w:val="24"/>
        </w:rPr>
        <w:t>4、会计制度执行国家有关会计制度；</w:t>
      </w:r>
    </w:p>
    <w:p>
      <w:pPr>
        <w:spacing w:line="360" w:lineRule="auto"/>
        <w:ind w:firstLine="480"/>
        <w:rPr>
          <w:rFonts w:ascii="宋体" w:hAnsi="宋体" w:cs="宋体"/>
          <w:bCs/>
          <w:color w:val="000000"/>
          <w:sz w:val="24"/>
        </w:rPr>
      </w:pPr>
      <w:r>
        <w:rPr>
          <w:rFonts w:ascii="宋体" w:hAnsi="宋体" w:cs="宋体"/>
          <w:bCs/>
          <w:color w:val="000000"/>
          <w:sz w:val="24"/>
        </w:rPr>
        <w:t>5、本基金独立建账、独立核算；</w:t>
      </w:r>
    </w:p>
    <w:p>
      <w:pPr>
        <w:spacing w:line="360" w:lineRule="auto"/>
        <w:ind w:firstLine="480"/>
        <w:rPr>
          <w:rFonts w:ascii="宋体" w:hAnsi="宋体" w:cs="宋体"/>
          <w:bCs/>
          <w:color w:val="000000"/>
          <w:sz w:val="24"/>
        </w:rPr>
      </w:pPr>
      <w:r>
        <w:rPr>
          <w:rFonts w:ascii="宋体" w:hAnsi="宋体" w:cs="宋体"/>
          <w:bCs/>
          <w:color w:val="000000"/>
          <w:sz w:val="24"/>
        </w:rPr>
        <w:t>6、基金管理人及基金托管人各自保留完整的会计账目、凭证并进行日常的会计核算，按照有关规定编制基金会计报表；</w:t>
      </w:r>
    </w:p>
    <w:p>
      <w:pPr>
        <w:spacing w:line="360" w:lineRule="auto"/>
        <w:ind w:firstLine="480"/>
        <w:rPr>
          <w:rFonts w:hint="eastAsia" w:ascii="宋体" w:hAnsi="宋体" w:cs="宋体"/>
          <w:bCs/>
          <w:color w:val="000000"/>
          <w:sz w:val="24"/>
        </w:rPr>
      </w:pPr>
      <w:r>
        <w:rPr>
          <w:rFonts w:ascii="宋体" w:hAnsi="宋体" w:cs="宋体"/>
          <w:bCs/>
          <w:color w:val="000000"/>
          <w:sz w:val="24"/>
        </w:rPr>
        <w:t>7、基金托管人每月与基金管理人就基金的会计核算、报表编制等进行核对并以书面方式确认。</w:t>
      </w:r>
    </w:p>
    <w:p>
      <w:pPr>
        <w:spacing w:line="360" w:lineRule="auto"/>
        <w:ind w:firstLine="480"/>
        <w:rPr>
          <w:rFonts w:ascii="宋体" w:hAnsi="宋体" w:cs="宋体"/>
          <w:bCs/>
          <w:color w:val="000000"/>
          <w:sz w:val="24"/>
        </w:rPr>
      </w:pPr>
      <w:r>
        <w:rPr>
          <w:rFonts w:hint="eastAsia" w:ascii="宋体" w:hAnsi="宋体" w:cs="宋体"/>
          <w:bCs/>
          <w:color w:val="000000"/>
          <w:sz w:val="24"/>
        </w:rPr>
        <w:t>二、基金的年度审计</w:t>
      </w:r>
    </w:p>
    <w:p>
      <w:pPr>
        <w:spacing w:line="360" w:lineRule="auto"/>
        <w:ind w:firstLine="480"/>
        <w:rPr>
          <w:rFonts w:ascii="宋体" w:hAnsi="宋体" w:cs="宋体"/>
          <w:bCs/>
          <w:color w:val="000000"/>
          <w:sz w:val="24"/>
        </w:rPr>
      </w:pPr>
      <w:r>
        <w:rPr>
          <w:rFonts w:ascii="宋体" w:hAnsi="宋体" w:cs="宋体"/>
          <w:bCs/>
          <w:color w:val="000000"/>
          <w:sz w:val="24"/>
        </w:rPr>
        <w:t>1、基金管理人聘请与基金管理人、基金托管人相互独立的具有证券从业资格的会计师事务所及其注册会计师对本基金的年度财务报表进行审计。</w:t>
      </w:r>
    </w:p>
    <w:p>
      <w:pPr>
        <w:spacing w:line="360" w:lineRule="auto"/>
        <w:ind w:firstLine="480"/>
        <w:rPr>
          <w:rFonts w:ascii="宋体" w:hAnsi="宋体" w:cs="宋体"/>
          <w:bCs/>
          <w:color w:val="000000"/>
          <w:sz w:val="24"/>
        </w:rPr>
      </w:pPr>
      <w:r>
        <w:rPr>
          <w:rFonts w:ascii="宋体" w:hAnsi="宋体" w:cs="宋体"/>
          <w:bCs/>
          <w:color w:val="000000"/>
          <w:sz w:val="24"/>
        </w:rPr>
        <w:t>2、会计师事务所更换经办注册会计师，应事先征得基金管理人同意。</w:t>
      </w:r>
    </w:p>
    <w:p>
      <w:pPr>
        <w:spacing w:line="360" w:lineRule="auto"/>
        <w:ind w:firstLine="480"/>
        <w:rPr>
          <w:rFonts w:hint="eastAsia"/>
          <w:sz w:val="30"/>
        </w:rPr>
      </w:pPr>
      <w:r>
        <w:rPr>
          <w:rFonts w:ascii="宋体" w:hAnsi="宋体" w:cs="宋体"/>
          <w:bCs/>
          <w:color w:val="000000"/>
          <w:sz w:val="24"/>
        </w:rPr>
        <w:t>3、基金管理人认为有充足理由更换会计师事务所，须通报基金托管人。更换会计师事务所需在2个工作日内在指定媒体公告并报中国证监会备案。</w:t>
      </w:r>
    </w:p>
    <w:p>
      <w:pPr>
        <w:pStyle w:val="2"/>
        <w:pageBreakBefore/>
        <w:spacing w:before="0" w:after="0"/>
        <w:jc w:val="center"/>
        <w:rPr>
          <w:rFonts w:hint="eastAsia" w:cs="宋体"/>
          <w:bCs/>
        </w:rPr>
      </w:pPr>
      <w:bookmarkStart w:id="18" w:name="_Toc521587228"/>
      <w:r>
        <w:rPr>
          <w:rFonts w:hint="eastAsia" w:ascii="Times New Roman" w:hAnsi="Times New Roman"/>
          <w:color w:val="auto"/>
          <w:sz w:val="30"/>
        </w:rPr>
        <w:t>第十六部分 基金的信息披露</w:t>
      </w:r>
      <w:bookmarkEnd w:id="18"/>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w:t>
      </w:r>
      <w:r>
        <w:rPr>
          <w:rFonts w:ascii="宋体" w:hAnsi="宋体" w:cs="宋体"/>
          <w:bCs/>
          <w:color w:val="000000"/>
          <w:sz w:val="24"/>
        </w:rPr>
        <w:t>本基金的信息披露应符合《基金法》、《运作办法》、《信息披露办法》、</w:t>
      </w:r>
      <w:r>
        <w:rPr>
          <w:rFonts w:hint="eastAsia" w:ascii="宋体" w:hAnsi="宋体" w:cs="宋体"/>
          <w:bCs/>
          <w:color w:val="000000"/>
          <w:sz w:val="24"/>
        </w:rPr>
        <w:t>《流动性风险管理规定》、</w:t>
      </w:r>
      <w:r>
        <w:rPr>
          <w:rFonts w:ascii="宋体" w:hAnsi="宋体" w:cs="宋体"/>
          <w:bCs/>
          <w:color w:val="000000"/>
          <w:sz w:val="24"/>
        </w:rPr>
        <w:t>《基金合同》及其他有关规定。</w:t>
      </w:r>
    </w:p>
    <w:p>
      <w:pPr>
        <w:spacing w:line="360" w:lineRule="auto"/>
        <w:ind w:firstLine="480"/>
        <w:rPr>
          <w:rFonts w:ascii="宋体" w:hAnsi="宋体" w:cs="宋体"/>
          <w:bCs/>
          <w:color w:val="000000"/>
          <w:sz w:val="24"/>
        </w:rPr>
      </w:pPr>
      <w:r>
        <w:rPr>
          <w:rFonts w:hint="eastAsia" w:ascii="宋体" w:hAnsi="宋体" w:cs="宋体"/>
          <w:bCs/>
          <w:color w:val="000000"/>
          <w:sz w:val="24"/>
        </w:rPr>
        <w:t>二、</w:t>
      </w:r>
      <w:r>
        <w:rPr>
          <w:rFonts w:ascii="宋体" w:hAnsi="宋体" w:cs="宋体"/>
          <w:bCs/>
          <w:color w:val="000000"/>
          <w:sz w:val="24"/>
        </w:rPr>
        <w:t>信息披露义务人</w:t>
      </w:r>
    </w:p>
    <w:p>
      <w:pPr>
        <w:spacing w:line="360" w:lineRule="auto"/>
        <w:ind w:firstLine="480"/>
        <w:rPr>
          <w:rFonts w:ascii="宋体" w:hAnsi="宋体" w:cs="宋体"/>
          <w:bCs/>
          <w:color w:val="000000"/>
          <w:sz w:val="24"/>
        </w:rPr>
      </w:pPr>
      <w:r>
        <w:rPr>
          <w:rFonts w:ascii="宋体" w:hAnsi="宋体" w:cs="宋体"/>
          <w:bCs/>
          <w:color w:val="000000"/>
          <w:sz w:val="24"/>
        </w:rPr>
        <w:t>本基金信息披露义务人包括基金管理人、基金托管人、召集基金份额持有人大会的基金份额持有人等法律法规和中国证监会规定的自然人、法人和其他组织。</w:t>
      </w:r>
    </w:p>
    <w:p>
      <w:pPr>
        <w:spacing w:line="360" w:lineRule="auto"/>
        <w:ind w:firstLine="480"/>
        <w:rPr>
          <w:rFonts w:ascii="宋体" w:hAnsi="宋体" w:cs="宋体"/>
          <w:bCs/>
          <w:color w:val="000000"/>
          <w:sz w:val="24"/>
        </w:rPr>
      </w:pPr>
      <w:r>
        <w:rPr>
          <w:rFonts w:ascii="宋体" w:hAnsi="宋体" w:cs="宋体"/>
          <w:bCs/>
          <w:color w:val="000000"/>
          <w:sz w:val="24"/>
        </w:rPr>
        <w:t>本基金信息披露义务人按照法律法规和中国证监会的规定披露基金信息，并保证所披露信息的真实性、准确性和完整性。</w:t>
      </w:r>
    </w:p>
    <w:p>
      <w:pPr>
        <w:spacing w:line="360" w:lineRule="auto"/>
        <w:ind w:firstLine="480"/>
        <w:rPr>
          <w:rFonts w:hint="eastAsia" w:ascii="宋体" w:hAnsi="宋体" w:cs="宋体"/>
          <w:bCs/>
          <w:color w:val="000000"/>
          <w:sz w:val="24"/>
        </w:rPr>
      </w:pPr>
      <w:r>
        <w:rPr>
          <w:rFonts w:ascii="宋体" w:hAnsi="宋体" w:cs="宋体"/>
          <w:bCs/>
          <w:color w:val="000000"/>
          <w:sz w:val="24"/>
        </w:rPr>
        <w:t>本基金信息披露义务人应当在中国证监会规定时间内，将应予披露的基金信息通过中国证监会指定的媒体和基金管理人、基金托管人的互联网网站（以下简称“网站”）等媒介披露，并保证基金投资人能够按照《基金合同》约定的时间和方式查阅或者复制公开披露的信息资料。</w:t>
      </w:r>
    </w:p>
    <w:p>
      <w:pPr>
        <w:spacing w:line="360" w:lineRule="auto"/>
        <w:ind w:firstLine="480"/>
        <w:rPr>
          <w:rFonts w:ascii="宋体" w:hAnsi="宋体" w:cs="宋体"/>
          <w:bCs/>
          <w:color w:val="000000"/>
          <w:sz w:val="24"/>
        </w:rPr>
      </w:pPr>
      <w:r>
        <w:rPr>
          <w:rFonts w:hint="eastAsia" w:ascii="宋体" w:hAnsi="宋体" w:cs="宋体"/>
          <w:bCs/>
          <w:color w:val="000000"/>
          <w:sz w:val="24"/>
        </w:rPr>
        <w:t>三、</w:t>
      </w:r>
      <w:r>
        <w:rPr>
          <w:rFonts w:ascii="宋体" w:hAnsi="宋体" w:cs="宋体"/>
          <w:bCs/>
          <w:color w:val="000000"/>
          <w:sz w:val="24"/>
        </w:rPr>
        <w:t>本基金信息披露义务人承诺公开披露的基金信息，不得有下列行为：</w:t>
      </w:r>
    </w:p>
    <w:p>
      <w:pPr>
        <w:spacing w:line="360" w:lineRule="auto"/>
        <w:ind w:firstLine="480"/>
        <w:rPr>
          <w:rFonts w:ascii="宋体" w:hAnsi="宋体" w:cs="宋体"/>
          <w:bCs/>
          <w:color w:val="000000"/>
          <w:sz w:val="24"/>
        </w:rPr>
      </w:pPr>
      <w:r>
        <w:rPr>
          <w:rFonts w:ascii="宋体" w:hAnsi="宋体" w:cs="宋体"/>
          <w:bCs/>
          <w:color w:val="000000"/>
          <w:sz w:val="24"/>
        </w:rPr>
        <w:t>1、虚假记载、误导性陈述或者重大遗漏；</w:t>
      </w:r>
    </w:p>
    <w:p>
      <w:pPr>
        <w:spacing w:line="360" w:lineRule="auto"/>
        <w:ind w:firstLine="480"/>
        <w:rPr>
          <w:rFonts w:ascii="宋体" w:hAnsi="宋体" w:cs="宋体"/>
          <w:bCs/>
          <w:color w:val="000000"/>
          <w:sz w:val="24"/>
        </w:rPr>
      </w:pPr>
      <w:r>
        <w:rPr>
          <w:rFonts w:ascii="宋体" w:hAnsi="宋体" w:cs="宋体"/>
          <w:bCs/>
          <w:color w:val="000000"/>
          <w:sz w:val="24"/>
        </w:rPr>
        <w:t>2、对证券投资业绩进行预测；</w:t>
      </w:r>
    </w:p>
    <w:p>
      <w:pPr>
        <w:spacing w:line="360" w:lineRule="auto"/>
        <w:ind w:firstLine="480"/>
        <w:rPr>
          <w:rFonts w:ascii="宋体" w:hAnsi="宋体" w:cs="宋体"/>
          <w:bCs/>
          <w:color w:val="000000"/>
          <w:sz w:val="24"/>
        </w:rPr>
      </w:pPr>
      <w:r>
        <w:rPr>
          <w:rFonts w:ascii="宋体" w:hAnsi="宋体" w:cs="宋体"/>
          <w:bCs/>
          <w:color w:val="000000"/>
          <w:sz w:val="24"/>
        </w:rPr>
        <w:t>3、违规承诺收益或者承担损失；</w:t>
      </w:r>
    </w:p>
    <w:p>
      <w:pPr>
        <w:spacing w:line="360" w:lineRule="auto"/>
        <w:ind w:firstLine="480"/>
        <w:rPr>
          <w:rFonts w:ascii="宋体" w:hAnsi="宋体" w:cs="宋体"/>
          <w:bCs/>
          <w:color w:val="000000"/>
          <w:sz w:val="24"/>
        </w:rPr>
      </w:pPr>
      <w:r>
        <w:rPr>
          <w:rFonts w:ascii="宋体" w:hAnsi="宋体" w:cs="宋体"/>
          <w:bCs/>
          <w:color w:val="000000"/>
          <w:sz w:val="24"/>
        </w:rPr>
        <w:t>4、诋毁其他基金管理人、基金托管人或者基金销售机构；</w:t>
      </w:r>
    </w:p>
    <w:p>
      <w:pPr>
        <w:spacing w:line="360" w:lineRule="auto"/>
        <w:ind w:firstLine="480"/>
        <w:rPr>
          <w:rFonts w:ascii="宋体" w:hAnsi="宋体" w:cs="宋体"/>
          <w:bCs/>
          <w:color w:val="000000"/>
          <w:sz w:val="24"/>
        </w:rPr>
      </w:pPr>
      <w:r>
        <w:rPr>
          <w:rFonts w:ascii="宋体" w:hAnsi="宋体" w:cs="宋体"/>
          <w:bCs/>
          <w:color w:val="000000"/>
          <w:sz w:val="24"/>
        </w:rPr>
        <w:t>5、登载任何自然人、法人或者其他组织的祝贺性、恭维性或推荐性的文字；</w:t>
      </w:r>
    </w:p>
    <w:p>
      <w:pPr>
        <w:spacing w:line="360" w:lineRule="auto"/>
        <w:ind w:firstLine="480"/>
        <w:rPr>
          <w:rFonts w:hint="eastAsia" w:ascii="宋体" w:hAnsi="宋体" w:cs="宋体"/>
          <w:bCs/>
          <w:color w:val="000000"/>
          <w:sz w:val="24"/>
        </w:rPr>
      </w:pPr>
      <w:r>
        <w:rPr>
          <w:rFonts w:ascii="宋体" w:hAnsi="宋体" w:cs="宋体"/>
          <w:bCs/>
          <w:color w:val="000000"/>
          <w:sz w:val="24"/>
        </w:rPr>
        <w:t>6、中国证监会禁止的其他行为。</w:t>
      </w:r>
    </w:p>
    <w:p>
      <w:pPr>
        <w:spacing w:line="360" w:lineRule="auto"/>
        <w:ind w:firstLine="480"/>
        <w:rPr>
          <w:rFonts w:ascii="宋体" w:hAnsi="宋体" w:cs="宋体"/>
          <w:bCs/>
          <w:color w:val="000000"/>
          <w:sz w:val="24"/>
        </w:rPr>
      </w:pPr>
      <w:r>
        <w:rPr>
          <w:rFonts w:hint="eastAsia" w:ascii="宋体" w:hAnsi="宋体" w:cs="宋体"/>
          <w:bCs/>
          <w:color w:val="000000"/>
          <w:sz w:val="24"/>
        </w:rPr>
        <w:t>四、</w:t>
      </w:r>
      <w:r>
        <w:rPr>
          <w:rFonts w:ascii="宋体" w:hAnsi="宋体" w:cs="宋体"/>
          <w:bCs/>
          <w:color w:val="000000"/>
          <w:sz w:val="24"/>
        </w:rPr>
        <w:t>本基金公开披露的信息应采用中文文本。如同时采用外文文本的，基金信息披露义务人应保证两种文本的内容一致。两种文本发生歧义的，以中文文本为准。</w:t>
      </w:r>
    </w:p>
    <w:p>
      <w:pPr>
        <w:spacing w:line="360" w:lineRule="auto"/>
        <w:ind w:firstLine="480"/>
        <w:rPr>
          <w:rFonts w:hint="eastAsia" w:ascii="宋体" w:hAnsi="宋体" w:cs="宋体"/>
          <w:bCs/>
          <w:color w:val="000000"/>
          <w:sz w:val="24"/>
        </w:rPr>
      </w:pPr>
      <w:r>
        <w:rPr>
          <w:rFonts w:ascii="宋体" w:hAnsi="宋体" w:cs="宋体"/>
          <w:bCs/>
          <w:color w:val="000000"/>
          <w:sz w:val="24"/>
        </w:rPr>
        <w:t>本基金公开披露的信息采用阿拉伯数字；除特别说明外，货币单位为人民币元。</w:t>
      </w:r>
    </w:p>
    <w:p>
      <w:pPr>
        <w:spacing w:line="360" w:lineRule="auto"/>
        <w:ind w:firstLine="480"/>
        <w:rPr>
          <w:rFonts w:ascii="宋体" w:hAnsi="宋体" w:cs="宋体"/>
          <w:bCs/>
          <w:color w:val="000000"/>
          <w:sz w:val="24"/>
        </w:rPr>
      </w:pPr>
      <w:r>
        <w:rPr>
          <w:rFonts w:hint="eastAsia" w:ascii="宋体" w:hAnsi="宋体" w:cs="宋体"/>
          <w:bCs/>
          <w:color w:val="000000"/>
          <w:sz w:val="24"/>
        </w:rPr>
        <w:t>五、</w:t>
      </w:r>
      <w:r>
        <w:rPr>
          <w:rFonts w:ascii="宋体" w:hAnsi="宋体" w:cs="宋体"/>
          <w:bCs/>
          <w:color w:val="000000"/>
          <w:sz w:val="24"/>
        </w:rPr>
        <w:t>公开披露的基金信息</w:t>
      </w:r>
    </w:p>
    <w:p>
      <w:pPr>
        <w:spacing w:line="360" w:lineRule="auto"/>
        <w:ind w:firstLine="480"/>
        <w:rPr>
          <w:rFonts w:hint="eastAsia" w:ascii="宋体" w:hAnsi="宋体" w:cs="宋体"/>
          <w:bCs/>
          <w:color w:val="000000"/>
          <w:sz w:val="24"/>
        </w:rPr>
      </w:pPr>
      <w:r>
        <w:rPr>
          <w:rFonts w:ascii="宋体" w:hAnsi="宋体" w:cs="宋体"/>
          <w:bCs/>
          <w:color w:val="000000"/>
          <w:sz w:val="24"/>
        </w:rPr>
        <w:t>公开披露的基金信息包括：</w:t>
      </w:r>
    </w:p>
    <w:p>
      <w:pPr>
        <w:spacing w:line="360" w:lineRule="auto"/>
        <w:ind w:firstLine="480"/>
        <w:rPr>
          <w:rFonts w:ascii="宋体" w:hAnsi="宋体" w:cs="宋体"/>
          <w:bCs/>
          <w:color w:val="000000"/>
          <w:sz w:val="24"/>
        </w:rPr>
      </w:pPr>
      <w:r>
        <w:rPr>
          <w:rFonts w:hint="eastAsia" w:ascii="宋体" w:hAnsi="宋体" w:cs="宋体"/>
          <w:bCs/>
          <w:color w:val="000000"/>
          <w:sz w:val="24"/>
        </w:rPr>
        <w:t>（一）</w:t>
      </w:r>
      <w:r>
        <w:rPr>
          <w:rFonts w:ascii="宋体" w:hAnsi="宋体" w:cs="宋体"/>
          <w:bCs/>
          <w:color w:val="000000"/>
          <w:sz w:val="24"/>
        </w:rPr>
        <w:t>基金招募说明书、《基金合同》、基金托管协议</w:t>
      </w:r>
    </w:p>
    <w:p>
      <w:pPr>
        <w:spacing w:line="360" w:lineRule="auto"/>
        <w:ind w:firstLine="480"/>
        <w:rPr>
          <w:rFonts w:ascii="宋体" w:hAnsi="宋体" w:cs="宋体"/>
          <w:bCs/>
          <w:color w:val="000000"/>
          <w:sz w:val="24"/>
        </w:rPr>
      </w:pPr>
      <w:r>
        <w:rPr>
          <w:rFonts w:ascii="宋体" w:hAnsi="宋体" w:cs="宋体"/>
          <w:bCs/>
          <w:color w:val="000000"/>
          <w:sz w:val="24"/>
        </w:rPr>
        <w:t>1、《基金合同》是界定《基金合同》当事人的各项权利、义务关系，明确基金份额持有人大会召开的规则及具体程序，说明基金产品的特性等涉及基金投资人重大利益的事项的法律文件。</w:t>
      </w:r>
    </w:p>
    <w:p>
      <w:pPr>
        <w:spacing w:line="360" w:lineRule="auto"/>
        <w:ind w:firstLine="480"/>
        <w:rPr>
          <w:rFonts w:ascii="宋体" w:hAnsi="宋体" w:cs="宋体"/>
          <w:bCs/>
          <w:color w:val="000000"/>
          <w:sz w:val="24"/>
        </w:rPr>
      </w:pPr>
      <w:r>
        <w:rPr>
          <w:rFonts w:ascii="宋体" w:hAnsi="宋体" w:cs="宋体"/>
          <w:bCs/>
          <w:color w:val="000000"/>
          <w:sz w:val="24"/>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pPr>
        <w:spacing w:line="360" w:lineRule="auto"/>
        <w:ind w:firstLine="480"/>
        <w:rPr>
          <w:rFonts w:ascii="宋体" w:hAnsi="宋体" w:cs="宋体"/>
          <w:bCs/>
          <w:color w:val="000000"/>
          <w:sz w:val="24"/>
        </w:rPr>
      </w:pPr>
      <w:r>
        <w:rPr>
          <w:rFonts w:ascii="宋体" w:hAnsi="宋体" w:cs="宋体"/>
          <w:bCs/>
          <w:color w:val="000000"/>
          <w:sz w:val="24"/>
        </w:rPr>
        <w:t>3、基金托管协议是界定基金托管人和基金管理人在基金财产保管及基金运作监督等活动中的权利、义务关系的法律文件。</w:t>
      </w:r>
    </w:p>
    <w:p>
      <w:pPr>
        <w:spacing w:line="360" w:lineRule="auto"/>
        <w:ind w:firstLine="480"/>
        <w:rPr>
          <w:rFonts w:hint="eastAsia" w:ascii="宋体" w:hAnsi="宋体" w:cs="宋体"/>
          <w:bCs/>
          <w:color w:val="000000"/>
          <w:sz w:val="24"/>
        </w:rPr>
      </w:pPr>
      <w:r>
        <w:rPr>
          <w:rFonts w:ascii="宋体" w:hAnsi="宋体" w:cs="宋体"/>
          <w:bCs/>
          <w:color w:val="000000"/>
          <w:sz w:val="24"/>
        </w:rPr>
        <w:t>基金募集申请经中国证监会核准后，基金管理人在基金份额发售的3日前，将基金招募说明书、《基金合同》摘要登载在指定媒体上；基金管理人、基金托管人应当将《基金合同》、基金托管协议登载在网站上。</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二）基金份额发售公告</w:t>
      </w:r>
    </w:p>
    <w:p>
      <w:pPr>
        <w:spacing w:line="360" w:lineRule="auto"/>
        <w:ind w:firstLine="480"/>
        <w:rPr>
          <w:rFonts w:hint="eastAsia" w:ascii="宋体" w:hAnsi="宋体" w:cs="宋体"/>
          <w:bCs/>
          <w:color w:val="000000"/>
          <w:sz w:val="24"/>
        </w:rPr>
      </w:pPr>
      <w:r>
        <w:rPr>
          <w:rFonts w:ascii="宋体" w:hAnsi="宋体" w:cs="宋体"/>
          <w:bCs/>
          <w:color w:val="000000"/>
          <w:sz w:val="24"/>
        </w:rPr>
        <w:t>基金管理人应当就基金份额发售的具体事宜编制基金份额发售公告，并在披露招募说明书的当日登载于指定媒体上。</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三）《基金合同》生效公告</w:t>
      </w:r>
    </w:p>
    <w:p>
      <w:pPr>
        <w:spacing w:line="360" w:lineRule="auto"/>
        <w:ind w:firstLine="480"/>
        <w:rPr>
          <w:rFonts w:hint="eastAsia" w:ascii="宋体" w:hAnsi="宋体" w:cs="宋体"/>
          <w:bCs/>
          <w:color w:val="000000"/>
          <w:sz w:val="24"/>
        </w:rPr>
      </w:pPr>
      <w:r>
        <w:rPr>
          <w:rFonts w:ascii="宋体" w:hAnsi="宋体" w:cs="宋体"/>
          <w:bCs/>
          <w:color w:val="000000"/>
          <w:sz w:val="24"/>
        </w:rPr>
        <w:t>基金管理人应当在收到中国证监会确认文件的次日在指定媒体上登载《基金合同》生效公告。</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四）基金资产净值、基金份额净值</w:t>
      </w:r>
    </w:p>
    <w:p>
      <w:pPr>
        <w:spacing w:line="360" w:lineRule="auto"/>
        <w:ind w:firstLine="480"/>
        <w:rPr>
          <w:rFonts w:hint="eastAsia" w:ascii="宋体" w:hAnsi="宋体" w:cs="宋体"/>
          <w:bCs/>
          <w:color w:val="000000"/>
          <w:sz w:val="24"/>
        </w:rPr>
      </w:pPr>
      <w:r>
        <w:rPr>
          <w:rFonts w:ascii="宋体" w:hAnsi="宋体" w:cs="宋体"/>
          <w:bCs/>
          <w:color w:val="000000"/>
          <w:sz w:val="24"/>
        </w:rPr>
        <w:t>《基金合同》</w:t>
      </w:r>
      <w:r>
        <w:rPr>
          <w:rFonts w:hint="eastAsia" w:ascii="宋体" w:hAnsi="宋体" w:cs="宋体"/>
          <w:bCs/>
          <w:color w:val="000000"/>
          <w:sz w:val="24"/>
        </w:rPr>
        <w:t>生效后，在开始办理基金份额申购或者赎回前，基金管理人应当至少每周公告一次A/C类基金份额所对应的基金资产净值和基金份额净值。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在开始办理基金份额申购或者赎回之后，基金管理人应当在每个开放日的次日，通过网站、基金份额销售网点以及其他媒介，分别披露开放日</w:t>
      </w:r>
      <w:r>
        <w:rPr>
          <w:rFonts w:ascii="宋体" w:hAnsi="宋体" w:cs="宋体"/>
          <w:bCs/>
          <w:color w:val="000000"/>
          <w:sz w:val="24"/>
        </w:rPr>
        <w:t>A/</w:t>
      </w:r>
      <w:r>
        <w:rPr>
          <w:rFonts w:hint="eastAsia" w:ascii="宋体" w:hAnsi="宋体" w:cs="宋体"/>
          <w:bCs/>
          <w:color w:val="000000"/>
          <w:sz w:val="24"/>
        </w:rPr>
        <w:t>C</w:t>
      </w:r>
      <w:r>
        <w:rPr>
          <w:rFonts w:ascii="宋体" w:hAnsi="宋体" w:cs="宋体"/>
          <w:bCs/>
          <w:color w:val="000000"/>
          <w:sz w:val="24"/>
        </w:rPr>
        <w:t xml:space="preserve"> </w:t>
      </w:r>
      <w:r>
        <w:rPr>
          <w:rFonts w:hint="eastAsia" w:ascii="宋体" w:hAnsi="宋体" w:cs="宋体"/>
          <w:bCs/>
          <w:color w:val="000000"/>
          <w:sz w:val="24"/>
        </w:rPr>
        <w:t>类基金份额所对应的基金份额净值和基金份额累计净值。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基金管理人应当公告半年度和年度最后一个市场交易日</w:t>
      </w:r>
      <w:r>
        <w:rPr>
          <w:rFonts w:ascii="宋体" w:hAnsi="宋体" w:cs="宋体"/>
          <w:bCs/>
          <w:color w:val="000000"/>
          <w:sz w:val="24"/>
        </w:rPr>
        <w:t>A/</w:t>
      </w:r>
      <w:r>
        <w:rPr>
          <w:rFonts w:hint="eastAsia" w:ascii="宋体" w:hAnsi="宋体" w:cs="宋体"/>
          <w:bCs/>
          <w:color w:val="000000"/>
          <w:sz w:val="24"/>
        </w:rPr>
        <w:t>C类基金份额所对应的基金资产净值和基金份额净值。基金管理人应当在前述最后一个市场交易日的次日，将基金资产净值、基金份额净值和基金份额累计净值登载在指定</w:t>
      </w:r>
      <w:r>
        <w:rPr>
          <w:rFonts w:ascii="宋体" w:hAnsi="宋体" w:cs="宋体"/>
          <w:bCs/>
          <w:color w:val="000000"/>
          <w:sz w:val="24"/>
        </w:rPr>
        <w:t>媒体</w:t>
      </w:r>
      <w:r>
        <w:rPr>
          <w:rFonts w:hint="eastAsia" w:ascii="宋体" w:hAnsi="宋体" w:cs="宋体"/>
          <w:bCs/>
          <w:color w:val="000000"/>
          <w:sz w:val="24"/>
        </w:rPr>
        <w:t>上。</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五）基金份额申购、赎回价格</w:t>
      </w:r>
    </w:p>
    <w:p>
      <w:pPr>
        <w:spacing w:line="360" w:lineRule="auto"/>
        <w:ind w:firstLine="480"/>
        <w:rPr>
          <w:rFonts w:hint="eastAsia" w:ascii="宋体" w:hAnsi="宋体" w:cs="宋体"/>
          <w:bCs/>
          <w:color w:val="000000"/>
          <w:sz w:val="24"/>
        </w:rPr>
      </w:pPr>
      <w:r>
        <w:rPr>
          <w:rFonts w:ascii="宋体" w:hAnsi="宋体" w:cs="宋体"/>
          <w:bCs/>
          <w:color w:val="000000"/>
          <w:sz w:val="24"/>
        </w:rPr>
        <w:t>基金管理人应当在《基金合同》、招募说明书等信息披露文件上载明基金份额申购、赎回价格的计算方式及有关申购、赎回费率，并保证投资人能够在基金份额发售网点查阅或者复制前述信息资料。</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六）基金定期报告，包括基金年度报告、基金半年度报告和基金季度报告</w:t>
      </w:r>
    </w:p>
    <w:p>
      <w:pPr>
        <w:spacing w:line="360" w:lineRule="auto"/>
        <w:ind w:firstLine="480"/>
        <w:rPr>
          <w:rFonts w:ascii="宋体" w:hAnsi="宋体" w:cs="宋体"/>
          <w:bCs/>
          <w:color w:val="000000"/>
          <w:sz w:val="24"/>
        </w:rPr>
      </w:pPr>
      <w:r>
        <w:rPr>
          <w:rFonts w:ascii="宋体" w:hAnsi="宋体" w:cs="宋体"/>
          <w:bCs/>
          <w:color w:val="000000"/>
          <w:sz w:val="24"/>
        </w:rPr>
        <w:t>基金管理人应当在每年结束之日起90日内，编制完成基金年度报告，并将年度报告正文登载于网站上，将年度报告摘要登载在指定媒体上。基金年度报告的财务会计报告应当经过审计。</w:t>
      </w:r>
    </w:p>
    <w:p>
      <w:pPr>
        <w:spacing w:line="360" w:lineRule="auto"/>
        <w:ind w:firstLine="480"/>
        <w:rPr>
          <w:rFonts w:ascii="宋体" w:hAnsi="宋体" w:cs="宋体"/>
          <w:bCs/>
          <w:color w:val="000000"/>
          <w:sz w:val="24"/>
        </w:rPr>
      </w:pPr>
      <w:r>
        <w:rPr>
          <w:rFonts w:ascii="宋体" w:hAnsi="宋体" w:cs="宋体"/>
          <w:bCs/>
          <w:color w:val="000000"/>
          <w:sz w:val="24"/>
        </w:rPr>
        <w:t>基金管理人应当在上半年结束之日起60日内，编制完成基金半年度报告，并将半年度报告正文登载在网站上，将半年度报告摘要登载在指定媒体上。</w:t>
      </w:r>
    </w:p>
    <w:p>
      <w:pPr>
        <w:spacing w:line="360" w:lineRule="auto"/>
        <w:ind w:firstLine="480"/>
        <w:rPr>
          <w:rFonts w:ascii="宋体" w:hAnsi="宋体" w:cs="宋体"/>
          <w:bCs/>
          <w:color w:val="000000"/>
          <w:sz w:val="24"/>
        </w:rPr>
      </w:pPr>
      <w:r>
        <w:rPr>
          <w:rFonts w:ascii="宋体" w:hAnsi="宋体" w:cs="宋体"/>
          <w:bCs/>
          <w:color w:val="000000"/>
          <w:sz w:val="24"/>
        </w:rPr>
        <w:t>基金管理人应当在每个季度结束之日起15个工作日内，编制完成基金季度报告，并将季度报告登载在指定媒体上。</w:t>
      </w:r>
    </w:p>
    <w:p>
      <w:pPr>
        <w:spacing w:line="360" w:lineRule="auto"/>
        <w:ind w:firstLine="480"/>
        <w:rPr>
          <w:rFonts w:ascii="宋体" w:hAnsi="宋体" w:cs="宋体"/>
          <w:bCs/>
          <w:color w:val="000000"/>
          <w:sz w:val="24"/>
        </w:rPr>
      </w:pPr>
      <w:r>
        <w:rPr>
          <w:rFonts w:ascii="宋体" w:hAnsi="宋体" w:cs="宋体"/>
          <w:bCs/>
          <w:color w:val="000000"/>
          <w:sz w:val="24"/>
        </w:rPr>
        <w:t>《基金合同》生效不足2个月的，基金管理人可以不编制当期季度报告、半年度报告或者年度报告。</w:t>
      </w:r>
    </w:p>
    <w:p>
      <w:pPr>
        <w:spacing w:line="360" w:lineRule="auto"/>
        <w:ind w:firstLine="480"/>
        <w:rPr>
          <w:rFonts w:hint="eastAsia" w:ascii="宋体" w:hAnsi="宋体" w:cs="宋体"/>
          <w:bCs/>
          <w:color w:val="000000"/>
          <w:sz w:val="24"/>
        </w:rPr>
      </w:pPr>
      <w:r>
        <w:rPr>
          <w:rFonts w:ascii="宋体" w:hAnsi="宋体" w:cs="宋体"/>
          <w:bCs/>
          <w:color w:val="000000"/>
          <w:sz w:val="24"/>
        </w:rPr>
        <w:t>基金定期报告在公开披露的第2个工作日，分别报中国证监会和基金管理人主要办公场所所在地中国证监会派出机构备案。报备应当采用电子文本或书面报告方式。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基金持续运作过程中，基金管理人应当在基金年度报告和半年度报告中披露基金组合资产情况及其流动性风险分析等；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七）临时报告</w:t>
      </w:r>
    </w:p>
    <w:p>
      <w:pPr>
        <w:spacing w:line="360" w:lineRule="auto"/>
        <w:ind w:firstLine="480"/>
        <w:rPr>
          <w:rFonts w:ascii="宋体" w:hAnsi="宋体" w:cs="宋体"/>
          <w:bCs/>
          <w:color w:val="000000"/>
          <w:sz w:val="24"/>
        </w:rPr>
      </w:pPr>
      <w:r>
        <w:rPr>
          <w:rFonts w:ascii="宋体" w:hAnsi="宋体" w:cs="宋体"/>
          <w:bCs/>
          <w:color w:val="000000"/>
          <w:sz w:val="24"/>
        </w:rPr>
        <w:t>本基金发生重大事件，有关信息披露义务人应当在2个工作日内编制临时报告书，予以公告，并在公开披露日分别报中国证监会和基金管理人主要办公场所所在地的中国证监会派出机构备案。</w:t>
      </w:r>
    </w:p>
    <w:p>
      <w:pPr>
        <w:spacing w:line="360" w:lineRule="auto"/>
        <w:ind w:firstLine="480"/>
        <w:rPr>
          <w:rFonts w:ascii="宋体" w:hAnsi="宋体" w:cs="宋体"/>
          <w:bCs/>
          <w:color w:val="000000"/>
          <w:sz w:val="24"/>
        </w:rPr>
      </w:pPr>
      <w:r>
        <w:rPr>
          <w:rFonts w:ascii="宋体" w:hAnsi="宋体" w:cs="宋体"/>
          <w:bCs/>
          <w:color w:val="000000"/>
          <w:sz w:val="24"/>
        </w:rPr>
        <w:t>前款所称重大事件，是指可能对基金份额持有人权益或者基金份额的价格产生重大影响的下列事件：</w:t>
      </w:r>
    </w:p>
    <w:p>
      <w:pPr>
        <w:spacing w:line="360" w:lineRule="auto"/>
        <w:ind w:firstLine="480"/>
        <w:rPr>
          <w:rFonts w:ascii="宋体" w:hAnsi="宋体" w:cs="宋体"/>
          <w:bCs/>
          <w:color w:val="000000"/>
          <w:sz w:val="24"/>
        </w:rPr>
      </w:pPr>
      <w:r>
        <w:rPr>
          <w:rFonts w:ascii="宋体" w:hAnsi="宋体" w:cs="宋体"/>
          <w:bCs/>
          <w:color w:val="000000"/>
          <w:sz w:val="24"/>
        </w:rPr>
        <w:t>1、基金份额持有人大会的召开；</w:t>
      </w:r>
    </w:p>
    <w:p>
      <w:pPr>
        <w:spacing w:line="360" w:lineRule="auto"/>
        <w:ind w:firstLine="480"/>
        <w:rPr>
          <w:rFonts w:ascii="宋体" w:hAnsi="宋体" w:cs="宋体"/>
          <w:bCs/>
          <w:color w:val="000000"/>
          <w:sz w:val="24"/>
        </w:rPr>
      </w:pPr>
      <w:r>
        <w:rPr>
          <w:rFonts w:ascii="宋体" w:hAnsi="宋体" w:cs="宋体"/>
          <w:bCs/>
          <w:color w:val="000000"/>
          <w:sz w:val="24"/>
        </w:rPr>
        <w:t>2、终止《基金合同》；</w:t>
      </w:r>
    </w:p>
    <w:p>
      <w:pPr>
        <w:spacing w:line="360" w:lineRule="auto"/>
        <w:ind w:firstLine="480"/>
        <w:rPr>
          <w:rFonts w:ascii="宋体" w:hAnsi="宋体" w:cs="宋体"/>
          <w:bCs/>
          <w:color w:val="000000"/>
          <w:sz w:val="24"/>
        </w:rPr>
      </w:pPr>
      <w:r>
        <w:rPr>
          <w:rFonts w:ascii="宋体" w:hAnsi="宋体" w:cs="宋体"/>
          <w:bCs/>
          <w:color w:val="000000"/>
          <w:sz w:val="24"/>
        </w:rPr>
        <w:t>3、转换基金运作方式；</w:t>
      </w:r>
    </w:p>
    <w:p>
      <w:pPr>
        <w:spacing w:line="360" w:lineRule="auto"/>
        <w:ind w:firstLine="480"/>
        <w:rPr>
          <w:rFonts w:ascii="宋体" w:hAnsi="宋体" w:cs="宋体"/>
          <w:bCs/>
          <w:color w:val="000000"/>
          <w:sz w:val="24"/>
        </w:rPr>
      </w:pPr>
      <w:r>
        <w:rPr>
          <w:rFonts w:ascii="宋体" w:hAnsi="宋体" w:cs="宋体"/>
          <w:bCs/>
          <w:color w:val="000000"/>
          <w:sz w:val="24"/>
        </w:rPr>
        <w:t>4、更换基金管理人、基金托管人；</w:t>
      </w:r>
    </w:p>
    <w:p>
      <w:pPr>
        <w:spacing w:line="360" w:lineRule="auto"/>
        <w:ind w:firstLine="480"/>
        <w:rPr>
          <w:rFonts w:ascii="宋体" w:hAnsi="宋体" w:cs="宋体"/>
          <w:bCs/>
          <w:color w:val="000000"/>
          <w:sz w:val="24"/>
        </w:rPr>
      </w:pPr>
      <w:r>
        <w:rPr>
          <w:rFonts w:ascii="宋体" w:hAnsi="宋体" w:cs="宋体"/>
          <w:bCs/>
          <w:color w:val="000000"/>
          <w:sz w:val="24"/>
        </w:rPr>
        <w:t>5、基金管理人、基金托管人的法定名称、住所发生变更；</w:t>
      </w:r>
    </w:p>
    <w:p>
      <w:pPr>
        <w:spacing w:line="360" w:lineRule="auto"/>
        <w:ind w:firstLine="480"/>
        <w:rPr>
          <w:rFonts w:ascii="宋体" w:hAnsi="宋体" w:cs="宋体"/>
          <w:bCs/>
          <w:color w:val="000000"/>
          <w:sz w:val="24"/>
        </w:rPr>
      </w:pPr>
      <w:r>
        <w:rPr>
          <w:rFonts w:ascii="宋体" w:hAnsi="宋体" w:cs="宋体"/>
          <w:bCs/>
          <w:color w:val="000000"/>
          <w:sz w:val="24"/>
        </w:rPr>
        <w:t>6、基金管理人股东及其出资比例发生变更；</w:t>
      </w:r>
    </w:p>
    <w:p>
      <w:pPr>
        <w:spacing w:line="360" w:lineRule="auto"/>
        <w:ind w:firstLine="480"/>
        <w:rPr>
          <w:rFonts w:ascii="宋体" w:hAnsi="宋体" w:cs="宋体"/>
          <w:bCs/>
          <w:color w:val="000000"/>
          <w:sz w:val="24"/>
        </w:rPr>
      </w:pPr>
      <w:r>
        <w:rPr>
          <w:rFonts w:ascii="宋体" w:hAnsi="宋体" w:cs="宋体"/>
          <w:bCs/>
          <w:color w:val="000000"/>
          <w:sz w:val="24"/>
        </w:rPr>
        <w:t>7、基金募集期延长；</w:t>
      </w:r>
    </w:p>
    <w:p>
      <w:pPr>
        <w:spacing w:line="360" w:lineRule="auto"/>
        <w:ind w:firstLine="480"/>
        <w:rPr>
          <w:rFonts w:ascii="宋体" w:hAnsi="宋体" w:cs="宋体"/>
          <w:bCs/>
          <w:color w:val="000000"/>
          <w:sz w:val="24"/>
        </w:rPr>
      </w:pPr>
      <w:r>
        <w:rPr>
          <w:rFonts w:ascii="宋体" w:hAnsi="宋体" w:cs="宋体"/>
          <w:bCs/>
          <w:color w:val="000000"/>
          <w:sz w:val="24"/>
        </w:rPr>
        <w:t>8、基金管理人的董事长、总经理及其他高级管理人员、基金经理和基金托管人基金托管部门负责人发生变动；</w:t>
      </w:r>
    </w:p>
    <w:p>
      <w:pPr>
        <w:spacing w:line="360" w:lineRule="auto"/>
        <w:ind w:firstLine="480"/>
        <w:rPr>
          <w:rFonts w:ascii="宋体" w:hAnsi="宋体" w:cs="宋体"/>
          <w:bCs/>
          <w:color w:val="000000"/>
          <w:sz w:val="24"/>
        </w:rPr>
      </w:pPr>
      <w:r>
        <w:rPr>
          <w:rFonts w:ascii="宋体" w:hAnsi="宋体" w:cs="宋体"/>
          <w:bCs/>
          <w:color w:val="000000"/>
          <w:sz w:val="24"/>
        </w:rPr>
        <w:t>9、基金管理人的董事在一年内变更超过百分之五十；</w:t>
      </w:r>
    </w:p>
    <w:p>
      <w:pPr>
        <w:spacing w:line="360" w:lineRule="auto"/>
        <w:ind w:firstLine="480"/>
        <w:rPr>
          <w:rFonts w:ascii="宋体" w:hAnsi="宋体" w:cs="宋体"/>
          <w:bCs/>
          <w:color w:val="000000"/>
          <w:sz w:val="24"/>
        </w:rPr>
      </w:pPr>
      <w:r>
        <w:rPr>
          <w:rFonts w:ascii="宋体" w:hAnsi="宋体" w:cs="宋体"/>
          <w:bCs/>
          <w:color w:val="000000"/>
          <w:sz w:val="24"/>
        </w:rPr>
        <w:t>10、基金管理人、基金托管人基金托管部门的主要业务人员在一年内变动超过百分之三十；</w:t>
      </w:r>
    </w:p>
    <w:p>
      <w:pPr>
        <w:spacing w:line="360" w:lineRule="auto"/>
        <w:ind w:firstLine="480"/>
        <w:rPr>
          <w:rFonts w:ascii="宋体" w:hAnsi="宋体" w:cs="宋体"/>
          <w:bCs/>
          <w:color w:val="000000"/>
          <w:sz w:val="24"/>
        </w:rPr>
      </w:pPr>
      <w:r>
        <w:rPr>
          <w:rFonts w:ascii="宋体" w:hAnsi="宋体" w:cs="宋体"/>
          <w:bCs/>
          <w:color w:val="000000"/>
          <w:sz w:val="24"/>
        </w:rPr>
        <w:t>11、涉及基金管理人、基金财产、基金托管业务的诉讼；</w:t>
      </w:r>
    </w:p>
    <w:p>
      <w:pPr>
        <w:spacing w:line="360" w:lineRule="auto"/>
        <w:ind w:firstLine="480"/>
        <w:rPr>
          <w:rFonts w:ascii="宋体" w:hAnsi="宋体" w:cs="宋体"/>
          <w:bCs/>
          <w:color w:val="000000"/>
          <w:sz w:val="24"/>
        </w:rPr>
      </w:pPr>
      <w:r>
        <w:rPr>
          <w:rFonts w:ascii="宋体" w:hAnsi="宋体" w:cs="宋体"/>
          <w:bCs/>
          <w:color w:val="000000"/>
          <w:sz w:val="24"/>
        </w:rPr>
        <w:t>12、基金管理人、基金托管人受到监管部门的调查；</w:t>
      </w:r>
    </w:p>
    <w:p>
      <w:pPr>
        <w:spacing w:line="360" w:lineRule="auto"/>
        <w:ind w:firstLine="480"/>
        <w:rPr>
          <w:rFonts w:ascii="宋体" w:hAnsi="宋体" w:cs="宋体"/>
          <w:bCs/>
          <w:color w:val="000000"/>
          <w:sz w:val="24"/>
        </w:rPr>
      </w:pPr>
      <w:r>
        <w:rPr>
          <w:rFonts w:ascii="宋体" w:hAnsi="宋体" w:cs="宋体"/>
          <w:bCs/>
          <w:color w:val="000000"/>
          <w:sz w:val="24"/>
        </w:rPr>
        <w:t>13、基金管理人及其董事、总经理及其他高级管理人员、基金经理受到严重行政处罚，基金托管人及其基金托管部门负责人受到严重行政处罚；</w:t>
      </w:r>
    </w:p>
    <w:p>
      <w:pPr>
        <w:spacing w:line="360" w:lineRule="auto"/>
        <w:ind w:firstLine="480"/>
        <w:rPr>
          <w:rFonts w:ascii="宋体" w:hAnsi="宋体" w:cs="宋体"/>
          <w:bCs/>
          <w:color w:val="000000"/>
          <w:sz w:val="24"/>
        </w:rPr>
      </w:pPr>
      <w:r>
        <w:rPr>
          <w:rFonts w:ascii="宋体" w:hAnsi="宋体" w:cs="宋体"/>
          <w:bCs/>
          <w:color w:val="000000"/>
          <w:sz w:val="24"/>
        </w:rPr>
        <w:t>14、重大关联交易事项；</w:t>
      </w:r>
    </w:p>
    <w:p>
      <w:pPr>
        <w:spacing w:line="360" w:lineRule="auto"/>
        <w:ind w:firstLine="480"/>
        <w:rPr>
          <w:rFonts w:ascii="宋体" w:hAnsi="宋体" w:cs="宋体"/>
          <w:bCs/>
          <w:color w:val="000000"/>
          <w:sz w:val="24"/>
        </w:rPr>
      </w:pPr>
      <w:r>
        <w:rPr>
          <w:rFonts w:ascii="宋体" w:hAnsi="宋体" w:cs="宋体"/>
          <w:bCs/>
          <w:color w:val="000000"/>
          <w:sz w:val="24"/>
        </w:rPr>
        <w:t>15、基金收益分配事项；</w:t>
      </w:r>
    </w:p>
    <w:p>
      <w:pPr>
        <w:spacing w:line="360" w:lineRule="auto"/>
        <w:ind w:firstLine="480"/>
        <w:rPr>
          <w:rFonts w:ascii="宋体" w:hAnsi="宋体" w:cs="宋体"/>
          <w:bCs/>
          <w:color w:val="000000"/>
          <w:sz w:val="24"/>
        </w:rPr>
      </w:pPr>
      <w:r>
        <w:rPr>
          <w:rFonts w:ascii="宋体" w:hAnsi="宋体" w:cs="宋体"/>
          <w:bCs/>
          <w:color w:val="000000"/>
          <w:sz w:val="24"/>
        </w:rPr>
        <w:t>16、管理费、托管费</w:t>
      </w:r>
      <w:r>
        <w:rPr>
          <w:rFonts w:hint="eastAsia" w:ascii="宋体" w:hAnsi="宋体" w:cs="宋体"/>
          <w:bCs/>
          <w:color w:val="000000"/>
          <w:sz w:val="24"/>
        </w:rPr>
        <w:t>、销售服务费</w:t>
      </w:r>
      <w:r>
        <w:rPr>
          <w:rFonts w:ascii="宋体" w:hAnsi="宋体" w:cs="宋体"/>
          <w:bCs/>
          <w:color w:val="000000"/>
          <w:sz w:val="24"/>
        </w:rPr>
        <w:t>等费用计提标准、计提方式和费率发生变更；</w:t>
      </w:r>
    </w:p>
    <w:p>
      <w:pPr>
        <w:spacing w:line="360" w:lineRule="auto"/>
        <w:ind w:firstLine="480"/>
        <w:rPr>
          <w:rFonts w:ascii="宋体" w:hAnsi="宋体" w:cs="宋体"/>
          <w:bCs/>
          <w:color w:val="000000"/>
          <w:sz w:val="24"/>
        </w:rPr>
      </w:pPr>
      <w:r>
        <w:rPr>
          <w:rFonts w:ascii="宋体" w:hAnsi="宋体" w:cs="宋体"/>
          <w:bCs/>
          <w:color w:val="000000"/>
          <w:sz w:val="24"/>
        </w:rPr>
        <w:t>17、基金份额净值计价错误达基金份额净值百分之零点五；</w:t>
      </w:r>
    </w:p>
    <w:p>
      <w:pPr>
        <w:spacing w:line="360" w:lineRule="auto"/>
        <w:ind w:firstLine="480"/>
        <w:rPr>
          <w:rFonts w:ascii="宋体" w:hAnsi="宋体" w:cs="宋体"/>
          <w:bCs/>
          <w:color w:val="000000"/>
          <w:sz w:val="24"/>
        </w:rPr>
      </w:pPr>
      <w:r>
        <w:rPr>
          <w:rFonts w:ascii="宋体" w:hAnsi="宋体" w:cs="宋体"/>
          <w:bCs/>
          <w:color w:val="000000"/>
          <w:sz w:val="24"/>
        </w:rPr>
        <w:t>18、基金改聘会计师事务所；</w:t>
      </w:r>
    </w:p>
    <w:p>
      <w:pPr>
        <w:spacing w:line="360" w:lineRule="auto"/>
        <w:ind w:firstLine="480"/>
        <w:rPr>
          <w:rFonts w:ascii="宋体" w:hAnsi="宋体" w:cs="宋体"/>
          <w:bCs/>
          <w:color w:val="000000"/>
          <w:sz w:val="24"/>
        </w:rPr>
      </w:pPr>
      <w:r>
        <w:rPr>
          <w:rFonts w:ascii="宋体" w:hAnsi="宋体" w:cs="宋体"/>
          <w:bCs/>
          <w:color w:val="000000"/>
          <w:sz w:val="24"/>
        </w:rPr>
        <w:t>19、变更基金销售机构；</w:t>
      </w:r>
    </w:p>
    <w:p>
      <w:pPr>
        <w:spacing w:line="360" w:lineRule="auto"/>
        <w:ind w:firstLine="480"/>
        <w:rPr>
          <w:rFonts w:ascii="宋体" w:hAnsi="宋体" w:cs="宋体"/>
          <w:bCs/>
          <w:color w:val="000000"/>
          <w:sz w:val="24"/>
        </w:rPr>
      </w:pPr>
      <w:r>
        <w:rPr>
          <w:rFonts w:ascii="宋体" w:hAnsi="宋体" w:cs="宋体"/>
          <w:bCs/>
          <w:color w:val="000000"/>
          <w:sz w:val="24"/>
        </w:rPr>
        <w:t>20、更换基金登记机构；</w:t>
      </w:r>
    </w:p>
    <w:p>
      <w:pPr>
        <w:spacing w:line="360" w:lineRule="auto"/>
        <w:ind w:firstLine="480"/>
        <w:rPr>
          <w:rFonts w:ascii="宋体" w:hAnsi="宋体" w:cs="宋体"/>
          <w:bCs/>
          <w:color w:val="000000"/>
          <w:sz w:val="24"/>
        </w:rPr>
      </w:pPr>
      <w:r>
        <w:rPr>
          <w:rFonts w:ascii="宋体" w:hAnsi="宋体" w:cs="宋体"/>
          <w:bCs/>
          <w:color w:val="000000"/>
          <w:sz w:val="24"/>
        </w:rPr>
        <w:t>21、本基金开始办理申购、赎回；</w:t>
      </w:r>
    </w:p>
    <w:p>
      <w:pPr>
        <w:spacing w:line="360" w:lineRule="auto"/>
        <w:ind w:firstLine="480"/>
        <w:rPr>
          <w:rFonts w:ascii="宋体" w:hAnsi="宋体" w:cs="宋体"/>
          <w:bCs/>
          <w:color w:val="000000"/>
          <w:sz w:val="24"/>
        </w:rPr>
      </w:pPr>
      <w:r>
        <w:rPr>
          <w:rFonts w:ascii="宋体" w:hAnsi="宋体" w:cs="宋体"/>
          <w:bCs/>
          <w:color w:val="000000"/>
          <w:sz w:val="24"/>
        </w:rPr>
        <w:t>22、本基金申购、赎回费率及其收费方式发生变更；</w:t>
      </w:r>
    </w:p>
    <w:p>
      <w:pPr>
        <w:spacing w:line="360" w:lineRule="auto"/>
        <w:ind w:firstLine="480"/>
        <w:rPr>
          <w:rFonts w:ascii="宋体" w:hAnsi="宋体" w:cs="宋体"/>
          <w:bCs/>
          <w:color w:val="000000"/>
          <w:sz w:val="24"/>
        </w:rPr>
      </w:pPr>
      <w:r>
        <w:rPr>
          <w:rFonts w:ascii="宋体" w:hAnsi="宋体" w:cs="宋体"/>
          <w:bCs/>
          <w:color w:val="000000"/>
          <w:sz w:val="24"/>
        </w:rPr>
        <w:t>23、本基金发生巨额赎回并延期支付；</w:t>
      </w:r>
    </w:p>
    <w:p>
      <w:pPr>
        <w:spacing w:line="360" w:lineRule="auto"/>
        <w:ind w:firstLine="480"/>
        <w:rPr>
          <w:rFonts w:ascii="宋体" w:hAnsi="宋体" w:cs="宋体"/>
          <w:bCs/>
          <w:color w:val="000000"/>
          <w:sz w:val="24"/>
        </w:rPr>
      </w:pPr>
      <w:r>
        <w:rPr>
          <w:rFonts w:ascii="宋体" w:hAnsi="宋体" w:cs="宋体"/>
          <w:bCs/>
          <w:color w:val="000000"/>
          <w:sz w:val="24"/>
        </w:rPr>
        <w:t>24、本基金连续发生巨额赎回并暂停接受赎回申请；</w:t>
      </w:r>
    </w:p>
    <w:p>
      <w:pPr>
        <w:spacing w:line="360" w:lineRule="auto"/>
        <w:ind w:firstLine="480"/>
        <w:rPr>
          <w:rFonts w:ascii="宋体" w:hAnsi="宋体" w:cs="宋体"/>
          <w:bCs/>
          <w:color w:val="000000"/>
          <w:sz w:val="24"/>
        </w:rPr>
      </w:pPr>
      <w:r>
        <w:rPr>
          <w:rFonts w:ascii="宋体" w:hAnsi="宋体" w:cs="宋体"/>
          <w:bCs/>
          <w:color w:val="000000"/>
          <w:sz w:val="24"/>
        </w:rPr>
        <w:t>25、本基金暂停接受申购、赎回申请后重新接受申购、赎回；</w:t>
      </w:r>
    </w:p>
    <w:p>
      <w:pPr>
        <w:spacing w:line="360" w:lineRule="auto"/>
        <w:ind w:firstLine="480"/>
        <w:rPr>
          <w:rFonts w:hint="eastAsia" w:ascii="宋体" w:hAnsi="宋体" w:cs="宋体"/>
          <w:bCs/>
          <w:color w:val="000000"/>
          <w:sz w:val="24"/>
        </w:rPr>
      </w:pPr>
      <w:r>
        <w:rPr>
          <w:rFonts w:ascii="宋体" w:hAnsi="宋体" w:cs="宋体"/>
          <w:bCs/>
          <w:color w:val="000000"/>
          <w:sz w:val="24"/>
        </w:rPr>
        <w:t>26、</w:t>
      </w:r>
      <w:r>
        <w:rPr>
          <w:rFonts w:hint="eastAsia" w:ascii="宋体" w:hAnsi="宋体" w:cs="宋体"/>
          <w:bCs/>
          <w:color w:val="000000"/>
          <w:sz w:val="24"/>
        </w:rPr>
        <w:t>在发生涉及基金申购、赎回事项调整或潜在影响投资者赎回等重大事项时；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27、</w:t>
      </w:r>
      <w:r>
        <w:rPr>
          <w:rFonts w:ascii="宋体" w:hAnsi="宋体" w:cs="宋体"/>
          <w:bCs/>
          <w:color w:val="000000"/>
          <w:sz w:val="24"/>
        </w:rPr>
        <w:t>中国证监会规定的其他事项。</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八）澄清公告</w:t>
      </w:r>
    </w:p>
    <w:p>
      <w:pPr>
        <w:spacing w:line="360" w:lineRule="auto"/>
        <w:ind w:firstLine="480"/>
        <w:rPr>
          <w:rFonts w:hint="eastAsia" w:ascii="宋体" w:hAnsi="宋体" w:cs="宋体"/>
          <w:bCs/>
          <w:color w:val="000000"/>
          <w:sz w:val="24"/>
        </w:rPr>
      </w:pPr>
      <w:r>
        <w:rPr>
          <w:rFonts w:ascii="宋体" w:hAnsi="宋体" w:cs="宋体"/>
          <w:bCs/>
          <w:color w:val="000000"/>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pPr>
        <w:spacing w:line="360" w:lineRule="auto"/>
        <w:ind w:firstLine="480"/>
        <w:rPr>
          <w:rFonts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九）基金份额持有人大会决议</w:t>
      </w:r>
    </w:p>
    <w:p>
      <w:pPr>
        <w:spacing w:line="360" w:lineRule="auto"/>
        <w:ind w:firstLine="480"/>
        <w:rPr>
          <w:rFonts w:hint="eastAsia" w:ascii="宋体" w:hAnsi="宋体" w:cs="宋体"/>
          <w:bCs/>
          <w:color w:val="000000"/>
          <w:sz w:val="24"/>
        </w:rPr>
      </w:pPr>
      <w:r>
        <w:rPr>
          <w:rFonts w:ascii="宋体" w:hAnsi="宋体" w:cs="宋体"/>
          <w:bCs/>
          <w:color w:val="000000"/>
          <w:sz w:val="24"/>
        </w:rPr>
        <w:t>基金份额持有人大会决定的事项，应当依法报国务院证券监督管理机构核准或者备案，并予以公告。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w:t>
      </w:r>
      <w:r>
        <w:rPr>
          <w:rFonts w:ascii="宋体" w:hAnsi="宋体" w:cs="宋体"/>
          <w:bCs/>
          <w:color w:val="000000"/>
          <w:sz w:val="24"/>
        </w:rPr>
        <w:t>十）中国证监会规定的其他信息。</w:t>
      </w:r>
    </w:p>
    <w:p>
      <w:pPr>
        <w:spacing w:line="360" w:lineRule="auto"/>
        <w:ind w:firstLine="480"/>
        <w:rPr>
          <w:rFonts w:ascii="宋体" w:hAnsi="宋体" w:cs="宋体"/>
          <w:bCs/>
          <w:color w:val="000000"/>
          <w:sz w:val="24"/>
        </w:rPr>
      </w:pPr>
      <w:r>
        <w:rPr>
          <w:rFonts w:hint="eastAsia" w:ascii="宋体" w:hAnsi="宋体" w:cs="宋体"/>
          <w:bCs/>
          <w:color w:val="000000"/>
          <w:sz w:val="24"/>
        </w:rPr>
        <w:t>六、</w:t>
      </w:r>
      <w:r>
        <w:rPr>
          <w:rFonts w:ascii="宋体" w:hAnsi="宋体" w:cs="宋体"/>
          <w:bCs/>
          <w:color w:val="000000"/>
          <w:sz w:val="24"/>
        </w:rPr>
        <w:t>信息披露事务管理</w:t>
      </w:r>
    </w:p>
    <w:p>
      <w:pPr>
        <w:spacing w:line="360" w:lineRule="auto"/>
        <w:ind w:firstLine="480"/>
        <w:rPr>
          <w:rFonts w:ascii="宋体" w:hAnsi="宋体" w:cs="宋体"/>
          <w:bCs/>
          <w:color w:val="000000"/>
          <w:sz w:val="24"/>
        </w:rPr>
      </w:pPr>
      <w:r>
        <w:rPr>
          <w:rFonts w:ascii="宋体" w:hAnsi="宋体" w:cs="宋体"/>
          <w:bCs/>
          <w:color w:val="000000"/>
          <w:sz w:val="24"/>
        </w:rPr>
        <w:t>基金管理人、基金托管人应当建立健全信息披露管理制度，指定专人负责管理信息披露事务。</w:t>
      </w:r>
    </w:p>
    <w:p>
      <w:pPr>
        <w:spacing w:line="360" w:lineRule="auto"/>
        <w:ind w:firstLine="480"/>
        <w:rPr>
          <w:rFonts w:ascii="宋体" w:hAnsi="宋体" w:cs="宋体"/>
          <w:bCs/>
          <w:color w:val="000000"/>
          <w:sz w:val="24"/>
        </w:rPr>
      </w:pPr>
      <w:r>
        <w:rPr>
          <w:rFonts w:ascii="宋体" w:hAnsi="宋体" w:cs="宋体"/>
          <w:bCs/>
          <w:color w:val="000000"/>
          <w:sz w:val="24"/>
        </w:rPr>
        <w:t>基金信息披露义务人公开披露基金信息，应当符合中国证监会相关基金信息披露内容与格式准则的规定。</w:t>
      </w:r>
    </w:p>
    <w:p>
      <w:pPr>
        <w:spacing w:line="360" w:lineRule="auto"/>
        <w:ind w:firstLine="480"/>
        <w:rPr>
          <w:rFonts w:ascii="宋体" w:hAnsi="宋体" w:cs="宋体"/>
          <w:bCs/>
          <w:color w:val="000000"/>
          <w:sz w:val="24"/>
        </w:rPr>
      </w:pPr>
      <w:r>
        <w:rPr>
          <w:rFonts w:ascii="宋体" w:hAnsi="宋体" w:cs="宋体"/>
          <w:bCs/>
          <w:color w:val="000000"/>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pPr>
        <w:spacing w:line="360" w:lineRule="auto"/>
        <w:ind w:firstLine="480"/>
        <w:rPr>
          <w:rFonts w:ascii="宋体" w:hAnsi="宋体" w:cs="宋体"/>
          <w:bCs/>
          <w:color w:val="000000"/>
          <w:sz w:val="24"/>
        </w:rPr>
      </w:pPr>
      <w:r>
        <w:rPr>
          <w:rFonts w:ascii="宋体" w:hAnsi="宋体" w:cs="宋体"/>
          <w:bCs/>
          <w:color w:val="000000"/>
          <w:sz w:val="24"/>
        </w:rPr>
        <w:t>基金管理人、基金托管人应当在指定媒体中选择披露信息的报刊。</w:t>
      </w:r>
    </w:p>
    <w:p>
      <w:pPr>
        <w:spacing w:line="360" w:lineRule="auto"/>
        <w:ind w:firstLine="480"/>
        <w:rPr>
          <w:rFonts w:ascii="宋体" w:hAnsi="宋体" w:cs="宋体"/>
          <w:bCs/>
          <w:color w:val="000000"/>
          <w:sz w:val="24"/>
        </w:rPr>
      </w:pPr>
      <w:r>
        <w:rPr>
          <w:rFonts w:ascii="宋体" w:hAnsi="宋体" w:cs="宋体"/>
          <w:bCs/>
          <w:color w:val="000000"/>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pPr>
        <w:spacing w:line="360" w:lineRule="auto"/>
        <w:ind w:firstLine="480"/>
        <w:rPr>
          <w:rFonts w:hint="eastAsia" w:ascii="宋体" w:hAnsi="宋体" w:cs="宋体"/>
          <w:bCs/>
          <w:color w:val="000000"/>
          <w:sz w:val="24"/>
        </w:rPr>
      </w:pPr>
      <w:r>
        <w:rPr>
          <w:rFonts w:ascii="宋体" w:hAnsi="宋体" w:cs="宋体"/>
          <w:bCs/>
          <w:color w:val="000000"/>
          <w:sz w:val="24"/>
        </w:rPr>
        <w:t>为基金信息披露义务人公开披露的基金信息出具审计报告、法律意见书的专业机构，应当制作工作底稿，并将相关档案至少保存到《基金合同》终止后15年。</w:t>
      </w:r>
    </w:p>
    <w:p>
      <w:pPr>
        <w:spacing w:line="360" w:lineRule="auto"/>
        <w:ind w:firstLine="480"/>
        <w:rPr>
          <w:rFonts w:ascii="宋体" w:hAnsi="宋体" w:cs="宋体"/>
          <w:bCs/>
          <w:color w:val="000000"/>
          <w:sz w:val="24"/>
        </w:rPr>
      </w:pPr>
      <w:r>
        <w:rPr>
          <w:rFonts w:hint="eastAsia" w:ascii="宋体" w:hAnsi="宋体" w:cs="宋体"/>
          <w:bCs/>
          <w:color w:val="000000"/>
          <w:sz w:val="24"/>
        </w:rPr>
        <w:t>七、</w:t>
      </w:r>
      <w:r>
        <w:rPr>
          <w:rFonts w:ascii="宋体" w:hAnsi="宋体" w:cs="宋体"/>
          <w:bCs/>
          <w:color w:val="000000"/>
          <w:sz w:val="24"/>
        </w:rPr>
        <w:t>信息披露文件的存放与查阅</w:t>
      </w:r>
    </w:p>
    <w:p>
      <w:pPr>
        <w:spacing w:line="360" w:lineRule="auto"/>
        <w:ind w:firstLine="480"/>
        <w:rPr>
          <w:rFonts w:ascii="宋体" w:hAnsi="宋体" w:cs="宋体"/>
          <w:bCs/>
          <w:color w:val="000000"/>
          <w:sz w:val="24"/>
        </w:rPr>
      </w:pPr>
      <w:r>
        <w:rPr>
          <w:rFonts w:ascii="宋体" w:hAnsi="宋体" w:cs="宋体"/>
          <w:bCs/>
          <w:color w:val="000000"/>
          <w:sz w:val="24"/>
        </w:rPr>
        <w:t>招募说明书公布后，应当分别置备于基金管理人、基金托管人和基金销售机构的住所，供公众查阅、复制。</w:t>
      </w:r>
    </w:p>
    <w:p>
      <w:pPr>
        <w:spacing w:line="360" w:lineRule="auto"/>
        <w:ind w:firstLine="480"/>
        <w:rPr>
          <w:rFonts w:hint="eastAsia"/>
          <w:sz w:val="30"/>
        </w:rPr>
      </w:pPr>
      <w:r>
        <w:rPr>
          <w:rFonts w:ascii="宋体" w:hAnsi="宋体" w:cs="宋体"/>
          <w:bCs/>
          <w:color w:val="000000"/>
          <w:sz w:val="24"/>
        </w:rPr>
        <w:t>基金定期报告公布后，应当分别置备于基金管理人和基金托管人的住所，以供公众查阅、复制。</w:t>
      </w:r>
    </w:p>
    <w:p>
      <w:pPr>
        <w:pStyle w:val="2"/>
        <w:pageBreakBefore/>
        <w:spacing w:before="0" w:after="0"/>
        <w:jc w:val="center"/>
        <w:rPr>
          <w:rFonts w:hint="eastAsia" w:cs="宋体"/>
          <w:bCs/>
        </w:rPr>
      </w:pPr>
      <w:bookmarkStart w:id="19" w:name="_Toc521587229"/>
      <w:r>
        <w:rPr>
          <w:rFonts w:hint="eastAsia" w:ascii="Times New Roman" w:hAnsi="Times New Roman"/>
          <w:color w:val="auto"/>
          <w:sz w:val="30"/>
        </w:rPr>
        <w:t>第十七部分 风险揭示</w:t>
      </w:r>
      <w:bookmarkEnd w:id="19"/>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在投资运作过程中可能面临各种风险，既包括市场风险，也包括基金自身的管理风险、技术风险和合规风险等。巨额赎回风险是开放式基金所特有的一种风险，即当单个交易日基金的净赎回申请超过基金总份额的百分之十时，投资人将可能无法及时赎回持有的全部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投资人应当认真阅读《基金合同》、《招募说明书》等基金法律文件，了解基金的风险收益特征，并根据自身的投资目的、投资期限、投资经验、资产状况等判断基金是否和投资人的风险承受能力相适应。</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承诺以诚实信用、勤勉尽责的原则管理和运用基金资产，但不保证本基金一定盈利，也不保证最低收益。基金的过往业绩及其净值高低并不预示其未来业绩表现，基金管理人管理的其他基金的业绩不构成对本基金业绩表现的保证。基金管理人提醒投资人基金投资的“买者自负”原则，在做出投资决策后，基金运营状况与基金净值变化引致的投资风险，由投资人自行负担。</w:t>
      </w:r>
    </w:p>
    <w:p>
      <w:pPr>
        <w:spacing w:line="360" w:lineRule="auto"/>
        <w:ind w:firstLine="480"/>
        <w:rPr>
          <w:rFonts w:ascii="宋体" w:hAnsi="宋体" w:cs="宋体"/>
          <w:bCs/>
          <w:color w:val="000000"/>
          <w:sz w:val="24"/>
        </w:rPr>
      </w:pPr>
      <w:r>
        <w:rPr>
          <w:rFonts w:hint="eastAsia" w:ascii="宋体" w:hAnsi="宋体" w:cs="宋体"/>
          <w:bCs/>
          <w:color w:val="000000"/>
          <w:sz w:val="24"/>
        </w:rPr>
        <w:t>投资人应当通过基金管理人或具有基金代销业务资格的其他机构购买和赎回基金，基金代销机构名单详见本基金《招募说明书》以及相关公告。</w:t>
      </w:r>
    </w:p>
    <w:p>
      <w:pPr>
        <w:spacing w:line="360" w:lineRule="auto"/>
        <w:ind w:firstLine="480"/>
        <w:rPr>
          <w:rFonts w:hint="eastAsia" w:ascii="宋体" w:hAnsi="宋体" w:cs="宋体"/>
          <w:bCs/>
          <w:color w:val="000000"/>
          <w:sz w:val="24"/>
        </w:rPr>
      </w:pPr>
      <w:r>
        <w:rPr>
          <w:rFonts w:ascii="宋体" w:hAnsi="宋体" w:cs="宋体"/>
          <w:bCs/>
          <w:color w:val="000000"/>
          <w:sz w:val="24"/>
        </w:rPr>
        <w:t>本基金在认购期内按1.00元面值发售并不改变基金的风险收益特征。投资人按1.00元面值购买基金份额以后，有可能面临基金份额净值跌破1.00元、从而遭受损失的风险。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投资于本基金的主要风险包括：</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（一）系统性风险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本基金投资于证券市场，系统性风险是指因整体政治、经济、社会等环境因素对证券价格产生影响而形成的风险，主要包括政策风险、经济周期风险、利率风险和购买力风险等。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1、政策风险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货币政策、财政政策、产业政策等国家宏观经济政策和法律法规的变化对证券市场产生一定影响，从而导致市场价格波动，影响基金收益而产生的风险。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2、经济周期风险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经济运行具有周期性的特点，经济运行周期性的变化会对基金所投资的证券的基本面产生影响，从而影响证券的价格而产生风险。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3、利率风险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金融市场利率的波动会直接导致债券市场的价格和收益率变动，同时也影响到证券市场资金供求状况，以及拟投资债券的融资成本和</w:t>
      </w:r>
      <w:r>
        <w:rPr>
          <w:rFonts w:ascii="宋体" w:hAnsi="宋体" w:cs="宋体"/>
          <w:bCs/>
          <w:color w:val="000000"/>
          <w:sz w:val="24"/>
        </w:rPr>
        <w:t>收益率水平</w:t>
      </w:r>
      <w:r>
        <w:rPr>
          <w:rFonts w:hint="eastAsia" w:ascii="宋体" w:hAnsi="宋体" w:cs="宋体"/>
          <w:bCs/>
          <w:color w:val="000000"/>
          <w:sz w:val="24"/>
        </w:rPr>
        <w:t>。上述变化将直接影响证券价格和本基金的收益。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4、购买力风险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基金收益的一部分将通过现金形式来分配，而现金的购买力可能因为通货膨胀的影响而下降，从而使基金的实际投资收益下降。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5、汇率风险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汇率的变动可能会影响基金投资标的的价格和基金资产的实际购买力。</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6、债券收益率曲线变动的风险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债券收益率曲线变动风险是指与收益率曲线非平行移动有关的风险。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7、再投资风险</w:t>
      </w:r>
    </w:p>
    <w:p>
      <w:pPr>
        <w:spacing w:line="360" w:lineRule="auto"/>
        <w:ind w:firstLine="480"/>
        <w:rPr>
          <w:rFonts w:ascii="宋体" w:hAnsi="宋体" w:cs="宋体"/>
          <w:bCs/>
          <w:color w:val="000000"/>
          <w:sz w:val="24"/>
        </w:rPr>
      </w:pPr>
      <w:r>
        <w:rPr>
          <w:rFonts w:hint="eastAsia" w:ascii="宋体" w:hAnsi="宋体" w:cs="宋体"/>
          <w:bCs/>
          <w:color w:val="000000"/>
          <w:sz w:val="24"/>
        </w:rPr>
        <w:t>市场利率下降将影响固定收益类证券利息收入的再投资收益率，这与利率上升带来的价格风险互为消长。</w:t>
      </w:r>
    </w:p>
    <w:p>
      <w:pPr>
        <w:spacing w:line="360" w:lineRule="auto"/>
        <w:ind w:firstLine="480"/>
        <w:rPr>
          <w:rFonts w:ascii="宋体" w:hAnsi="宋体" w:cs="宋体"/>
          <w:bCs/>
          <w:color w:val="000000"/>
          <w:sz w:val="24"/>
        </w:rPr>
      </w:pPr>
      <w:r>
        <w:rPr>
          <w:rFonts w:ascii="宋体" w:hAnsi="宋体" w:cs="宋体"/>
          <w:bCs/>
          <w:color w:val="000000"/>
          <w:sz w:val="24"/>
        </w:rPr>
        <w:t>8</w:t>
      </w:r>
      <w:r>
        <w:rPr>
          <w:rFonts w:hint="eastAsia" w:ascii="宋体" w:hAnsi="宋体" w:cs="宋体"/>
          <w:bCs/>
          <w:color w:val="000000"/>
          <w:sz w:val="24"/>
        </w:rPr>
        <w:t>、</w:t>
      </w:r>
      <w:r>
        <w:rPr>
          <w:rFonts w:ascii="宋体" w:hAnsi="宋体" w:cs="宋体"/>
          <w:bCs/>
          <w:color w:val="000000"/>
          <w:sz w:val="24"/>
        </w:rPr>
        <w:t>其他风险</w:t>
      </w:r>
    </w:p>
    <w:p>
      <w:pPr>
        <w:spacing w:line="360" w:lineRule="auto"/>
        <w:ind w:firstLine="480"/>
        <w:rPr>
          <w:rFonts w:hint="eastAsia" w:ascii="宋体" w:hAnsi="宋体" w:cs="宋体"/>
          <w:bCs/>
          <w:color w:val="000000"/>
          <w:sz w:val="24"/>
        </w:rPr>
      </w:pPr>
      <w:r>
        <w:rPr>
          <w:rFonts w:ascii="宋体" w:hAnsi="宋体" w:cs="宋体"/>
          <w:bCs/>
          <w:color w:val="000000"/>
          <w:sz w:val="24"/>
        </w:rPr>
        <w:t>因战争、自然灾害等不可抗力产生的风险。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（二）非系统性风险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非系统性风险是指个别证券特有的风险。相对于本基金而言，主要为</w:t>
      </w:r>
      <w:r>
        <w:rPr>
          <w:rFonts w:ascii="宋体" w:hAnsi="宋体" w:cs="宋体"/>
          <w:bCs/>
          <w:color w:val="000000"/>
          <w:sz w:val="24"/>
        </w:rPr>
        <w:t>发债主体特别是公司债、企业债的发债主体的信用质量变化造成的信用风险</w:t>
      </w:r>
      <w:r>
        <w:rPr>
          <w:rFonts w:hint="eastAsia" w:ascii="宋体" w:hAnsi="宋体" w:cs="宋体"/>
          <w:bCs/>
          <w:color w:val="000000"/>
          <w:sz w:val="24"/>
        </w:rPr>
        <w:t>，以及无法偿债造成的</w:t>
      </w:r>
      <w:r>
        <w:rPr>
          <w:rFonts w:ascii="宋体" w:hAnsi="宋体" w:cs="宋体"/>
          <w:bCs/>
          <w:color w:val="000000"/>
          <w:sz w:val="24"/>
        </w:rPr>
        <w:t>信用违约风险</w:t>
      </w:r>
      <w:r>
        <w:rPr>
          <w:rFonts w:hint="eastAsia" w:ascii="宋体" w:hAnsi="宋体" w:cs="宋体"/>
          <w:bCs/>
          <w:color w:val="000000"/>
          <w:sz w:val="24"/>
        </w:rPr>
        <w:t>；以及可转债价格下跌的风险。基金可以通过多样化投资来分散这种非系统性风险。</w:t>
      </w:r>
    </w:p>
    <w:p>
      <w:pPr>
        <w:spacing w:line="360" w:lineRule="auto"/>
        <w:ind w:firstLine="480"/>
        <w:rPr>
          <w:rFonts w:ascii="宋体" w:hAnsi="宋体" w:cs="宋体"/>
          <w:bCs/>
          <w:color w:val="000000"/>
          <w:sz w:val="24"/>
        </w:rPr>
      </w:pPr>
      <w:r>
        <w:rPr>
          <w:rFonts w:hint="eastAsia" w:ascii="宋体" w:hAnsi="宋体" w:cs="宋体"/>
          <w:bCs/>
          <w:color w:val="000000"/>
          <w:sz w:val="24"/>
        </w:rPr>
        <w:t>（三）</w:t>
      </w:r>
      <w:r>
        <w:rPr>
          <w:rFonts w:ascii="宋体" w:hAnsi="宋体" w:cs="宋体"/>
          <w:bCs/>
          <w:color w:val="000000"/>
          <w:sz w:val="24"/>
        </w:rPr>
        <w:t>基金管理风险</w:t>
      </w:r>
    </w:p>
    <w:p>
      <w:pPr>
        <w:spacing w:line="360" w:lineRule="auto"/>
        <w:ind w:firstLine="480"/>
        <w:rPr>
          <w:rFonts w:ascii="宋体" w:hAnsi="宋体" w:cs="宋体"/>
          <w:bCs/>
          <w:color w:val="000000"/>
          <w:sz w:val="24"/>
        </w:rPr>
      </w:pPr>
      <w:r>
        <w:rPr>
          <w:rFonts w:ascii="宋体" w:hAnsi="宋体" w:cs="宋体"/>
          <w:bCs/>
          <w:color w:val="000000"/>
          <w:sz w:val="24"/>
        </w:rPr>
        <w:t>基金管理风险指基金管理人在基金管理实施过程中产生的风险，主要包括基金产品的风险</w:t>
      </w:r>
      <w:r>
        <w:rPr>
          <w:rFonts w:hint="eastAsia" w:ascii="宋体" w:hAnsi="宋体" w:cs="宋体"/>
          <w:bCs/>
          <w:color w:val="000000"/>
          <w:sz w:val="24"/>
        </w:rPr>
        <w:t>、</w:t>
      </w:r>
      <w:r>
        <w:rPr>
          <w:rFonts w:ascii="宋体" w:hAnsi="宋体" w:cs="宋体"/>
          <w:bCs/>
          <w:color w:val="000000"/>
          <w:sz w:val="24"/>
        </w:rPr>
        <w:t>管理风险</w:t>
      </w:r>
      <w:r>
        <w:rPr>
          <w:rFonts w:hint="eastAsia" w:ascii="宋体" w:hAnsi="宋体" w:cs="宋体"/>
          <w:bCs/>
          <w:color w:val="000000"/>
          <w:sz w:val="24"/>
        </w:rPr>
        <w:t>、</w:t>
      </w:r>
      <w:r>
        <w:rPr>
          <w:rFonts w:ascii="宋体" w:hAnsi="宋体" w:cs="宋体"/>
          <w:bCs/>
          <w:color w:val="000000"/>
          <w:sz w:val="24"/>
        </w:rPr>
        <w:t>交易风险</w:t>
      </w:r>
      <w:r>
        <w:rPr>
          <w:rFonts w:hint="eastAsia" w:ascii="宋体" w:hAnsi="宋体" w:cs="宋体"/>
          <w:bCs/>
          <w:color w:val="000000"/>
          <w:sz w:val="24"/>
        </w:rPr>
        <w:t>、</w:t>
      </w:r>
      <w:r>
        <w:rPr>
          <w:rFonts w:ascii="宋体" w:hAnsi="宋体" w:cs="宋体"/>
          <w:bCs/>
          <w:color w:val="000000"/>
          <w:sz w:val="24"/>
        </w:rPr>
        <w:t>运营风险及道德风险。</w:t>
      </w:r>
    </w:p>
    <w:p>
      <w:pPr>
        <w:spacing w:line="360" w:lineRule="auto"/>
        <w:ind w:firstLine="480"/>
        <w:rPr>
          <w:rFonts w:hint="eastAsia"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、本基金的特定</w:t>
      </w:r>
      <w:r>
        <w:rPr>
          <w:rFonts w:ascii="宋体" w:hAnsi="宋体" w:cs="宋体"/>
          <w:bCs/>
          <w:color w:val="000000"/>
          <w:sz w:val="24"/>
        </w:rPr>
        <w:t>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债券资产的投资比例不低于基金资产的80%，其中投资于信用债和可转债的比例合计不低于非现金基金资产的80%。因此，本基金需要承担由于市场利率波动造成的利率风险以及发债主体特别是公司债、企业债的发债主体的信用质量变化造成的信用风险，以及无法偿债造成的信用违约风险；如果债券市场出现整体下跌，将无法完全避免债券市场系统性风险。</w:t>
      </w:r>
    </w:p>
    <w:p>
      <w:pPr>
        <w:spacing w:line="360" w:lineRule="auto"/>
        <w:ind w:firstLine="480"/>
        <w:rPr>
          <w:rFonts w:ascii="宋体" w:hAnsi="宋体" w:cs="宋体"/>
          <w:bCs/>
          <w:color w:val="000000"/>
          <w:sz w:val="24"/>
        </w:rPr>
      </w:pPr>
      <w:r>
        <w:rPr>
          <w:rFonts w:hint="eastAsia" w:ascii="宋体" w:hAnsi="宋体" w:cs="宋体"/>
          <w:bCs/>
          <w:color w:val="000000"/>
          <w:sz w:val="24"/>
        </w:rPr>
        <w:t>本基金投资于可转债品种，可转债的条款相对于普通债券和股票而言更为复杂，对这些条款研究不足导致的事件可能为本基金带来损失。例如，当可转债的价格明显高于其赎回价格时，若本基金未能在转债被赎回前转股或卖出，则可能产生不必要的损失。</w:t>
      </w:r>
    </w:p>
    <w:p>
      <w:pPr>
        <w:spacing w:line="360" w:lineRule="auto"/>
        <w:ind w:firstLine="480"/>
        <w:rPr>
          <w:rFonts w:ascii="宋体" w:hAnsi="宋体" w:cs="宋体"/>
          <w:bCs/>
          <w:color w:val="000000"/>
          <w:sz w:val="24"/>
        </w:rPr>
      </w:pP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管理风险</w:t>
      </w:r>
    </w:p>
    <w:p>
      <w:pPr>
        <w:spacing w:line="360" w:lineRule="auto"/>
        <w:ind w:firstLine="480"/>
        <w:rPr>
          <w:rFonts w:ascii="宋体" w:hAnsi="宋体" w:cs="宋体"/>
          <w:bCs/>
          <w:color w:val="000000"/>
          <w:sz w:val="24"/>
        </w:rPr>
      </w:pPr>
      <w:r>
        <w:rPr>
          <w:rFonts w:ascii="宋体" w:hAnsi="宋体" w:cs="宋体"/>
          <w:bCs/>
          <w:color w:val="000000"/>
          <w:sz w:val="24"/>
        </w:rPr>
        <w:t>在基金管理运作过程中，由于基金管理人的知识、经验、判断、决策、技能等主观因素的限制而影响其对信息的占有以及对经济形势、证券价格走势的判断，或者由于基金数量模型设计不当或实施差错导致基金收益水平偏离业绩基准从而影响基金收益水平。对主要业务人员如基金经理的依赖也可能产生管理风险。</w:t>
      </w:r>
    </w:p>
    <w:p>
      <w:pPr>
        <w:spacing w:line="360" w:lineRule="auto"/>
        <w:ind w:firstLine="480"/>
        <w:rPr>
          <w:rFonts w:hint="eastAsia" w:ascii="宋体" w:hAnsi="宋体" w:cs="宋体"/>
          <w:bCs/>
          <w:color w:val="000000"/>
          <w:sz w:val="24"/>
        </w:rPr>
      </w:pPr>
      <w:r>
        <w:rPr>
          <w:rFonts w:ascii="宋体" w:hAnsi="宋体" w:cs="宋体"/>
          <w:bCs/>
          <w:color w:val="000000"/>
          <w:sz w:val="24"/>
        </w:rPr>
        <w:t>3</w:t>
      </w:r>
      <w:r>
        <w:rPr>
          <w:rFonts w:hint="eastAsia" w:ascii="宋体" w:hAnsi="宋体" w:cs="宋体"/>
          <w:bCs/>
          <w:color w:val="000000"/>
          <w:sz w:val="24"/>
        </w:rPr>
        <w:t>、</w:t>
      </w:r>
      <w:r>
        <w:rPr>
          <w:rFonts w:ascii="宋体" w:hAnsi="宋体" w:cs="宋体"/>
          <w:bCs/>
          <w:color w:val="000000"/>
          <w:sz w:val="24"/>
        </w:rPr>
        <w:t>流动性风险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流动性风险主要体现为基金申购、赎回等因素对基金造成的流动性影响。在基金交易过程中，可能会发生巨额赎回的情形。巨额赎回可能会产生基金仓位调整的困难，导致流动性风险，甚至影响基金份额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（1）、拟投资市场、行业及资产的流动性风险评估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（2）、巨额赎回情形下的流动性风险管理措施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（3）、实施备用的流动性风险管理工具的情形、程序及对投资者的潜在影响</w:t>
      </w:r>
    </w:p>
    <w:p>
      <w:pPr>
        <w:spacing w:line="360" w:lineRule="auto"/>
        <w:ind w:firstLine="480"/>
        <w:rPr>
          <w:rFonts w:ascii="宋体" w:hAnsi="宋体" w:cs="宋体"/>
          <w:bCs/>
          <w:color w:val="000000"/>
          <w:sz w:val="24"/>
        </w:rPr>
      </w:pPr>
      <w:r>
        <w:rPr>
          <w:rFonts w:hint="eastAsia" w:ascii="宋体" w:hAnsi="宋体" w:cs="宋体"/>
          <w:bCs/>
          <w:color w:val="000000"/>
          <w:sz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pPr>
        <w:spacing w:line="360" w:lineRule="auto"/>
        <w:ind w:firstLine="480"/>
        <w:rPr>
          <w:rFonts w:ascii="宋体" w:hAnsi="宋体" w:cs="宋体"/>
          <w:bCs/>
          <w:color w:val="000000"/>
          <w:sz w:val="24"/>
        </w:rPr>
      </w:pPr>
      <w:r>
        <w:rPr>
          <w:rFonts w:ascii="宋体" w:hAnsi="宋体" w:cs="宋体"/>
          <w:bCs/>
          <w:color w:val="000000"/>
          <w:sz w:val="24"/>
        </w:rPr>
        <w:t>4</w:t>
      </w:r>
      <w:r>
        <w:rPr>
          <w:rFonts w:hint="eastAsia" w:ascii="宋体" w:hAnsi="宋体" w:cs="宋体"/>
          <w:bCs/>
          <w:color w:val="000000"/>
          <w:sz w:val="24"/>
        </w:rPr>
        <w:t>、</w:t>
      </w:r>
      <w:r>
        <w:rPr>
          <w:rFonts w:ascii="宋体" w:hAnsi="宋体" w:cs="宋体"/>
          <w:bCs/>
          <w:color w:val="000000"/>
          <w:sz w:val="24"/>
        </w:rPr>
        <w:t>交易风险</w:t>
      </w:r>
    </w:p>
    <w:p>
      <w:pPr>
        <w:spacing w:line="360" w:lineRule="auto"/>
        <w:ind w:firstLine="480"/>
        <w:rPr>
          <w:rFonts w:ascii="宋体" w:hAnsi="宋体" w:cs="宋体"/>
          <w:bCs/>
          <w:color w:val="000000"/>
          <w:sz w:val="24"/>
        </w:rPr>
      </w:pPr>
      <w:r>
        <w:rPr>
          <w:rFonts w:ascii="宋体" w:hAnsi="宋体" w:cs="宋体"/>
          <w:bCs/>
          <w:color w:val="000000"/>
          <w:sz w:val="24"/>
        </w:rPr>
        <w:t>由于交易权限或业务流程设置不当导致交易执行流程不畅通，交易指令的执行产生偏差或错误，或者由于故意或重大过失未能及时准确执行交易指令，事后也未能及时通知相关人员或部门，导致基金利益的直接损失。</w:t>
      </w:r>
    </w:p>
    <w:p>
      <w:pPr>
        <w:spacing w:line="360" w:lineRule="auto"/>
        <w:ind w:firstLine="480"/>
        <w:rPr>
          <w:rFonts w:ascii="宋体" w:hAnsi="宋体" w:cs="宋体"/>
          <w:bCs/>
          <w:color w:val="000000"/>
          <w:sz w:val="24"/>
        </w:rPr>
      </w:pPr>
      <w:r>
        <w:rPr>
          <w:rFonts w:ascii="宋体" w:hAnsi="宋体" w:cs="宋体"/>
          <w:bCs/>
          <w:color w:val="000000"/>
          <w:sz w:val="24"/>
        </w:rPr>
        <w:t>5</w:t>
      </w:r>
      <w:r>
        <w:rPr>
          <w:rFonts w:hint="eastAsia" w:ascii="宋体" w:hAnsi="宋体" w:cs="宋体"/>
          <w:bCs/>
          <w:color w:val="000000"/>
          <w:sz w:val="24"/>
        </w:rPr>
        <w:t>、</w:t>
      </w:r>
      <w:r>
        <w:rPr>
          <w:rFonts w:ascii="宋体" w:hAnsi="宋体" w:cs="宋体"/>
          <w:bCs/>
          <w:color w:val="000000"/>
          <w:sz w:val="24"/>
        </w:rPr>
        <w:t>运营风险</w:t>
      </w:r>
    </w:p>
    <w:p>
      <w:pPr>
        <w:spacing w:line="360" w:lineRule="auto"/>
        <w:ind w:firstLine="480"/>
        <w:rPr>
          <w:rFonts w:ascii="宋体" w:hAnsi="宋体" w:cs="宋体"/>
          <w:bCs/>
          <w:color w:val="000000"/>
          <w:sz w:val="24"/>
        </w:rPr>
      </w:pPr>
      <w:r>
        <w:rPr>
          <w:rFonts w:ascii="宋体" w:hAnsi="宋体" w:cs="宋体"/>
          <w:bCs/>
          <w:color w:val="000000"/>
          <w:sz w:val="24"/>
        </w:rPr>
        <w:t>由于运营系统、网络系统、计算机或交易软件等发生技术故障或瘫痪等情况而无法正常完成基金的申购、赎回、注册登记、清算交收等指令而产生的操作风险，或者由于操作过程效率低下或人为疏忽和错误而产生的操作风险。</w:t>
      </w:r>
    </w:p>
    <w:p>
      <w:pPr>
        <w:spacing w:line="360" w:lineRule="auto"/>
        <w:ind w:firstLine="480"/>
        <w:rPr>
          <w:rFonts w:ascii="宋体" w:hAnsi="宋体" w:cs="宋体"/>
          <w:bCs/>
          <w:color w:val="000000"/>
          <w:sz w:val="24"/>
        </w:rPr>
      </w:pPr>
      <w:r>
        <w:rPr>
          <w:rFonts w:ascii="宋体" w:hAnsi="宋体" w:cs="宋体"/>
          <w:bCs/>
          <w:color w:val="000000"/>
          <w:sz w:val="24"/>
        </w:rPr>
        <w:t>6</w:t>
      </w:r>
      <w:r>
        <w:rPr>
          <w:rFonts w:hint="eastAsia" w:ascii="宋体" w:hAnsi="宋体" w:cs="宋体"/>
          <w:bCs/>
          <w:color w:val="000000"/>
          <w:sz w:val="24"/>
        </w:rPr>
        <w:t>、</w:t>
      </w:r>
      <w:r>
        <w:rPr>
          <w:rFonts w:ascii="宋体" w:hAnsi="宋体" w:cs="宋体"/>
          <w:bCs/>
          <w:color w:val="000000"/>
          <w:sz w:val="24"/>
        </w:rPr>
        <w:t>道德风险</w:t>
      </w:r>
    </w:p>
    <w:p>
      <w:pPr>
        <w:spacing w:line="360" w:lineRule="auto"/>
        <w:ind w:firstLine="480"/>
        <w:rPr>
          <w:rFonts w:hint="eastAsia" w:ascii="宋体" w:hAnsi="宋体" w:cs="宋体"/>
          <w:bCs/>
          <w:color w:val="000000"/>
          <w:sz w:val="24"/>
        </w:rPr>
      </w:pPr>
      <w:r>
        <w:rPr>
          <w:rFonts w:ascii="宋体" w:hAnsi="宋体" w:cs="宋体"/>
          <w:bCs/>
          <w:color w:val="000000"/>
          <w:sz w:val="24"/>
        </w:rPr>
        <w:t>因业务人员道德行为违规产生的风险，如内幕交易，欺诈行为等。</w:t>
      </w:r>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p>
    <w:p>
      <w:pPr>
        <w:pStyle w:val="2"/>
        <w:pageBreakBefore/>
        <w:spacing w:before="0" w:after="0"/>
        <w:jc w:val="center"/>
        <w:rPr>
          <w:rFonts w:hint="eastAsia" w:cs="宋体"/>
          <w:bCs/>
        </w:rPr>
      </w:pPr>
      <w:bookmarkStart w:id="20" w:name="_Toc521587230"/>
      <w:r>
        <w:rPr>
          <w:rFonts w:hint="eastAsia" w:ascii="Times New Roman" w:hAnsi="Times New Roman"/>
          <w:color w:val="auto"/>
          <w:sz w:val="30"/>
        </w:rPr>
        <w:t>第十八部分 《基金合同》的变更、终止与基金财产的清算</w:t>
      </w:r>
      <w:bookmarkEnd w:id="20"/>
    </w:p>
    <w:p>
      <w:pPr>
        <w:spacing w:line="360" w:lineRule="auto"/>
        <w:ind w:firstLine="480"/>
        <w:rPr>
          <w:rFonts w:hint="eastAsia"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一、</w:t>
      </w:r>
      <w:r>
        <w:rPr>
          <w:rFonts w:ascii="宋体" w:hAnsi="宋体" w:cs="宋体"/>
          <w:bCs/>
          <w:color w:val="000000"/>
          <w:sz w:val="24"/>
        </w:rPr>
        <w:t>《基金合同》的变更</w:t>
      </w:r>
    </w:p>
    <w:p>
      <w:pPr>
        <w:spacing w:line="360" w:lineRule="auto"/>
        <w:ind w:firstLine="480"/>
        <w:rPr>
          <w:rFonts w:ascii="宋体" w:hAnsi="宋体" w:cs="宋体"/>
          <w:bCs/>
          <w:color w:val="000000"/>
          <w:sz w:val="24"/>
        </w:rPr>
      </w:pPr>
      <w:r>
        <w:rPr>
          <w:rFonts w:ascii="宋体" w:hAnsi="宋体" w:cs="宋体"/>
          <w:bCs/>
          <w:color w:val="000000"/>
          <w:sz w:val="24"/>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pPr>
        <w:spacing w:line="360" w:lineRule="auto"/>
        <w:ind w:firstLine="480"/>
        <w:rPr>
          <w:rFonts w:hint="eastAsia" w:ascii="宋体" w:hAnsi="宋体" w:cs="宋体"/>
          <w:bCs/>
          <w:color w:val="000000"/>
          <w:sz w:val="24"/>
        </w:rPr>
      </w:pPr>
      <w:r>
        <w:rPr>
          <w:rFonts w:ascii="宋体" w:hAnsi="宋体" w:cs="宋体"/>
          <w:bCs/>
          <w:color w:val="000000"/>
          <w:sz w:val="24"/>
        </w:rPr>
        <w:t>2、关于《基金合同》变更的基金份额持有人大会决议经中国证监会核准生效后方可执行，自决议生效之日起在指定媒体公告。</w:t>
      </w:r>
    </w:p>
    <w:p>
      <w:pPr>
        <w:spacing w:line="360" w:lineRule="auto"/>
        <w:ind w:firstLine="480"/>
        <w:rPr>
          <w:rFonts w:ascii="宋体" w:hAnsi="宋体" w:cs="宋体"/>
          <w:bCs/>
          <w:color w:val="000000"/>
          <w:sz w:val="24"/>
        </w:rPr>
      </w:pPr>
      <w:r>
        <w:rPr>
          <w:rFonts w:hint="eastAsia" w:ascii="宋体" w:hAnsi="宋体" w:cs="宋体"/>
          <w:bCs/>
          <w:color w:val="000000"/>
          <w:sz w:val="24"/>
        </w:rPr>
        <w:t>二、</w:t>
      </w:r>
      <w:r>
        <w:rPr>
          <w:rFonts w:ascii="宋体" w:hAnsi="宋体" w:cs="宋体"/>
          <w:bCs/>
          <w:color w:val="000000"/>
          <w:sz w:val="24"/>
        </w:rPr>
        <w:t>《基金合同》的终止事由</w:t>
      </w:r>
    </w:p>
    <w:p>
      <w:pPr>
        <w:spacing w:line="360" w:lineRule="auto"/>
        <w:ind w:firstLine="480"/>
        <w:rPr>
          <w:rFonts w:ascii="宋体" w:hAnsi="宋体" w:cs="宋体"/>
          <w:bCs/>
          <w:color w:val="000000"/>
          <w:sz w:val="24"/>
        </w:rPr>
      </w:pPr>
      <w:r>
        <w:rPr>
          <w:rFonts w:ascii="宋体" w:hAnsi="宋体" w:cs="宋体"/>
          <w:bCs/>
          <w:color w:val="000000"/>
          <w:sz w:val="24"/>
        </w:rPr>
        <w:t>有下列情形之一的，《基金合同》应当终止：</w:t>
      </w:r>
    </w:p>
    <w:p>
      <w:pPr>
        <w:spacing w:line="360" w:lineRule="auto"/>
        <w:ind w:firstLine="480"/>
        <w:rPr>
          <w:rFonts w:ascii="宋体" w:hAnsi="宋体" w:cs="宋体"/>
          <w:bCs/>
          <w:color w:val="000000"/>
          <w:sz w:val="24"/>
        </w:rPr>
      </w:pPr>
      <w:r>
        <w:rPr>
          <w:rFonts w:ascii="宋体" w:hAnsi="宋体" w:cs="宋体"/>
          <w:bCs/>
          <w:color w:val="000000"/>
          <w:sz w:val="24"/>
        </w:rPr>
        <w:t>1、基金份额持有人大会决定终止的；</w:t>
      </w:r>
    </w:p>
    <w:p>
      <w:pPr>
        <w:spacing w:line="360" w:lineRule="auto"/>
        <w:ind w:firstLine="480"/>
        <w:rPr>
          <w:rFonts w:ascii="宋体" w:hAnsi="宋体" w:cs="宋体"/>
          <w:bCs/>
          <w:color w:val="000000"/>
          <w:sz w:val="24"/>
        </w:rPr>
      </w:pPr>
      <w:r>
        <w:rPr>
          <w:rFonts w:ascii="宋体" w:hAnsi="宋体" w:cs="宋体"/>
          <w:bCs/>
          <w:color w:val="000000"/>
          <w:sz w:val="24"/>
        </w:rPr>
        <w:t>2、基金管理人、基金托管人职责终止，在6个月内没有新基金管理人、新基金托管人承接的；</w:t>
      </w:r>
    </w:p>
    <w:p>
      <w:pPr>
        <w:spacing w:line="360" w:lineRule="auto"/>
        <w:ind w:firstLine="480"/>
        <w:rPr>
          <w:rFonts w:ascii="宋体" w:hAnsi="宋体" w:cs="宋体"/>
          <w:bCs/>
          <w:color w:val="000000"/>
          <w:sz w:val="24"/>
        </w:rPr>
      </w:pPr>
      <w:r>
        <w:rPr>
          <w:rFonts w:ascii="宋体" w:hAnsi="宋体" w:cs="宋体"/>
          <w:bCs/>
          <w:color w:val="000000"/>
          <w:sz w:val="24"/>
        </w:rPr>
        <w:t>3、《基金合同》约定的其他情形；</w:t>
      </w:r>
    </w:p>
    <w:p>
      <w:pPr>
        <w:spacing w:line="360" w:lineRule="auto"/>
        <w:ind w:firstLine="480"/>
        <w:rPr>
          <w:rFonts w:hint="eastAsia" w:ascii="宋体" w:hAnsi="宋体" w:cs="宋体"/>
          <w:bCs/>
          <w:color w:val="000000"/>
          <w:sz w:val="24"/>
        </w:rPr>
      </w:pPr>
      <w:r>
        <w:rPr>
          <w:rFonts w:ascii="宋体" w:hAnsi="宋体" w:cs="宋体"/>
          <w:bCs/>
          <w:color w:val="000000"/>
          <w:sz w:val="24"/>
        </w:rPr>
        <w:t>4、相关法律法规和中国证监会规定的其他情况。</w:t>
      </w:r>
    </w:p>
    <w:p>
      <w:pPr>
        <w:spacing w:line="360" w:lineRule="auto"/>
        <w:ind w:firstLine="480"/>
        <w:rPr>
          <w:rFonts w:ascii="宋体" w:hAnsi="宋体" w:cs="宋体"/>
          <w:bCs/>
          <w:color w:val="000000"/>
          <w:sz w:val="24"/>
        </w:rPr>
      </w:pPr>
      <w:r>
        <w:rPr>
          <w:rFonts w:hint="eastAsia" w:ascii="宋体" w:hAnsi="宋体" w:cs="宋体"/>
          <w:bCs/>
          <w:color w:val="000000"/>
          <w:sz w:val="24"/>
        </w:rPr>
        <w:t>三、基金财产的清算</w:t>
      </w:r>
    </w:p>
    <w:p>
      <w:pPr>
        <w:spacing w:line="360" w:lineRule="auto"/>
        <w:ind w:firstLine="480"/>
        <w:rPr>
          <w:rFonts w:ascii="宋体" w:hAnsi="宋体" w:cs="宋体"/>
          <w:bCs/>
          <w:color w:val="000000"/>
          <w:sz w:val="24"/>
        </w:rPr>
      </w:pPr>
      <w:r>
        <w:rPr>
          <w:rFonts w:ascii="宋体" w:hAnsi="宋体" w:cs="宋体"/>
          <w:bCs/>
          <w:color w:val="000000"/>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rPr>
          <w:rFonts w:ascii="宋体" w:hAnsi="宋体" w:cs="宋体"/>
          <w:bCs/>
          <w:color w:val="000000"/>
          <w:sz w:val="24"/>
        </w:rPr>
      </w:pPr>
      <w:r>
        <w:rPr>
          <w:rFonts w:ascii="宋体" w:hAnsi="宋体" w:cs="宋体"/>
          <w:bCs/>
          <w:color w:val="000000"/>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pPr>
        <w:spacing w:line="360" w:lineRule="auto"/>
        <w:ind w:firstLine="480"/>
        <w:rPr>
          <w:rFonts w:ascii="宋体" w:hAnsi="宋体" w:cs="宋体"/>
          <w:bCs/>
          <w:color w:val="000000"/>
          <w:sz w:val="24"/>
        </w:rPr>
      </w:pPr>
      <w:r>
        <w:rPr>
          <w:rFonts w:ascii="宋体" w:hAnsi="宋体" w:cs="宋体"/>
          <w:bCs/>
          <w:color w:val="000000"/>
          <w:sz w:val="24"/>
        </w:rPr>
        <w:t>3、基金财产清算小组职责：基金财产清算小组负责基金财产的保管、清理、估价、变现和分配。基金财产清算小组可以依法进行必要的民事活动。</w:t>
      </w:r>
    </w:p>
    <w:p>
      <w:pPr>
        <w:spacing w:line="360" w:lineRule="auto"/>
        <w:ind w:firstLine="480"/>
        <w:rPr>
          <w:rFonts w:ascii="宋体" w:hAnsi="宋体" w:cs="宋体"/>
          <w:bCs/>
          <w:color w:val="000000"/>
          <w:sz w:val="24"/>
        </w:rPr>
      </w:pPr>
      <w:r>
        <w:rPr>
          <w:rFonts w:ascii="宋体" w:hAnsi="宋体" w:cs="宋体"/>
          <w:bCs/>
          <w:color w:val="000000"/>
          <w:sz w:val="24"/>
        </w:rPr>
        <w:t>4、基金财产清算程序：</w:t>
      </w:r>
    </w:p>
    <w:p>
      <w:pPr>
        <w:spacing w:line="360" w:lineRule="auto"/>
        <w:ind w:firstLine="480"/>
        <w:rPr>
          <w:rFonts w:ascii="宋体" w:hAnsi="宋体" w:cs="宋体"/>
          <w:bCs/>
          <w:color w:val="000000"/>
          <w:sz w:val="24"/>
        </w:rPr>
      </w:pPr>
      <w:r>
        <w:rPr>
          <w:rFonts w:ascii="宋体" w:hAnsi="宋体" w:cs="宋体"/>
          <w:bCs/>
          <w:color w:val="000000"/>
          <w:sz w:val="24"/>
        </w:rPr>
        <w:t>（1）《基金合同》终止情形出现时，由基金财产清算小组统一接管基金；</w:t>
      </w:r>
    </w:p>
    <w:p>
      <w:pPr>
        <w:spacing w:line="360" w:lineRule="auto"/>
        <w:ind w:firstLine="480"/>
        <w:rPr>
          <w:rFonts w:ascii="宋体" w:hAnsi="宋体" w:cs="宋体"/>
          <w:bCs/>
          <w:color w:val="000000"/>
          <w:sz w:val="24"/>
        </w:rPr>
      </w:pPr>
      <w:r>
        <w:rPr>
          <w:rFonts w:ascii="宋体" w:hAnsi="宋体" w:cs="宋体"/>
          <w:bCs/>
          <w:color w:val="000000"/>
          <w:sz w:val="24"/>
        </w:rPr>
        <w:t>（2）对基金财产和债权债务进行清理和确认；</w:t>
      </w:r>
    </w:p>
    <w:p>
      <w:pPr>
        <w:spacing w:line="360" w:lineRule="auto"/>
        <w:ind w:firstLine="480"/>
        <w:rPr>
          <w:rFonts w:ascii="宋体" w:hAnsi="宋体" w:cs="宋体"/>
          <w:bCs/>
          <w:color w:val="000000"/>
          <w:sz w:val="24"/>
        </w:rPr>
      </w:pPr>
      <w:r>
        <w:rPr>
          <w:rFonts w:ascii="宋体" w:hAnsi="宋体" w:cs="宋体"/>
          <w:bCs/>
          <w:color w:val="000000"/>
          <w:sz w:val="24"/>
        </w:rPr>
        <w:t>（3）对基金财产进行估值和变现；</w:t>
      </w:r>
    </w:p>
    <w:p>
      <w:pPr>
        <w:spacing w:line="360" w:lineRule="auto"/>
        <w:ind w:firstLine="480"/>
        <w:rPr>
          <w:rFonts w:ascii="宋体" w:hAnsi="宋体" w:cs="宋体"/>
          <w:bCs/>
          <w:color w:val="000000"/>
          <w:sz w:val="24"/>
        </w:rPr>
      </w:pPr>
      <w:r>
        <w:rPr>
          <w:rFonts w:ascii="宋体" w:hAnsi="宋体" w:cs="宋体"/>
          <w:bCs/>
          <w:color w:val="000000"/>
          <w:sz w:val="24"/>
        </w:rPr>
        <w:t>（4）制作清算报告；</w:t>
      </w:r>
    </w:p>
    <w:p>
      <w:pPr>
        <w:spacing w:line="360" w:lineRule="auto"/>
        <w:ind w:firstLine="480"/>
        <w:rPr>
          <w:rFonts w:ascii="宋体" w:hAnsi="宋体" w:cs="宋体"/>
          <w:bCs/>
          <w:color w:val="000000"/>
          <w:sz w:val="24"/>
        </w:rPr>
      </w:pPr>
      <w:r>
        <w:rPr>
          <w:rFonts w:ascii="宋体" w:hAnsi="宋体" w:cs="宋体"/>
          <w:bCs/>
          <w:color w:val="000000"/>
          <w:sz w:val="24"/>
        </w:rPr>
        <w:t>（5）聘请会计师事务所对清算报告进行外部审计，聘请律师事务所对清算报告出具法律意见书；</w:t>
      </w:r>
    </w:p>
    <w:p>
      <w:pPr>
        <w:spacing w:line="360" w:lineRule="auto"/>
        <w:ind w:firstLine="480"/>
        <w:rPr>
          <w:rFonts w:ascii="宋体" w:hAnsi="宋体" w:cs="宋体"/>
          <w:bCs/>
          <w:color w:val="000000"/>
          <w:sz w:val="24"/>
        </w:rPr>
      </w:pPr>
      <w:r>
        <w:rPr>
          <w:rFonts w:ascii="宋体" w:hAnsi="宋体" w:cs="宋体"/>
          <w:bCs/>
          <w:color w:val="000000"/>
          <w:sz w:val="24"/>
        </w:rPr>
        <w:t>（6）将清算报告报中国证监会备案并公告；</w:t>
      </w:r>
    </w:p>
    <w:p>
      <w:pPr>
        <w:spacing w:line="360" w:lineRule="auto"/>
        <w:ind w:firstLine="480"/>
        <w:rPr>
          <w:rFonts w:ascii="宋体" w:hAnsi="宋体" w:cs="宋体"/>
          <w:bCs/>
          <w:color w:val="000000"/>
          <w:sz w:val="24"/>
        </w:rPr>
      </w:pPr>
      <w:r>
        <w:rPr>
          <w:rFonts w:ascii="宋体" w:hAnsi="宋体" w:cs="宋体"/>
          <w:bCs/>
          <w:color w:val="000000"/>
          <w:sz w:val="24"/>
        </w:rPr>
        <w:t>（7）对基金财产进行分配。</w:t>
      </w:r>
    </w:p>
    <w:p>
      <w:pPr>
        <w:spacing w:line="360" w:lineRule="auto"/>
        <w:ind w:firstLine="480"/>
        <w:rPr>
          <w:rFonts w:hint="eastAsia" w:ascii="宋体" w:hAnsi="宋体" w:cs="宋体"/>
          <w:bCs/>
          <w:color w:val="000000"/>
          <w:sz w:val="24"/>
        </w:rPr>
      </w:pPr>
      <w:r>
        <w:rPr>
          <w:rFonts w:ascii="宋体" w:hAnsi="宋体" w:cs="宋体"/>
          <w:bCs/>
          <w:color w:val="000000"/>
          <w:sz w:val="24"/>
        </w:rPr>
        <w:t>5、基金财产清算的期限为6个月。</w:t>
      </w:r>
    </w:p>
    <w:p>
      <w:pPr>
        <w:spacing w:line="360" w:lineRule="auto"/>
        <w:ind w:firstLine="480"/>
        <w:rPr>
          <w:rFonts w:ascii="宋体" w:hAnsi="宋体" w:cs="宋体"/>
          <w:bCs/>
          <w:color w:val="000000"/>
          <w:sz w:val="24"/>
        </w:rPr>
      </w:pPr>
      <w:r>
        <w:rPr>
          <w:rFonts w:hint="eastAsia" w:ascii="宋体" w:hAnsi="宋体" w:cs="宋体"/>
          <w:bCs/>
          <w:color w:val="000000"/>
          <w:sz w:val="24"/>
        </w:rPr>
        <w:t>四、</w:t>
      </w:r>
      <w:r>
        <w:rPr>
          <w:rFonts w:ascii="宋体" w:hAnsi="宋体" w:cs="宋体"/>
          <w:bCs/>
          <w:color w:val="000000"/>
          <w:sz w:val="24"/>
        </w:rPr>
        <w:t>清算费用</w:t>
      </w:r>
    </w:p>
    <w:p>
      <w:pPr>
        <w:spacing w:line="360" w:lineRule="auto"/>
        <w:ind w:firstLine="480"/>
        <w:rPr>
          <w:rFonts w:hint="eastAsia" w:ascii="宋体" w:hAnsi="宋体" w:cs="宋体"/>
          <w:bCs/>
          <w:color w:val="000000"/>
          <w:sz w:val="24"/>
        </w:rPr>
      </w:pPr>
      <w:r>
        <w:rPr>
          <w:rFonts w:ascii="宋体" w:hAnsi="宋体" w:cs="宋体"/>
          <w:bCs/>
          <w:color w:val="000000"/>
          <w:sz w:val="24"/>
        </w:rPr>
        <w:t>清算费用是指基金财产清算小组在进行基金清算过程中发生的所有合理费用，清算费用由基金财产清算小组优先从基金财产中支付。</w:t>
      </w:r>
    </w:p>
    <w:p>
      <w:pPr>
        <w:spacing w:line="360" w:lineRule="auto"/>
        <w:ind w:firstLine="480"/>
        <w:rPr>
          <w:rFonts w:ascii="宋体" w:hAnsi="宋体" w:cs="宋体"/>
          <w:bCs/>
          <w:color w:val="000000"/>
          <w:sz w:val="24"/>
        </w:rPr>
      </w:pPr>
      <w:r>
        <w:rPr>
          <w:rFonts w:hint="eastAsia" w:ascii="宋体" w:hAnsi="宋体" w:cs="宋体"/>
          <w:bCs/>
          <w:color w:val="000000"/>
          <w:sz w:val="24"/>
        </w:rPr>
        <w:t>五、</w:t>
      </w:r>
      <w:r>
        <w:rPr>
          <w:rFonts w:ascii="宋体" w:hAnsi="宋体" w:cs="宋体"/>
          <w:bCs/>
          <w:color w:val="000000"/>
          <w:sz w:val="24"/>
        </w:rPr>
        <w:t>基金财产清算剩余资产的分配</w:t>
      </w:r>
    </w:p>
    <w:p>
      <w:pPr>
        <w:spacing w:line="360" w:lineRule="auto"/>
        <w:ind w:firstLine="480"/>
        <w:rPr>
          <w:rFonts w:hint="eastAsia" w:ascii="宋体" w:hAnsi="宋体" w:cs="宋体"/>
          <w:bCs/>
          <w:color w:val="000000"/>
          <w:sz w:val="24"/>
        </w:rPr>
      </w:pPr>
      <w:r>
        <w:rPr>
          <w:rFonts w:ascii="宋体" w:hAnsi="宋体" w:cs="宋体"/>
          <w:bCs/>
          <w:color w:val="000000"/>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rPr>
          <w:rFonts w:ascii="宋体" w:hAnsi="宋体" w:cs="宋体"/>
          <w:bCs/>
          <w:color w:val="000000"/>
          <w:sz w:val="24"/>
        </w:rPr>
      </w:pPr>
      <w:r>
        <w:rPr>
          <w:rFonts w:hint="eastAsia" w:ascii="宋体" w:hAnsi="宋体" w:cs="宋体"/>
          <w:bCs/>
          <w:color w:val="000000"/>
          <w:sz w:val="24"/>
        </w:rPr>
        <w:t>六、</w:t>
      </w:r>
      <w:r>
        <w:rPr>
          <w:rFonts w:ascii="宋体" w:hAnsi="宋体" w:cs="宋体"/>
          <w:bCs/>
          <w:color w:val="000000"/>
          <w:sz w:val="24"/>
        </w:rPr>
        <w:t>基金财产清算的公告</w:t>
      </w:r>
    </w:p>
    <w:p>
      <w:pPr>
        <w:spacing w:line="360" w:lineRule="auto"/>
        <w:ind w:firstLine="480"/>
        <w:rPr>
          <w:rFonts w:hint="eastAsia" w:ascii="宋体" w:hAnsi="宋体" w:cs="宋体"/>
          <w:bCs/>
          <w:color w:val="000000"/>
          <w:sz w:val="24"/>
        </w:rPr>
      </w:pPr>
      <w:r>
        <w:rPr>
          <w:rFonts w:ascii="宋体" w:hAnsi="宋体" w:cs="宋体"/>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pPr>
        <w:spacing w:line="360" w:lineRule="auto"/>
        <w:ind w:firstLine="480"/>
        <w:rPr>
          <w:rFonts w:ascii="宋体" w:hAnsi="宋体" w:cs="宋体"/>
          <w:bCs/>
          <w:color w:val="000000"/>
          <w:sz w:val="24"/>
        </w:rPr>
      </w:pPr>
      <w:r>
        <w:rPr>
          <w:rFonts w:hint="eastAsia" w:ascii="宋体" w:hAnsi="宋体" w:cs="宋体"/>
          <w:bCs/>
          <w:color w:val="000000"/>
          <w:sz w:val="24"/>
        </w:rPr>
        <w:t>七、</w:t>
      </w:r>
      <w:r>
        <w:rPr>
          <w:rFonts w:ascii="宋体" w:hAnsi="宋体" w:cs="宋体"/>
          <w:bCs/>
          <w:color w:val="000000"/>
          <w:sz w:val="24"/>
        </w:rPr>
        <w:t>基金财产清算账册及文件的保存</w:t>
      </w:r>
    </w:p>
    <w:p>
      <w:pPr>
        <w:spacing w:line="360" w:lineRule="auto"/>
        <w:ind w:firstLine="480"/>
        <w:rPr>
          <w:rFonts w:hint="eastAsia"/>
          <w:sz w:val="30"/>
        </w:rPr>
      </w:pPr>
      <w:r>
        <w:rPr>
          <w:rFonts w:ascii="宋体" w:hAnsi="宋体" w:cs="宋体"/>
          <w:bCs/>
          <w:color w:val="000000"/>
          <w:sz w:val="24"/>
        </w:rPr>
        <w:t>基金财产清算账册及有关文件由基金托管人保存15年以上</w:t>
      </w:r>
      <w:r>
        <w:rPr>
          <w:rFonts w:hint="eastAsia" w:ascii="宋体" w:hAnsi="宋体" w:cs="宋体"/>
          <w:bCs/>
          <w:color w:val="000000"/>
          <w:sz w:val="24"/>
        </w:rPr>
        <w:t>。</w:t>
      </w:r>
    </w:p>
    <w:p>
      <w:pPr>
        <w:pStyle w:val="2"/>
        <w:pageBreakBefore/>
        <w:spacing w:before="0" w:after="0"/>
        <w:jc w:val="center"/>
        <w:rPr>
          <w:rFonts w:hint="eastAsia" w:cs="宋体"/>
          <w:bCs/>
        </w:rPr>
      </w:pPr>
      <w:bookmarkStart w:id="21" w:name="_Toc521587231"/>
      <w:r>
        <w:rPr>
          <w:rFonts w:hint="eastAsia" w:ascii="Times New Roman" w:hAnsi="Times New Roman"/>
          <w:color w:val="auto"/>
          <w:sz w:val="30"/>
        </w:rPr>
        <w:t>第十九部分 《基金合同》的内容摘要</w:t>
      </w:r>
      <w:bookmarkEnd w:id="21"/>
    </w:p>
    <w:p>
      <w:pPr>
        <w:spacing w:line="360" w:lineRule="auto"/>
        <w:ind w:firstLine="480"/>
        <w:rPr>
          <w:rFonts w:hint="eastAsia"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一、基金合同当事人及权利义务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（一）基金管理人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w:t>
      </w:r>
      <w:r>
        <w:rPr>
          <w:rFonts w:hint="eastAsia" w:ascii="宋体" w:hAnsi="宋体" w:cs="宋体"/>
          <w:bCs/>
          <w:color w:val="000000"/>
          <w:sz w:val="24"/>
        </w:rPr>
        <w:tab/>
      </w:r>
      <w:r>
        <w:rPr>
          <w:rFonts w:hint="eastAsia" w:ascii="宋体" w:hAnsi="宋体" w:cs="宋体"/>
          <w:bCs/>
          <w:color w:val="000000"/>
          <w:sz w:val="24"/>
        </w:rPr>
        <w:t>基金管理人简况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名称：建信基金管理有限责任公司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住所：北京市西城区金融大街7号英蓝国际金融中心16层</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法定代表人：孙志晨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设立日期： 2005 年9 月19 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批准设立机关及批准设立文号：中国证券监督管理委员、中国证监会证监基金字[2005]158 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组织形式：有限责任公司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注册资本：人民币2 亿元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存续期限：持续经营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联系电话：010-66228889</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w:t>
      </w:r>
      <w:r>
        <w:rPr>
          <w:rFonts w:hint="eastAsia" w:ascii="宋体" w:hAnsi="宋体" w:cs="宋体"/>
          <w:bCs/>
          <w:color w:val="000000"/>
          <w:sz w:val="24"/>
        </w:rPr>
        <w:tab/>
      </w:r>
      <w:r>
        <w:rPr>
          <w:rFonts w:hint="eastAsia" w:ascii="宋体" w:hAnsi="宋体" w:cs="宋体"/>
          <w:bCs/>
          <w:color w:val="000000"/>
          <w:sz w:val="24"/>
        </w:rPr>
        <w:t>基金管理人的权利与义务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1、根据《基金法》、《运作办法》及其他有关规定，基金管理人的权利包括但不限于：</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（1）依法募集基金；</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（2）自《基金合同》生效之日起，根据法律法规和《基金合同》独立运用并管理基金财产；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（3）依照《基金合同》收取基金管理费以及法律法规规定或中国证监会批准的其他费用；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（4）销售基金份额；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（5）召集基金份额持有人大会；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（7）在基金托管人更换时，提名新的基金托管人；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（8）选择、更换基金销售机构，对基金销售机构的相关行为进行监督和处理；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（9）担任或委托其他符合条件的机构担任基金登记机构办理基金登记业务并获得《基金合同》规定的费用；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（10）依据《基金合同》及有关法律规定决定基金收益的分配方案；</w:t>
      </w:r>
      <w:r>
        <w:rPr>
          <w:rFonts w:hint="eastAsia" w:ascii="宋体" w:hAnsi="宋体" w:cs="宋体"/>
          <w:bCs/>
          <w:color w:val="000000"/>
          <w:sz w:val="24"/>
        </w:rPr>
        <w:tab/>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（11）在《基金合同》约定的范围内，拒绝或暂停受理申购与赎回申请；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（12）依照法律法规为基金的利益对被投资公司行使股东权利，为基金的利益行使因基金财产投资于证券所产生的权利；</w:t>
      </w:r>
      <w:r>
        <w:rPr>
          <w:rFonts w:hint="eastAsia" w:ascii="宋体" w:hAnsi="宋体" w:cs="宋体"/>
          <w:bCs/>
          <w:color w:val="000000"/>
          <w:sz w:val="24"/>
        </w:rPr>
        <w:tab/>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（13）在法律法规允许的前提下，为基金的利益依法为基金进行融资；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（14）以基金管理人的名义，代表基金份额持有人的利益行使诉讼权利或者实施其他法律行为；</w:t>
      </w:r>
      <w:r>
        <w:rPr>
          <w:rFonts w:hint="eastAsia" w:ascii="宋体" w:hAnsi="宋体" w:cs="宋体"/>
          <w:bCs/>
          <w:color w:val="000000"/>
          <w:sz w:val="24"/>
        </w:rPr>
        <w:tab/>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（15）选择、更换律师事务所、会计师事务所、证券经纪商或其他为基金提供服务的外部机构；</w:t>
      </w:r>
      <w:r>
        <w:rPr>
          <w:rFonts w:hint="eastAsia" w:ascii="宋体" w:hAnsi="宋体" w:cs="宋体"/>
          <w:bCs/>
          <w:color w:val="000000"/>
          <w:sz w:val="24"/>
        </w:rPr>
        <w:tab/>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（16）在符合有关法律、法规的前提下，制订和调整有关基金认购、申购、赎回、转换和非交易过户的业务规则；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（17）法律法规及中国证监会规定的和《基金合同》约定的其他权利。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2、根据《基金法》、《运作办法》及其他有关规定，基金管理人的义务包括但不限于：</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（1）依法募集基金，办理或者委托经中国证监会认定的其他机构代为办理基金份额的发售、申购、赎回和登记事宜；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（2）办理基金备案手续；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（3）自《基金合同》生效之日起,以诚实信用、谨慎勤勉的原则管理和运用基金财产；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（4）配备足够的具有专业资格的人员进行基金投资分析、决策，以专业化的经营方式管理和运作基金财产；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（6）除依据《基金法》、《基金合同》及其他有关规定外,不得利用基金财产为自己及任何第三人谋取利益，不得委托第三人运作基金财产；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w:t>
      </w:r>
      <w:r>
        <w:rPr>
          <w:rFonts w:hint="eastAsia" w:ascii="宋体" w:hAnsi="宋体" w:cs="宋体"/>
          <w:bCs/>
          <w:color w:val="000000"/>
          <w:sz w:val="24"/>
        </w:rPr>
        <w:tab/>
      </w:r>
      <w:r>
        <w:rPr>
          <w:rFonts w:hint="eastAsia" w:ascii="宋体" w:hAnsi="宋体" w:cs="宋体"/>
          <w:bCs/>
          <w:color w:val="000000"/>
          <w:sz w:val="24"/>
        </w:rPr>
        <w:t>依法接受基金托管人的监督；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（9）进行基金会计核算并编制基金财务会计报告；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（10）编制季度、半年度和年度基金报告；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（11）</w:t>
      </w:r>
      <w:r>
        <w:rPr>
          <w:rFonts w:hint="eastAsia" w:ascii="宋体" w:hAnsi="宋体" w:cs="宋体"/>
          <w:bCs/>
          <w:color w:val="000000"/>
          <w:sz w:val="24"/>
        </w:rPr>
        <w:tab/>
      </w:r>
      <w:r>
        <w:rPr>
          <w:rFonts w:hint="eastAsia" w:ascii="宋体" w:hAnsi="宋体" w:cs="宋体"/>
          <w:bCs/>
          <w:color w:val="000000"/>
          <w:sz w:val="24"/>
        </w:rPr>
        <w:t>严格按照《基金法》、《基金合同》及其他有关规定，履行信息披露及报告义务；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（12）保守基金商业秘密，不泄露基金投资计划、投资意向等。除《基金法》、《基金合同》及其他有关规定另有规定外，在基金信息公开披露前应予保密，不向他人泄露；</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（13）按《基金合同》的约定确定基金收益分配方案，及时向基金份额持有人分配基金收益；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（14）按规定受理申购与赎回申请，及时、足额支付赎回款项；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（15）依据《基金法》、《基金合同》及其他有关规定召集基金份额持有人大会或配合基金托管人、基金份额持有人依法召集基金份额持有人大会；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（16）按规定保存基金财产管理业务活动的会计账册、报表、记录和其他相关资料15年以上；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（18）组织并参加基金财产清算小组,参与基金财产的保管、清理、估价、变现和分配；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（19）面临解散、依法被撤销或者被依法宣告破产时，及时报告中国证监会并通知基金托管人；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（20）因违反《基金合同》导致基金财产的损失或损害基金份额持有人合法权益时，应当承担赔偿责任，其赔偿责任不因其退任而免除；</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（22）当基金管理人将其义务委托第三方处理时，应当对第三方处理有关基金事务的行为承担责任；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（23）以基金管理人名义，代表基金份额持有人利益行使诉讼权利或实施其他法律行为；</w:t>
      </w:r>
      <w:r>
        <w:rPr>
          <w:rFonts w:hint="eastAsia" w:ascii="宋体" w:hAnsi="宋体" w:cs="宋体"/>
          <w:bCs/>
          <w:color w:val="000000"/>
          <w:sz w:val="24"/>
        </w:rPr>
        <w:tab/>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（24）基金管理人在募集期间未能达到基金的备案条件，《基金合同》不能生效，基金管理人承担全部募集费用，将已募集资金并加计银行同期存款利息在基金募集期结束后30日内退还基金认购人；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（25）执行生效的基金份额持有人大会的决议；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（26）建立并保存基金份额持有人名册；</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（27）法律法规及中国证监会规定的和《基金合同》约定的其他义务。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（二）基金托管人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w:t>
      </w:r>
      <w:r>
        <w:rPr>
          <w:rFonts w:hint="eastAsia" w:ascii="宋体" w:hAnsi="宋体" w:cs="宋体"/>
          <w:bCs/>
          <w:color w:val="000000"/>
          <w:sz w:val="24"/>
        </w:rPr>
        <w:tab/>
      </w:r>
      <w:r>
        <w:rPr>
          <w:rFonts w:hint="eastAsia" w:ascii="宋体" w:hAnsi="宋体" w:cs="宋体"/>
          <w:bCs/>
          <w:color w:val="000000"/>
          <w:sz w:val="24"/>
        </w:rPr>
        <w:t>基金托管人简况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名称：中信银行股份有限公司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住所：北京市东城区朝阳门北大街9号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法定代表人：李庆萍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成立时间：1987年4月20日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批准设立机关和批准设立文号：国务院、国办函[1987]14号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组织形式：股份有限公司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注册资本：489.347亿元人民币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存续期间：持续经营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基金托管资格批文及文号：证监基金字[2004]125号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w:t>
      </w:r>
      <w:r>
        <w:rPr>
          <w:rFonts w:hint="eastAsia" w:ascii="宋体" w:hAnsi="宋体" w:cs="宋体"/>
          <w:bCs/>
          <w:color w:val="000000"/>
          <w:sz w:val="24"/>
        </w:rPr>
        <w:tab/>
      </w:r>
      <w:r>
        <w:rPr>
          <w:rFonts w:hint="eastAsia" w:ascii="宋体" w:hAnsi="宋体" w:cs="宋体"/>
          <w:bCs/>
          <w:color w:val="000000"/>
          <w:sz w:val="24"/>
        </w:rPr>
        <w:t>基金托管人的权利与义务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1、根据《基金法》、《运作办法》及其他有关规定，基金托管人的权利包括但不限于：</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（1）自《基金合同》生效之日起，依法律法规和《基金合同》的规定安全保管基金财产；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（2）依《基金合同》约定获得基金托管费以及法律法规规定或监管部门批准的其他费用；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（4）根据相关市场规则，为基金开设证券账户、为基金办理证券交易资金清算。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（5）提议召开或召集基金份额持有人大会；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（6）在基金管理人更换时，提名新的基金管理人；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（7）法律法规及中国证监会规定的和《基金合同》约定的其他权利。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2、根据《基金法》、《运作办法》及其他有关规定，基金托管人的义务包括但不限于：</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（1）以诚实信用、勤勉尽责的原则持有并安全保管基金财产；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（2）设立专门的基金托管部门，具有符合要求的营业场所，配备足够的、合格的熟悉基金托管业务的专职人员，负责基金财产托管事宜；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（4）除依据《基金法》、《基金合同》及其他有关规定外，不得利用基金财产为自己及任何第三人谋取利益，不得委托第三人托管基金财产；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（5）保管由基金管理人代表基金签订的与基金有关的重大合同及有关凭证；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（6）按规定开设基金财产的资金账户和证券账户,按照《基金合同》的约定，根据基金管理人的投资指令，及时办理清算、交割事宜；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（7）保守基金商业秘密，除《基金法》、《基金合同》及其他有关规定另有规定外，在基金信息公开披露前予以保密，不得向他人泄露；</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（8）复核、审查基金管理人计算的基金资产净值、基金份额申购、赎回价格；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（9）办理与基金托管业务活动有关的信息披露事项；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（11）保存基金托管业务活动的记录、账册、报表和其他相关资料15年以上；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（12）建立并保存基金份额持有人名册；</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（13）按规定制作相关账册并与基金管理人核对；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（14）依据基金管理人的指令或有关规定向基金份额持有人支付基金收益和赎回款项；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（15）依据《基金法》、《基金合同》及其他有关规定，召集基金份额持有人大会或配合基金份额持有人依法召集基金份额持有人大会；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（16）按照法律法规和《基金合同》的规定监督基金管理人的投资运作；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（17）参加基金财产清算小组，参与基金财产的保管、清理、估价、变现和分配；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（18）面临解散、依法被撤销或者被依法宣告破产时，及时报告中国证监会和银行监管机构，并通知基金管理人；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（19）因违反《基金合同》导致基金财产损失时，应承担赔偿责任，其赔偿责任不因其退任而免除；</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（21）执行生效的基金份额持有人大会的决定；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（22）法律法规及中国证监会规定的和《基金合同》约定的其他义务。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（三）基金份额持有人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同一类别每份基金份额具有同等的合法权益。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1、根据《基金法》、《运作办法》及其他有关规定，基金份额持有人的权利包括但不限于：</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（1）分享基金财产收益；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（2）参与分配清算后的剩余基金财产；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（3）依法申请赎回其持有的基金份额；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（4）按照规定要求召开基金份额持有人大会；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（5）出席或者委派代表出席基金份额持有人大会，对基金份额持有人大会审议事项行使表决权；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（6）查阅或者复制公开披露的基金信息资料；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（7）监督基金管理人的投资运作；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（8）对基金管理人、基金托管人、基金销售机构损害其合法权益的行为依法提起诉讼或仲裁；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（9）法律法规及中国证监会规定的和《基金合同》约定的其他权利。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2、根据《基金法》、《运作办法》及其他有关规定，基金份额持有人的义务包括但不限于：</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（1）认真阅读并遵守《基金合同》；</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（2）了解所投资基金产品，了解自身风险承受能力，自行承担投资风险；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（3）关注基金信息披露，及时行使权利和履行义务；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（4）缴纳基金认购、申购、赎回款项及法律法规和《基金合同》所规定的费用；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（5）在其持有的基金份额范围内，承担基金亏损或者《基金合同》终止的有限责任；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（6）不从事任何有损基金及其他《基金合同》当事人合法权益的活动；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（7）执行生效的基金份额持有人大会的决定；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（8）返还在基金交易过程中因任何原因获得的不当得利；</w:t>
      </w:r>
    </w:p>
    <w:p>
      <w:pPr>
        <w:spacing w:line="360" w:lineRule="auto"/>
        <w:ind w:firstLine="480"/>
        <w:rPr>
          <w:rFonts w:ascii="宋体" w:hAnsi="宋体" w:cs="宋体"/>
          <w:bCs/>
          <w:color w:val="000000"/>
          <w:sz w:val="24"/>
        </w:rPr>
      </w:pPr>
      <w:r>
        <w:rPr>
          <w:rFonts w:hint="eastAsia" w:ascii="宋体" w:hAnsi="宋体" w:cs="宋体"/>
          <w:bCs/>
          <w:color w:val="000000"/>
          <w:sz w:val="24"/>
        </w:rPr>
        <w:t>（9）法律法规及中国证监会规定的和《基金合同》约定的其他义务。</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二、基金份额持有人大会召集、议事及表决的程序和规则</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（一）召开事由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1、当出现或需要决定下列事由之一的，应当召开基金份额持有人大会：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（1）终止《基金合同》；</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（2）更换基金管理人；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（3）更换基金托管人；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（4）转换基金运作方式；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（5）提高基金管理人、基金托管人的报酬标准；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（6）变更基金类别；</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（7）本基金与其他基金的合并；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（8）变更基金投资目标、范围或策略；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（9）变更基金份额持有人大会程序；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（10）基金管理人或基金托管人要求召开基金份额持有人大会；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（12）对基金当事人权利和义务产生重大影响的其他事项；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（13）法律法规、《基金合同》或中国证监会规定的其他应当召开基金份额持有人大会的事项。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2、以下情况可由基金管理人和基金托管人协商后修改，不需召开基金份额持有人大会：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（1）调低基金管理费、基金托管费、销售服务费；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（2）法律法规要求增加的基金费用的收取；</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（3）在法律法规和《基金合同》规定的范围内调整本基金的申购费率、调低赎回费率；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（4）因相应的法律法规发生变动而应当对《基金合同》进行修改；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（5）对《基金合同》的修改对基金份额持有人利益无实质性不利影响或修改不涉及《基金合同》当事人权利义务关系发生变化；</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（6）按照法律法规和《基金合同》规定不需召开基金份额持有人大会的其他情形。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3、基金合同生效后的存续期内，出现以下情形之一的，可不经基金份额持有人大会决议，本基金与其他基金合并或终止基金合同，并提前公告：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（1）基金份额持有人数量连续60个工作日达不到200人。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（2）基金资产净值连续60个工作日低于3000万元。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（3）本基金前十大基金份额持有人所持份额数之和在本基金总份额数中所占比例连续60个工作日达到百分之九十以上。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（二）会议召集人及召集方式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1、除法律法规规定或《基金合同》另有约定外，基金份额持有人大会由基金管理人召集；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2、基金管理人未按规定召集或不能召集时，由基金托管人召集；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60日内召开；基金管理人决定不召集，基金托管人仍认为有必要召开的，应当由基金托管人自行召集。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6、基金份额持有人会议的召集人负责选择确定开会时间、地点、方式和权益登记日。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（三）召开基金份额持有人大会的通知时间、通知内容、通知方式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1、召开基金份额持有人大会，召集人应于会议召开前30日，在指定媒体公告。基金份额持有人大会通知应至少载明以下内容：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（1）会议召开的时间、地点和会议形式；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（2）会议拟审议的事项、议事程序和表决方式；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（3）有权出席基金份额持有人大会的基金份额持有人的权益登记日；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（4）授权委托证明的内容要求（包括但不限于代理人身份，代理权限和代理有效期限等）、送达时间和地点;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（5）会务常设联系人姓名及联系电话；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（6）出席会议者必须准备的文件和必须履行的手续；</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（7）召集人需要通知的其他事项。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（四）基金份额持有人出席会议的方式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基金份额持有人大会可通过现场开会方式或通讯开会方式召开，会议的召开方式由会议召集人确定。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（2）经核对，汇总到会者出示的在权益登记日持有基金份额的凭证显示，有效的基金份额不少于本基金在权益登记日基金总份额的50%（含50%）。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2013年6月1日以后（含该日）召开的基金份额持有人大会，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1/3以上（含1/3）基金份额的基金份额持有人或其代理人参加，方可召开。</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2、通讯开会。通讯开会系指基金份额持有人将其对表决事项的投票以书面形式在表决截至日以前送达至召集人指定的地址。通讯开会应以书面方式进行表决。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在同时符合以下条件时，通讯开会的方式视为有效：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（1）会议召集人按《基金合同》约定公布会议通知后，在2个工作日内连续公布相关提示性公告；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（3）本人直接出具书面意见或授权他人代表出具书面意见的，基金份额持有人所持有的基金份额不小于在权益登记日基金总份额的50%（含50%）；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2013年6月1日以后（含该日）召开的基金份额持有人大会，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1/3以上（含1/3）基金份额的基金份额持有人或其代理人参加，方可召开。</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（5）会议通知公布前报中国证监会备案。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3、在法律法规或监管机构允许的情况下，经会议通知载明，基金份额持有人也可以采用网络、电话或其他方式进行表决，或者采用网络、电话或其他方式授权他人代为出席会议并表决。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（五）议事内容与程序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1、议事内容及提案权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基金份额持有人大会的召集人发出召集会议的通知后，对原有提案的修改应当在基金份额持有人大会召开前及时公告。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基金份额持有人大会不得对未事先公告的议事内容进行表决。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2、议事程序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（1）现场开会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（2）通讯开会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（六）表决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基金份额持有人所持每份基金份额有一票表决权。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基金份额持有人大会决议分为一般决议和特别决议：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1、一般决议，一般决议须经参加大会的基金份额持有人或其代理人所持表决权的50%以上（含50%）通过方为有效；除下列第2项所规定的须以特别决议通过事项以外的其他事项均以一般决议的方式通过。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基金份额持有人大会采取记名方式进行投票表决。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基金份额持有人大会的各项提案或同一项提案内并列的各项议题应当分开审议、逐项表决。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（七）计票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1、现场开会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（2）监票人应当在基金份额持有人表决后立即进行清点并由大会主持人当场公布计票结果。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（4）计票过程应由公证机关予以公证,基金管理人或基金托管人拒不出席大会的，不影响计票的效力。</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2、通讯开会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（八）生效与公告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基金份额持有人大会的决议，召集人应当自通过之日起5日内报中国证监会核准或者备案。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基金份额持有人大会的决议自中国证监会依法核准或者出具无异议意见之日起生效。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基金份额持有人大会决议自生效之日起2个工作日内在指定媒体上公告。如果采用通讯方式进行表决，在公告基金份额持有人大会决议时，必须将公证书全文、公证机构、公证员姓名等一同公告。</w:t>
      </w:r>
    </w:p>
    <w:p>
      <w:pPr>
        <w:spacing w:line="360" w:lineRule="auto"/>
        <w:ind w:firstLine="480"/>
        <w:rPr>
          <w:rFonts w:ascii="宋体" w:hAnsi="宋体" w:cs="宋体"/>
          <w:bCs/>
          <w:color w:val="000000"/>
          <w:sz w:val="24"/>
        </w:rPr>
      </w:pPr>
      <w:r>
        <w:rPr>
          <w:rFonts w:hint="eastAsia" w:ascii="宋体" w:hAnsi="宋体" w:cs="宋体"/>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三、基金收益与分配</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（一）基金利润的构成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基金利润指基金利息收入、投资收益、公允价值变动收益和其他收入扣除相关费用后的余额，基金已实现收益指基金利润减去公允价值变动收益后的余额。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（二）基金可供分配利润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基金可供分配利润指截至收益分配基准日基金未分配利润与未分配利润中已实现收益的孰低数。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（三）基金收益分配原则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1、由于本基金A 类基金份额不收取销售服务费，C 类基金份额收取销售服务费，各基金份额类别对应的可分配收益将有所不同，本基金同一基金份额类别内的每一基金份额享有同等分配权；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2、在符合有关基金分红条件的前提下，本基金每年收益分配次数最多为6次，每次收益分配比例不得低于该次可供分配利润的20%，若《基金合同》生效不满3个月可不进行收益分配；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3、本基金收益分配方式分两种：现金分红与红利再投资，投资者可选择现金红利或将现金红利自动转为基金份额进行再投资；若投资者不选择，本基金默认的收益分配方式是现金分红；基金份额持有人可对A 类和C类基金份额分别选择不同的分红方式。选择采取红利再投资形式的，同一类别基金份额的分红资金将按权益登记日该类别的基金份额净值转成相应的同一类别的基金份额，红利再投资的份额免收申购费。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同一投资人持有的同一类别的基金份额只能选择一种分红方式，如投资人在不同销售机构选择的分红方式不同，则注册登记机构将以投资人最后一次选择的分红方式为准；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4、基金收益分配后基金份额净值不能低于面值；即基金收益分配基准日的基金份额净值减去每单位基金份额收益分配金额后不能低于面值。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5、法律法规或监管机关另有规定的，从其规定。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（四）收益分配方案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基金收益分配方案中应载明截止收益分配基准日的可供分配利润、基金收益分配对象、分配时间、分配数额及比例、分配方式等内容。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（五）收益分配方案的确定、公告与实施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本基金收益分配方案由基金管理人拟定，并由基金托管人复核，在2个工作日内在指定媒体公告并报中国证监会备案。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基金红利发放日距离收益分配基准日（即可供分配利润计算截止日）的时间不得超过15个工作日。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（六）基金收益分配中发生的费用</w:t>
      </w:r>
    </w:p>
    <w:p>
      <w:pPr>
        <w:spacing w:line="360" w:lineRule="auto"/>
        <w:ind w:firstLine="480"/>
        <w:rPr>
          <w:rFonts w:ascii="宋体" w:hAnsi="宋体" w:cs="宋体"/>
          <w:bCs/>
          <w:color w:val="000000"/>
          <w:sz w:val="24"/>
        </w:rPr>
      </w:pPr>
      <w:r>
        <w:rPr>
          <w:rFonts w:hint="eastAsia" w:ascii="宋体" w:hAnsi="宋体" w:cs="宋体"/>
          <w:bCs/>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四、基金费用</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（一）基金费用的种类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1、基金管理人的管理费；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2、基金托管人的托管费；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3、基金销售服务费：本基金从C类基金资产中计提的销售服务费；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4、《基金合同》生效后与基金相关的信息披露费用；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5、《基金合同》生效后与基金相关的会计师费、律师费和诉讼费；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6、基金份额持有人大会费用；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7、基金的证券交易费用；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8、基金的银行汇划费用；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9、按照国家有关规定和《基金合同》约定，可以在基金财产中列支的其他费用。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（二）基金费用计提方法、计提标准和支付方式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1、基金管理人的管理费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本基金的管理费按前一日基金资产净值的0.6%年费率计提。管理费的计算方法如下：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H＝E×0.6 %÷当年天数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H为每日应计提的基金管理费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E为前一日的基金资产净值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2、基金托管人的托管费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本基金的托管费按前一日基金资产净值的0.2%的年费率计提。托管费的计算方法如下：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H＝E×0.2%÷当年天数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H为每日应计提的基金托管费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E为前一日的基金资产净值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 销售服务费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本基金A 类基金份额不收取销售服务费，C 类基金份额的销售服务费年费率为0.35% 。</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销售服务费计算方法如下，按C类基金份额基金资产净值计提：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H＝E×0.35% ÷当年天数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H为C类基金份额每日应计提的销售服务费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E为C类基金份额前一日基金资产净值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销售服务费每日计算，逐日累计至每月月末，按月支付，由基金管理人向基金托管人发送基金销售服务费划款指令，基金托管人复核后于次月前5个工作日内从基金财产中划出，经登记机构分别支付给各个基金销售机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上述“一、基金费用的种类中第4－8项费用”，根据有关法规及相应协议规定，按费用实际支出金额列入当期费用，由基金托管人从基金财产中支付。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（三）不列入基金费用的项目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下列费用不列入基金费用：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1、基金管理人和基金托管人因未履行或未完全履行义务导致的费用支出或基金财产的损失；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2、基金管理人和基金托管人处理与基金运作无关的事项发生的费用；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3、《基金合同》生效前的相关费用；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4、其他根据相关法律法规及中国证监会的有关规定不得列入基金费用的项目。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（四）基金税收</w:t>
      </w:r>
    </w:p>
    <w:p>
      <w:pPr>
        <w:spacing w:line="360" w:lineRule="auto"/>
        <w:ind w:firstLine="480"/>
        <w:rPr>
          <w:rFonts w:ascii="宋体" w:hAnsi="宋体" w:cs="宋体"/>
          <w:bCs/>
          <w:color w:val="000000"/>
          <w:sz w:val="24"/>
        </w:rPr>
      </w:pPr>
      <w:r>
        <w:rPr>
          <w:rFonts w:hint="eastAsia" w:ascii="宋体" w:hAnsi="宋体" w:cs="宋体"/>
          <w:bCs/>
          <w:color w:val="000000"/>
          <w:sz w:val="24"/>
        </w:rPr>
        <w:t>本基金运作过程中涉及的各纳税主体，其纳税义务按国家税收法律、法规执行。</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五、基金的投资</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（一）投资目标</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在严格控制风险并保持良好流动性的基础上，通过主动的组合管理为投资人创造较高的当期收入和总回报。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（二）投资范围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本基金的投资范围为具有良好流动性的金融工具，包括国内依法发行上市的债券、货币市场工具以及法律法规或中国证监会允许基金投资的其他金融工具(但须符合中国证监会相关规定)。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主要投资于国债、央行票据、金融债、次级债、地方政府债、企业债和公司债、中期票据、短期融资券、资产支持证券、可转债（含分离交易可转债）、债券回购、银行存款以及法律法规或监管部门允许基金投资的其他固定收益类金融工具。基金不直接从二级市场买入股票、权证等权益类资产，但可参与一级市场新股申购或增发，持有因可转债转股所形成的股票或分离交易可转债分离交易的权证等资产。因上述原因持有的股票和权证等资产，基金将在其可交易之日起的10个交易日内卖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如法律法规或监管机构以后允许基金投资其他品种（如国债期货），基金管理人在履行适当程序后，可以将其纳入投资范围。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的投资组合比例为：本基金债券资产的投资比例不低于基金资产的80%，其中投资于信用债和可转债的比例合计不低于非现金基金资产的80%；基金持有的现金以及到期日在1年以内的政府债券不低于基金资产净值的5%，其中，现金不包括结算备付金、存出保证金、应收申购款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（三）投资策略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1、债券类属配置策略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固定收益类资产将主要在信用债、可转债及其他资产间进行配置。根据对不同债券板块之间的相对投资价值分析，确定债券类属配置策略，并根据市场变化及时进行调整，从而选择既能匹配目标久期、同时又能获得较高持有期收益的类属债券配置比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2、信用债投资策略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将主要通过买入并持有信用风险可承担、期限与收益率相对合理的信用债券产品，获取票息收益。此外，本基金还将通过对内外部评级、利差曲线研究和经济周期的判断，主动采用信用利差投资策略，获取利差收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3、可转债投资策略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将着重对可转债对应的基础股票进行分析与研究，对那些有着较好盈利能力或成长前景的上市公司的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此外，在严格控制风险的前提下，本基金将适度参与新股申购、增发、证券借贷交易、回购交易等投资，以增加收益。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未来，随着证券市场投资工具的发展和丰富，本基金可相应调整和更新相关投资策略，并在招募说明书更新中公告。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（四）投资限制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1、组合限制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基金的投资组合应遵循以下限制：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（1）本基金债券资产的投资比例不低于基金资产的80%，其中投资于信用债和可转债的比例合计不低于非现金基金资产的80%；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（2）保持不低于基金资产净值5％的现金或者到期日在一年以内的政府债券，其中，现金不包括结算备付金、存出保证金、应收申购款等；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（3）本基金持有一家上市公司的股票，其市值不超过基金资产净值的10％；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（4）本基金管理人管理的全部基金持有一家公司发行的证券，不超过该证券的10％；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（5）本基金持有的全部权证，其市值不得超过基金资产净值的3％；</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（6）本基金管理人管理的全部基金持有的同一权证，不得超过该权证的   10％；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（7）本基金在任何交易日买入权证的总金额，不得超过上一交易日基金资产净值的0.5％；</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（8）本基金投资于同一原始权益人的各类资产支持证券的比例，不得超过基金资产净值的10％；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（9）本基金持有的全部资产支持证券，其市值不得超过基金资产净值的20％；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（10）本基金持有的同一(指同一信用级别)资产支持证券的比例，不得超过该资产支持证券规模的10％；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（11）本基金管理人管理的全部基金投资于同一原始权益人的各类资产支持证券，不得超过其各类资产支持证券合计规模的10％；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（12）本基金应投资于信用级别评级为BBB以上(含BBB)的资产支持证券。基金持有资产支持证券期间，如果其信用等级下降、不再符合投资标准，应在评级报告发布之日起3个月内予以全部卖出；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（13）基金财产参与股票发行申购，本基金所申报的金额不超过本基金的总资产，本基金所申报的股票数量不超过拟发行股票公司本次发行股票的总量；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（14）本基金进入全国银行间同业市场进行债券回购的资金余额不得超过基金资产净值的40%；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16）本基金主动投资于流动性受限资产的市值合计不得超过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（17）本基金与私募类证券资管产品及中国证监会认定的其他主体为交易对手开展逆回购交易的，可接受质押品的资质要求应当与基金合同约定的投资范围保持一致；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（18）法律法规及中国证监会规定的和《基金合同》约定的其他投资限制。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除上述第（2）、（12）、（16）、（17）项外，因证券市场波动、上市公司合并、基金规模变动、股权分置改革中支付对价等基金管理人之外的因素致使基金投资比例不符合上述规定投资比例的，基金管理人应当在10个交易日内进行调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基金管理人应当自基金合同生效之日起6个月内使基金的投资组合比例符合基金合同的有关约定。基金托管人对基金的投资的监督与检查自本基金合同生效之日起开始。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法律法规或监管部门取消上述限制，如适用于本基金，基金管理人在履行适当程序后，则本基金投资不再受相关限制。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2、禁止行为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为维护基金份额持有人的合法权益，基金财产不得用于下列投资或者活动：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（1）承销证券；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（2）向他人贷款或者提供担保；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（3）从事承担无限责任的投资；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（4）买卖其他基金份额，但是国务院另有规定的除外；</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（5）向其基金管理人、基金托管人出资或者买卖其基金管理人、基金托管人发行的股票或者债券；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（6）买卖与其基金管理人、基金托管人有控股关系的股东或者与其基金管理人、基金托管人有其他重大利害关系的公司发行的证券或者承销期内承销的证券；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（7）从事内幕交易、操纵证券交易价格及其他不正当的证券交易活动；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（8）依照法律法规有关规定，由中国证监会规定禁止的其他活动。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法律法规或监管部门取消上述限制，如适用于本基金，则本基金投资不再受相关限制。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（五）业绩比较基准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1、业绩比较基准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本基金的业绩比较基准为：中债综合全价（总值）指数。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2、选择比较基准的理由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中债综合全价（总值）指数由中央国债登记结算公司编制，该指数旨在综合反映债券全市场整体价格和投资回报情况。该指数涵盖了银行间市场和交易所市场，成份券种包括除资产支持债券和部分在交易所发行上市的债券以外的其他所有债券，具有广泛的市场代表性，能够反映债券市场总体走势，适合作为本基金的业绩比较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果今后法律法规发生变化，或指数编制单位停止编制该指数、更改指数名称，或有更权威的、更能为市场普遍接受的业绩比较基准推出，本基金管理人经与基金托管人协商一致，本基金可以在报中国证监会备案后变更业绩比较基准并及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（六）风险收益特征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本基金为债券型基金，其风险和预期收益水平低于股票型基金、混合型基金，高于货币市场基金。</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（七）基金的融资融券</w:t>
      </w:r>
    </w:p>
    <w:p>
      <w:pPr>
        <w:spacing w:line="360" w:lineRule="auto"/>
        <w:ind w:firstLine="480"/>
        <w:rPr>
          <w:rFonts w:ascii="宋体" w:hAnsi="宋体" w:cs="宋体"/>
          <w:bCs/>
          <w:color w:val="000000"/>
          <w:sz w:val="24"/>
        </w:rPr>
      </w:pPr>
      <w:r>
        <w:rPr>
          <w:rFonts w:hint="eastAsia" w:ascii="宋体" w:hAnsi="宋体" w:cs="宋体"/>
          <w:bCs/>
          <w:color w:val="000000"/>
          <w:sz w:val="24"/>
        </w:rPr>
        <w:t>本基金可以按照国家的有关法律法规规定进行融资、融券。</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六、基金资产净值的计算和公告方式</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基金资产净值是指基金资产总值减去基金负债后的价值。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《基金合同》生效后，在开始办理基金份额申购或者赎回前，基金管理人应当至少每周公告一次A/C类基金份额所对应的基金资产净值和基金份额净值。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在开始办理基金份额申购或者赎回后，基金管理人应当在每个开放日的次日，通过网站、基金份额发售网点以及其他媒介，披露开放日A/C类基金份额所对应的基金份额净值和基金份额累计净值。</w:t>
      </w:r>
    </w:p>
    <w:p>
      <w:pPr>
        <w:spacing w:line="360" w:lineRule="auto"/>
        <w:ind w:firstLine="480"/>
        <w:rPr>
          <w:rFonts w:ascii="宋体" w:hAnsi="宋体" w:cs="宋体"/>
          <w:bCs/>
          <w:color w:val="000000"/>
          <w:sz w:val="24"/>
        </w:rPr>
      </w:pPr>
      <w:r>
        <w:rPr>
          <w:rFonts w:hint="eastAsia" w:ascii="宋体" w:hAnsi="宋体" w:cs="宋体"/>
          <w:bCs/>
          <w:color w:val="000000"/>
          <w:sz w:val="24"/>
        </w:rPr>
        <w:t>基金管理人应当公告半年度和年度最后一个市场交易日A/C类基金份额所对应的基金资产净值和基金份额净值。基金管理人应当在前款规定的市场交易日的次日，将基金资产净值、基金份额净值和基金份额累计净值登载在指定媒体上。</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七、基金合同的变更、终止与基金财产的清算</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（一）《基金合同》的变更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 2、关于《基金合同》变更的基金份额持有人大会决议经中国证监会核准生效后方可执行，自决议生效后两日内在指定媒体公告。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（二）《基金合同》的终止事由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有下列情形之一的，《基金合同》应当终止：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1、基金份额持有人大会决定终止的；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2、基金管理人、基金托管人职责终止，在6个月内没有新基金管理人、新基金托管人承接的；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3、《基金合同》约定的其他情形；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4、相关法律法规和中国证监会规定的其他情况。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（三）基金财产的清算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3、基金财产清算小组职责：基金财产清算小组负责基金财产的保管、清理、估价、变现和分配。基金财产清算小组可以依法进行必要的民事活动。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4、基金财产清算程序：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（1）《基金合同》终止情形出现时，由基金财产清算小组统一接管基金；</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（2）对基金财产和债权债务进行清理和确认；</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（3）对基金财产进行估值和变现；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（4）制作清算报告；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（5）聘请会计师事务所对清算报告进行外部审计，聘请律师事务所对清算报告出具法律意见书；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（6）将清算报告报中国证监会备案并公告；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（7）对基金财产进行分配；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5、基金财产清算的期限为6个月。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（四）清算费用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清算费用是指基金财产清算小组在进行基金清算过程中发生的所有合理费用，清算费用由基金财产清算小组优先从基金财产中支付。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（五）基金财产清算剩余资产的分配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（六）基金财产清算的公告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（七）基金财产清算账册及文件的保存</w:t>
      </w:r>
    </w:p>
    <w:p>
      <w:pPr>
        <w:spacing w:line="360" w:lineRule="auto"/>
        <w:ind w:firstLine="480"/>
        <w:rPr>
          <w:rFonts w:ascii="宋体" w:hAnsi="宋体" w:cs="宋体"/>
          <w:bCs/>
          <w:color w:val="000000"/>
          <w:sz w:val="24"/>
        </w:rPr>
      </w:pPr>
      <w:r>
        <w:rPr>
          <w:rFonts w:hint="eastAsia" w:ascii="宋体" w:hAnsi="宋体" w:cs="宋体"/>
          <w:bCs/>
          <w:color w:val="000000"/>
          <w:sz w:val="24"/>
        </w:rPr>
        <w:t>基金财产清算账册及有关文件由基金托管人保存15年以上。</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八、争议的处理</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各方当事人同意，因《基金合同》而产生的或与《基金合同》有关的一切争议，如经友好协商未能解决的，应提交仲裁。任何一方均有权将争议提交中国国际经济贸易仲裁委员会，按照中国国际经济贸易仲裁委员会届时有效的仲裁规则进行仲裁。仲裁地点为北京市。仲裁裁决是终局的，对当事人均有约束力。</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争议处理期间，基金合同当事人应恪守各自的职责，继续忠实、勤勉、尽责地履行基金合同规定的义务，维护基金份额持有人的合法权益。</w:t>
      </w:r>
    </w:p>
    <w:p>
      <w:pPr>
        <w:spacing w:line="360" w:lineRule="auto"/>
        <w:ind w:firstLine="480"/>
        <w:rPr>
          <w:rFonts w:ascii="宋体" w:hAnsi="宋体" w:cs="宋体"/>
          <w:bCs/>
          <w:color w:val="000000"/>
          <w:sz w:val="24"/>
        </w:rPr>
      </w:pPr>
      <w:r>
        <w:rPr>
          <w:rFonts w:hint="eastAsia" w:ascii="宋体" w:hAnsi="宋体" w:cs="宋体"/>
          <w:bCs/>
          <w:color w:val="000000"/>
          <w:sz w:val="24"/>
        </w:rPr>
        <w:t>《基金合同》受中国法律管辖。</w:t>
      </w:r>
    </w:p>
    <w:p>
      <w:pPr>
        <w:spacing w:line="360" w:lineRule="auto"/>
        <w:ind w:firstLine="480"/>
        <w:rPr>
          <w:rFonts w:ascii="宋体" w:hAnsi="宋体" w:cs="宋体"/>
          <w:bCs/>
          <w:color w:val="000000"/>
          <w:sz w:val="24"/>
        </w:rPr>
      </w:pPr>
    </w:p>
    <w:p>
      <w:pPr>
        <w:spacing w:line="360" w:lineRule="auto"/>
        <w:ind w:firstLine="480"/>
        <w:rPr>
          <w:rFonts w:ascii="宋体" w:hAnsi="宋体" w:cs="宋体"/>
          <w:bCs/>
          <w:color w:val="000000"/>
          <w:sz w:val="24"/>
        </w:rPr>
      </w:pPr>
      <w:r>
        <w:rPr>
          <w:rFonts w:hint="eastAsia" w:ascii="宋体" w:hAnsi="宋体" w:cs="宋体"/>
          <w:bCs/>
          <w:color w:val="000000"/>
          <w:sz w:val="24"/>
        </w:rPr>
        <w:t>九、基金合同存放地和投资者取得基金合同的方式</w:t>
      </w:r>
    </w:p>
    <w:p>
      <w:pPr>
        <w:spacing w:line="360" w:lineRule="auto"/>
        <w:ind w:firstLine="480"/>
        <w:rPr>
          <w:rFonts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《基金合同》可印制成册，供投资者在基金管理人、基金托管人、销售机构的办公场所和营业场所查阅。</w:t>
      </w:r>
    </w:p>
    <w:p>
      <w:pPr>
        <w:spacing w:line="360" w:lineRule="auto"/>
        <w:rPr>
          <w:rFonts w:hint="eastAsia" w:ascii="宋体" w:hAnsi="宋体" w:cs="宋体"/>
          <w:bCs/>
          <w:color w:val="000000"/>
          <w:sz w:val="24"/>
        </w:rPr>
      </w:pPr>
    </w:p>
    <w:p>
      <w:pPr>
        <w:pStyle w:val="2"/>
        <w:pageBreakBefore/>
        <w:spacing w:before="0" w:after="0"/>
        <w:jc w:val="center"/>
        <w:rPr>
          <w:rFonts w:hint="eastAsia" w:cs="宋体"/>
          <w:bCs/>
        </w:rPr>
      </w:pPr>
      <w:bookmarkStart w:id="22" w:name="_Toc521587232"/>
      <w:r>
        <w:rPr>
          <w:rFonts w:hint="eastAsia" w:ascii="Times New Roman" w:hAnsi="Times New Roman"/>
          <w:color w:val="auto"/>
          <w:sz w:val="30"/>
        </w:rPr>
        <w:t>第二十部分 《托管协议》的内容摘要</w:t>
      </w:r>
      <w:bookmarkEnd w:id="22"/>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ascii="宋体" w:hAnsi="宋体" w:cs="宋体"/>
          <w:bCs/>
          <w:color w:val="000000"/>
          <w:sz w:val="24"/>
        </w:rPr>
        <w:t>一、托管协议当事人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（一）基金管理人（或简称“管理人”）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名称：建信基金管理有限责任公司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住所：北京市西城区金融大街7号英蓝国际金融中心16层</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法定代表人：孙志晨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成立时间：2005年9月19日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批准设立机关：中国证券监督管理委员会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批准设立文号：证监基金字[2005]158号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组织形式:有限责任公司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注册资本: 人民币2亿元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存续期间：持续经营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（二）基金托管人（或简称“托管人”）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名称：中信银行股份有限公司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住所：北京市东城区朝阳门北大街8号富华大厦C座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法定代表人：李庆萍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成立时间：1987年4月7日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批准设立机关及批准设立文号：国务院、国办函[1987]14号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基金托管业务批准文号：证监基金字[2004]125号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组织形式：股份有限公司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注册资本：489.35亿元人民币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存续期间：持续经营</w:t>
      </w:r>
    </w:p>
    <w:p>
      <w:pPr>
        <w:spacing w:line="360" w:lineRule="auto"/>
        <w:ind w:firstLine="480"/>
        <w:rPr>
          <w:rFonts w:ascii="宋体" w:hAnsi="宋体" w:cs="宋体"/>
          <w:bCs/>
          <w:color w:val="000000"/>
          <w:sz w:val="24"/>
        </w:rPr>
      </w:pPr>
      <w:r>
        <w:rPr>
          <w:rFonts w:hint="eastAsia" w:ascii="宋体" w:hAnsi="宋体" w:cs="宋体"/>
          <w:bCs/>
          <w:color w:val="000000"/>
          <w:sz w:val="24"/>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pPr>
        <w:spacing w:line="360" w:lineRule="auto"/>
        <w:ind w:firstLine="480"/>
        <w:rPr>
          <w:rFonts w:hint="eastAsia" w:ascii="宋体" w:hAnsi="宋体" w:cs="宋体"/>
          <w:bCs/>
          <w:color w:val="000000"/>
          <w:sz w:val="24"/>
        </w:rPr>
      </w:pPr>
      <w:r>
        <w:rPr>
          <w:rFonts w:ascii="宋体" w:hAnsi="宋体" w:cs="宋体"/>
          <w:bCs/>
          <w:color w:val="000000"/>
          <w:sz w:val="24"/>
        </w:rPr>
        <w:t>二、基金托管人对基金管理人的业务监督和核查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（一）基金托管人对基金管理人的投资行为行使监督权</w:t>
      </w:r>
    </w:p>
    <w:p>
      <w:pPr>
        <w:spacing w:line="360" w:lineRule="auto"/>
        <w:ind w:firstLine="480"/>
        <w:rPr>
          <w:rFonts w:ascii="宋体" w:hAnsi="宋体" w:cs="宋体"/>
          <w:bCs/>
          <w:color w:val="000000"/>
          <w:sz w:val="24"/>
        </w:rPr>
      </w:pPr>
      <w:r>
        <w:rPr>
          <w:rFonts w:hint="eastAsia" w:ascii="宋体" w:hAnsi="宋体" w:cs="宋体"/>
          <w:bCs/>
          <w:color w:val="000000"/>
          <w:sz w:val="24"/>
        </w:rPr>
        <w:t>1、基金托管人根据有关法律法规的规定和基金合同的约定，对下述基金投资范围、投资对象进行监督。本基金将投资于以下金融工具：</w:t>
      </w:r>
    </w:p>
    <w:p>
      <w:pPr>
        <w:spacing w:line="360" w:lineRule="auto"/>
        <w:ind w:firstLine="480"/>
        <w:rPr>
          <w:rFonts w:ascii="宋体" w:hAnsi="宋体" w:cs="宋体"/>
          <w:bCs/>
          <w:color w:val="000000"/>
          <w:sz w:val="24"/>
        </w:rPr>
      </w:pPr>
      <w:r>
        <w:rPr>
          <w:rFonts w:ascii="宋体" w:hAnsi="宋体" w:cs="宋体"/>
          <w:bCs/>
          <w:color w:val="000000"/>
          <w:sz w:val="24"/>
        </w:rPr>
        <w:t>本基金的投资范围为具有良好流动性的金融工具，包括国内依法发行上市的债券、货币市场工具以及法律法规或中国证监会允许基金投资的其他金融工具(但须符合中国证监会相关规定)。</w:t>
      </w:r>
    </w:p>
    <w:p>
      <w:pPr>
        <w:spacing w:line="360" w:lineRule="auto"/>
        <w:ind w:firstLine="480"/>
        <w:rPr>
          <w:rFonts w:ascii="宋体" w:hAnsi="宋体" w:cs="宋体"/>
          <w:bCs/>
          <w:color w:val="000000"/>
          <w:sz w:val="24"/>
        </w:rPr>
      </w:pPr>
      <w:r>
        <w:rPr>
          <w:rFonts w:ascii="宋体" w:hAnsi="宋体" w:cs="宋体"/>
          <w:bCs/>
          <w:color w:val="000000"/>
          <w:sz w:val="24"/>
        </w:rPr>
        <w:t>本基金主要投资于国债、央行票据、金融债、次级债、地方政府债、企业债和公司债、中期票据、短期融资券、资产支持证券、可转债（含分离交易可转债）、债券回购、银行存款以及法律法规或监管部门允许基金投资的其他固定收益类金融工具。基金不直接从二级市场买入股票、权证等权益类资产，但可参与一级市场新股申购或增发，持有因可转债转股所形成的股票或分离交易可转债分离交易的权证等资产。因上述原因持有的股票和权证等资产，基金将在其可交易之日起的10个交易日内卖出。</w:t>
      </w:r>
    </w:p>
    <w:p>
      <w:pPr>
        <w:spacing w:line="360" w:lineRule="auto"/>
        <w:ind w:firstLine="480"/>
        <w:rPr>
          <w:rFonts w:ascii="宋体" w:hAnsi="宋体" w:cs="宋体"/>
          <w:bCs/>
          <w:color w:val="000000"/>
          <w:sz w:val="24"/>
        </w:rPr>
      </w:pPr>
      <w:r>
        <w:rPr>
          <w:rFonts w:ascii="宋体" w:hAnsi="宋体" w:cs="宋体"/>
          <w:bCs/>
          <w:color w:val="000000"/>
          <w:sz w:val="24"/>
        </w:rPr>
        <w:t>如法律法规或监管机构以后允许基金投资其他品种（如国债期货），基金管理人在履行适当程序后，可以将其纳入投资范围。</w:t>
      </w:r>
    </w:p>
    <w:p>
      <w:pPr>
        <w:spacing w:line="360" w:lineRule="auto"/>
        <w:ind w:firstLine="480"/>
        <w:rPr>
          <w:rFonts w:hint="eastAsia" w:ascii="宋体" w:hAnsi="宋体" w:cs="宋体"/>
          <w:bCs/>
          <w:color w:val="000000"/>
          <w:sz w:val="24"/>
        </w:rPr>
      </w:pPr>
      <w:r>
        <w:rPr>
          <w:rFonts w:ascii="宋体" w:hAnsi="宋体" w:cs="宋体"/>
          <w:bCs/>
          <w:color w:val="000000"/>
          <w:sz w:val="24"/>
        </w:rPr>
        <w:t>基金的投资组合比例为：本基金</w:t>
      </w:r>
      <w:r>
        <w:rPr>
          <w:rFonts w:hint="eastAsia" w:ascii="宋体" w:hAnsi="宋体" w:cs="宋体"/>
          <w:bCs/>
          <w:color w:val="000000"/>
          <w:sz w:val="24"/>
        </w:rPr>
        <w:t>债券</w:t>
      </w:r>
      <w:r>
        <w:rPr>
          <w:rFonts w:ascii="宋体" w:hAnsi="宋体" w:cs="宋体"/>
          <w:bCs/>
          <w:color w:val="000000"/>
          <w:sz w:val="24"/>
        </w:rPr>
        <w:t>资产的投资比例不低于基金资产的80%</w:t>
      </w:r>
      <w:r>
        <w:rPr>
          <w:rFonts w:hint="eastAsia" w:ascii="宋体" w:hAnsi="宋体" w:cs="宋体"/>
          <w:bCs/>
          <w:color w:val="000000"/>
          <w:sz w:val="24"/>
        </w:rPr>
        <w:t>，</w:t>
      </w:r>
      <w:r>
        <w:rPr>
          <w:rFonts w:ascii="宋体" w:hAnsi="宋体" w:cs="宋体"/>
          <w:bCs/>
          <w:color w:val="000000"/>
          <w:sz w:val="24"/>
        </w:rPr>
        <w:t>其中投资于信用债和可转债的比例合计不低于</w:t>
      </w:r>
      <w:r>
        <w:rPr>
          <w:rFonts w:hint="eastAsia" w:ascii="宋体" w:hAnsi="宋体" w:cs="宋体"/>
          <w:bCs/>
          <w:color w:val="000000"/>
          <w:sz w:val="24"/>
        </w:rPr>
        <w:t>非现金基金</w:t>
      </w:r>
      <w:r>
        <w:rPr>
          <w:rFonts w:ascii="宋体" w:hAnsi="宋体" w:cs="宋体"/>
          <w:bCs/>
          <w:color w:val="000000"/>
          <w:sz w:val="24"/>
        </w:rPr>
        <w:t>资产的80%</w:t>
      </w:r>
      <w:r>
        <w:rPr>
          <w:rFonts w:hint="eastAsia" w:ascii="宋体" w:hAnsi="宋体" w:cs="宋体"/>
          <w:bCs/>
          <w:color w:val="000000"/>
          <w:sz w:val="24"/>
        </w:rPr>
        <w:t>；</w:t>
      </w:r>
      <w:r>
        <w:rPr>
          <w:rFonts w:ascii="宋体" w:hAnsi="宋体" w:cs="宋体"/>
          <w:bCs/>
          <w:color w:val="000000"/>
          <w:sz w:val="24"/>
        </w:rPr>
        <w:t>基金持有的现金以及到期日在1年以内的政府债券不低于基金资产净值的5%</w:t>
      </w:r>
      <w:r>
        <w:rPr>
          <w:rFonts w:hint="eastAsia" w:ascii="宋体" w:hAnsi="宋体" w:cs="宋体"/>
          <w:bCs/>
          <w:color w:val="000000"/>
          <w:sz w:val="24"/>
        </w:rPr>
        <w:t>，其中，现金不包括结算备付金、存出保证金、应收申购款等</w:t>
      </w:r>
      <w:r>
        <w:rPr>
          <w:rFonts w:ascii="宋体" w:hAnsi="宋体" w:cs="宋体"/>
          <w:bCs/>
          <w:color w:val="000000"/>
          <w:sz w:val="24"/>
        </w:rPr>
        <w:t>。</w:t>
      </w:r>
    </w:p>
    <w:p>
      <w:pPr>
        <w:spacing w:line="360" w:lineRule="auto"/>
        <w:ind w:firstLine="480"/>
        <w:rPr>
          <w:rFonts w:ascii="宋体" w:hAnsi="宋体" w:cs="宋体"/>
          <w:bCs/>
          <w:color w:val="000000"/>
          <w:sz w:val="24"/>
        </w:rPr>
      </w:pPr>
      <w:r>
        <w:rPr>
          <w:rFonts w:hint="eastAsia" w:ascii="宋体" w:hAnsi="宋体" w:cs="宋体"/>
          <w:bCs/>
          <w:color w:val="000000"/>
          <w:sz w:val="24"/>
        </w:rPr>
        <w:t>2、基金托管人根据有关法律法规的规定及基金合同的约定对下述基金投融资比例进行监督：</w:t>
      </w:r>
    </w:p>
    <w:p>
      <w:pPr>
        <w:spacing w:line="360" w:lineRule="auto"/>
        <w:ind w:firstLine="480"/>
        <w:rPr>
          <w:rFonts w:ascii="宋体" w:hAnsi="宋体" w:cs="宋体"/>
          <w:bCs/>
          <w:color w:val="000000"/>
          <w:sz w:val="24"/>
        </w:rPr>
      </w:pPr>
      <w:r>
        <w:rPr>
          <w:rFonts w:ascii="宋体" w:hAnsi="宋体" w:cs="宋体"/>
          <w:bCs/>
          <w:color w:val="000000"/>
          <w:sz w:val="24"/>
        </w:rPr>
        <w:t>（1）本基金</w:t>
      </w:r>
      <w:r>
        <w:rPr>
          <w:rFonts w:hint="eastAsia" w:ascii="宋体" w:hAnsi="宋体" w:cs="宋体"/>
          <w:bCs/>
          <w:color w:val="000000"/>
          <w:sz w:val="24"/>
        </w:rPr>
        <w:t>债券</w:t>
      </w:r>
      <w:r>
        <w:rPr>
          <w:rFonts w:ascii="宋体" w:hAnsi="宋体" w:cs="宋体"/>
          <w:bCs/>
          <w:color w:val="000000"/>
          <w:sz w:val="24"/>
        </w:rPr>
        <w:t>资产的投资比例不低于基金资产的80%</w:t>
      </w:r>
      <w:r>
        <w:rPr>
          <w:rFonts w:hint="eastAsia" w:ascii="宋体" w:hAnsi="宋体" w:cs="宋体"/>
          <w:bCs/>
          <w:color w:val="000000"/>
          <w:sz w:val="24"/>
        </w:rPr>
        <w:t>，</w:t>
      </w:r>
      <w:r>
        <w:rPr>
          <w:rFonts w:ascii="宋体" w:hAnsi="宋体" w:cs="宋体"/>
          <w:bCs/>
          <w:color w:val="000000"/>
          <w:sz w:val="24"/>
        </w:rPr>
        <w:t>其中投资于信用债和可转债的比例合计不低于</w:t>
      </w:r>
      <w:r>
        <w:rPr>
          <w:rFonts w:hint="eastAsia" w:ascii="宋体" w:hAnsi="宋体" w:cs="宋体"/>
          <w:bCs/>
          <w:color w:val="000000"/>
          <w:sz w:val="24"/>
        </w:rPr>
        <w:t>非现金基金</w:t>
      </w:r>
      <w:r>
        <w:rPr>
          <w:rFonts w:ascii="宋体" w:hAnsi="宋体" w:cs="宋体"/>
          <w:bCs/>
          <w:color w:val="000000"/>
          <w:sz w:val="24"/>
        </w:rPr>
        <w:t>资产的80%；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2</w:t>
      </w:r>
      <w:r>
        <w:rPr>
          <w:rFonts w:ascii="宋体" w:hAnsi="宋体" w:cs="宋体"/>
          <w:bCs/>
          <w:color w:val="000000"/>
          <w:sz w:val="24"/>
        </w:rPr>
        <w:t>）保持不低于基金资产净值5％的现金或者到期日在一年以内的政府债券</w:t>
      </w:r>
      <w:r>
        <w:rPr>
          <w:rFonts w:hint="eastAsia" w:ascii="宋体" w:hAnsi="宋体" w:cs="宋体"/>
          <w:bCs/>
          <w:color w:val="000000"/>
          <w:sz w:val="24"/>
        </w:rPr>
        <w:t>，其中，现金不包括结算备付金、存出保证金、应收申购款等</w:t>
      </w:r>
      <w:r>
        <w:rPr>
          <w:rFonts w:ascii="宋体" w:hAnsi="宋体" w:cs="宋体"/>
          <w:bCs/>
          <w:color w:val="000000"/>
          <w:sz w:val="24"/>
        </w:rPr>
        <w:t>；</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3</w:t>
      </w:r>
      <w:r>
        <w:rPr>
          <w:rFonts w:ascii="宋体" w:hAnsi="宋体" w:cs="宋体"/>
          <w:bCs/>
          <w:color w:val="000000"/>
          <w:sz w:val="24"/>
        </w:rPr>
        <w:t>）本基金持有一家上市公司的股票，其市值不超过基金资产净值的10％；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4</w:t>
      </w:r>
      <w:r>
        <w:rPr>
          <w:rFonts w:ascii="宋体" w:hAnsi="宋体" w:cs="宋体"/>
          <w:bCs/>
          <w:color w:val="000000"/>
          <w:sz w:val="24"/>
        </w:rPr>
        <w:t>）本基金管理人管理的全部基金持有一家公司发行的证券，不超过该证券的10％；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5</w:t>
      </w:r>
      <w:r>
        <w:rPr>
          <w:rFonts w:ascii="宋体" w:hAnsi="宋体" w:cs="宋体"/>
          <w:bCs/>
          <w:color w:val="000000"/>
          <w:sz w:val="24"/>
        </w:rPr>
        <w:t>）本基金持有的全部权证，其市值不得超过基金资产净值的3％；</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6</w:t>
      </w:r>
      <w:r>
        <w:rPr>
          <w:rFonts w:ascii="宋体" w:hAnsi="宋体" w:cs="宋体"/>
          <w:bCs/>
          <w:color w:val="000000"/>
          <w:sz w:val="24"/>
        </w:rPr>
        <w:t>）本基金管理人管理的全部基金持有的同一权证，不得超过该权证的10％；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7</w:t>
      </w:r>
      <w:r>
        <w:rPr>
          <w:rFonts w:ascii="宋体" w:hAnsi="宋体" w:cs="宋体"/>
          <w:bCs/>
          <w:color w:val="000000"/>
          <w:sz w:val="24"/>
        </w:rPr>
        <w:t>）本基金在任何交易日买入权证的总金额，不得超过上一交易日基金资产净值的0.5％；</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8</w:t>
      </w:r>
      <w:r>
        <w:rPr>
          <w:rFonts w:ascii="宋体" w:hAnsi="宋体" w:cs="宋体"/>
          <w:bCs/>
          <w:color w:val="000000"/>
          <w:sz w:val="24"/>
        </w:rPr>
        <w:t>）本基金投资于同一原始权益人的各类资产支持证券的比例，不得超过基金资产净值的10％；</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9</w:t>
      </w:r>
      <w:r>
        <w:rPr>
          <w:rFonts w:ascii="宋体" w:hAnsi="宋体" w:cs="宋体"/>
          <w:bCs/>
          <w:color w:val="000000"/>
          <w:sz w:val="24"/>
        </w:rPr>
        <w:t>）本基金持有的全部资产支持证券，其市值不得超过基金资产净值的20％；</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0</w:t>
      </w:r>
      <w:r>
        <w:rPr>
          <w:rFonts w:ascii="宋体" w:hAnsi="宋体" w:cs="宋体"/>
          <w:bCs/>
          <w:color w:val="000000"/>
          <w:sz w:val="24"/>
        </w:rPr>
        <w:t>）本基金持有的同一(指同一信用级别)资产支持证券的比例，不得超过该资产支持证券规模的10％；</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1</w:t>
      </w:r>
      <w:r>
        <w:rPr>
          <w:rFonts w:ascii="宋体" w:hAnsi="宋体" w:cs="宋体"/>
          <w:bCs/>
          <w:color w:val="000000"/>
          <w:sz w:val="24"/>
        </w:rPr>
        <w:t>）本基金管理人管理的全部基金投资于同一原始权益人的各类资产支持证券，不得超过其各类资产支持证券合计规模的10％；</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2</w:t>
      </w:r>
      <w:r>
        <w:rPr>
          <w:rFonts w:ascii="宋体" w:hAnsi="宋体" w:cs="宋体"/>
          <w:bCs/>
          <w:color w:val="000000"/>
          <w:sz w:val="24"/>
        </w:rPr>
        <w:t>）本基金应投资于信用级别评级为BBB以上(含BBB)的资产支持证券。基金持有资产支持证券期间，如果其信用等级下降、不再符合投资标准，应在评级报告发布之日起3个月内予以全部卖出；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3</w:t>
      </w:r>
      <w:r>
        <w:rPr>
          <w:rFonts w:ascii="宋体" w:hAnsi="宋体" w:cs="宋体"/>
          <w:bCs/>
          <w:color w:val="000000"/>
          <w:sz w:val="24"/>
        </w:rPr>
        <w:t>）基金财产参与股票发行申购，本基金所申报的金额不超过本基金的总资产，本基金所申报的股票数量不超过拟发行股票公司本次发行股票的总量；</w:t>
      </w: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4</w:t>
      </w:r>
      <w:r>
        <w:rPr>
          <w:rFonts w:ascii="宋体" w:hAnsi="宋体" w:cs="宋体"/>
          <w:bCs/>
          <w:color w:val="000000"/>
          <w:sz w:val="24"/>
        </w:rPr>
        <w:t>）本基金进入全国银行间同业市场进行债券回购的资金余额不得超过基金资产净值的40%；</w:t>
      </w:r>
    </w:p>
    <w:p>
      <w:pPr>
        <w:spacing w:line="360" w:lineRule="auto"/>
        <w:ind w:firstLine="480"/>
        <w:rPr>
          <w:rFonts w:hint="eastAsia"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5</w:t>
      </w:r>
      <w:r>
        <w:rPr>
          <w:rFonts w:ascii="宋体" w:hAnsi="宋体" w:cs="宋体"/>
          <w:bCs/>
          <w:color w:val="000000"/>
          <w:sz w:val="24"/>
        </w:rPr>
        <w:t>）</w:t>
      </w:r>
      <w:r>
        <w:rPr>
          <w:rFonts w:hint="eastAsia" w:ascii="宋体" w:hAnsi="宋体" w:cs="宋体"/>
          <w:bCs/>
          <w:color w:val="000000"/>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16）本基金主动投资于流动性受限资产的市值合计不得超过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（17）本基金与私募类证券资管产品及中国证监会认定的其他主体为交易对手开展逆回购交易的，可接受质押品的资质要求应当与基金合同约定的投资范围保持一致；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（18）法律法规及中国证监会规定的和《基金合同》约定的其他投资限制。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如果法律法规对基金合同约定投资组合比例限制进行变更的，以变更后的规定为准。法律法规或监管部门取消上述限制，如适用于本基金，则本基金投资不再受相关限制。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除上述第（2）、（12）、（16）、（17）项外，因证券市场波动、上市公司合并、基金规模变动、股权分置改革中支付对价等基金管理人之外的因素致使基金投资比例不符合上述规定投资比例的，基金管理人应当在10个交易日内进行调整，以达到规定的投资比例限制要求。法律法规另有规定的，从其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基金管理人应当自基金合同生效之日起6个月内使基金的投资组合比例符合基金合同的有关约定。基金托管人对基金投资的监督与检查自基金合同生效之日起开始。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3、基金托管人根据有关法律法规的规定及基金合同的约定对下述基金投资禁止行为进行监督： </w:t>
      </w:r>
    </w:p>
    <w:p>
      <w:pPr>
        <w:spacing w:line="360" w:lineRule="auto"/>
        <w:ind w:firstLine="480"/>
        <w:rPr>
          <w:rFonts w:ascii="宋体" w:hAnsi="宋体" w:cs="宋体"/>
          <w:bCs/>
          <w:color w:val="000000"/>
          <w:sz w:val="24"/>
        </w:rPr>
      </w:pPr>
      <w:r>
        <w:rPr>
          <w:rFonts w:hint="eastAsia" w:ascii="宋体" w:hAnsi="宋体" w:cs="宋体"/>
          <w:bCs/>
          <w:color w:val="000000"/>
          <w:sz w:val="24"/>
        </w:rPr>
        <w:t>根据法律法规的规定及基金合同的约定，本基金禁止从事下列行为：</w:t>
      </w:r>
    </w:p>
    <w:p>
      <w:pPr>
        <w:spacing w:line="360" w:lineRule="auto"/>
        <w:ind w:firstLine="480"/>
        <w:rPr>
          <w:rFonts w:ascii="宋体" w:hAnsi="宋体" w:cs="宋体"/>
          <w:bCs/>
          <w:color w:val="000000"/>
          <w:sz w:val="24"/>
        </w:rPr>
      </w:pPr>
      <w:r>
        <w:rPr>
          <w:rFonts w:ascii="宋体" w:hAnsi="宋体" w:cs="宋体"/>
          <w:bCs/>
          <w:color w:val="000000"/>
          <w:sz w:val="24"/>
        </w:rPr>
        <w:t>（1）承销证券；</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2</w:t>
      </w:r>
      <w:r>
        <w:rPr>
          <w:rFonts w:ascii="宋体" w:hAnsi="宋体" w:cs="宋体"/>
          <w:bCs/>
          <w:color w:val="000000"/>
          <w:sz w:val="24"/>
        </w:rPr>
        <w:t>）向他人贷款或者提供担保；</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3</w:t>
      </w:r>
      <w:r>
        <w:rPr>
          <w:rFonts w:ascii="宋体" w:hAnsi="宋体" w:cs="宋体"/>
          <w:bCs/>
          <w:color w:val="000000"/>
          <w:sz w:val="24"/>
        </w:rPr>
        <w:t>）从事承担无限责任的投资；</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4</w:t>
      </w:r>
      <w:r>
        <w:rPr>
          <w:rFonts w:ascii="宋体" w:hAnsi="宋体" w:cs="宋体"/>
          <w:bCs/>
          <w:color w:val="000000"/>
          <w:sz w:val="24"/>
        </w:rPr>
        <w:t>）买卖其他基金份额，但是国务院另有规定的除外；</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5</w:t>
      </w:r>
      <w:r>
        <w:rPr>
          <w:rFonts w:ascii="宋体" w:hAnsi="宋体" w:cs="宋体"/>
          <w:bCs/>
          <w:color w:val="000000"/>
          <w:sz w:val="24"/>
        </w:rPr>
        <w:t>）向其基金管理人、基金托管人出资或者买卖其基金管理人、基金托管人发行的股票或者债券；</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6</w:t>
      </w:r>
      <w:r>
        <w:rPr>
          <w:rFonts w:ascii="宋体" w:hAnsi="宋体" w:cs="宋体"/>
          <w:bCs/>
          <w:color w:val="000000"/>
          <w:sz w:val="24"/>
        </w:rPr>
        <w:t>）买卖与其基金管理人、基金托管人有控股关系的股东或者与其基金管理人、基金托管人有其他重大利害关系的公司发行的证券或者承销期内承销的证券；</w:t>
      </w:r>
    </w:p>
    <w:p>
      <w:pPr>
        <w:spacing w:line="360" w:lineRule="auto"/>
        <w:ind w:firstLine="480"/>
        <w:rPr>
          <w:rFonts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7</w:t>
      </w:r>
      <w:r>
        <w:rPr>
          <w:rFonts w:ascii="宋体" w:hAnsi="宋体" w:cs="宋体"/>
          <w:bCs/>
          <w:color w:val="000000"/>
          <w:sz w:val="24"/>
        </w:rPr>
        <w:t>）从事内幕交易、操纵证券交易价格及其他不正当的证券交易活动；</w:t>
      </w:r>
    </w:p>
    <w:p>
      <w:pPr>
        <w:spacing w:line="360" w:lineRule="auto"/>
        <w:ind w:firstLine="480"/>
        <w:rPr>
          <w:rFonts w:hint="eastAsia" w:ascii="宋体" w:hAnsi="宋体" w:cs="宋体"/>
          <w:bCs/>
          <w:color w:val="000000"/>
          <w:sz w:val="24"/>
        </w:rPr>
      </w:pPr>
      <w:r>
        <w:rPr>
          <w:rFonts w:ascii="宋体" w:hAnsi="宋体" w:cs="宋体"/>
          <w:bCs/>
          <w:color w:val="000000"/>
          <w:sz w:val="24"/>
        </w:rPr>
        <w:t>（</w:t>
      </w:r>
      <w:r>
        <w:rPr>
          <w:rFonts w:hint="eastAsia" w:ascii="宋体" w:hAnsi="宋体" w:cs="宋体"/>
          <w:bCs/>
          <w:color w:val="000000"/>
          <w:sz w:val="24"/>
        </w:rPr>
        <w:t>8</w:t>
      </w:r>
      <w:r>
        <w:rPr>
          <w:rFonts w:ascii="宋体" w:hAnsi="宋体" w:cs="宋体"/>
          <w:bCs/>
          <w:color w:val="000000"/>
          <w:sz w:val="24"/>
        </w:rPr>
        <w:t>）依照法律法规有关规定，由中国证监会规定禁止的其他活动</w:t>
      </w:r>
      <w:r>
        <w:rPr>
          <w:rFonts w:hint="eastAsia"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对上述事项，法律法规另有规定时从其规定。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4、基金托管人依据有关法律法规的规定和基金合同的约定对于基金关联投资限制进行监督。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根据法律法规有关基金禁止从事的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5、基金托管人依据有关法律法规的规定和基金合同的约定对基金管理人参与银行间债券市场进行监督。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（1）基金托管人依据有关法律法规的规定和基金合同的约定对于基金管理人参与银行间债券市场交易时面临的交易对手资信风险进行监督。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（2）基金托管人对于基金管理人参与银行间债券市场交易的交易方式的控制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 xml:space="preserve"> 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（3）基金管理人有责任控制交易对手的资信风险</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6、基金托管人对基金投资流通受限证券的监督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投资流通受限证券，应遵守《关于基金投资非公开发行股票等流通受限证券有关问题的通知》等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7、基金托管人对基金投资中期票据的监督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（2）如未来有关监管部门发布的法律法规对证券投资基金投资中期票据另有规定的，从其规定。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 督促基金管理人改正。如果基金管理人违规事项未能在限期内纠正的，基金托管人应报告中国证监会。如果基金托管人未能切实履行监督职责，导致基金出现风险，基金托管人应承担连带责任。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8、基金托管人根据有关法律法规的规定及基金合同的约定，对基金管理人选择存款银行进行监督。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本基金投资银行存款应符合如下规定：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（1）基金管理人、基金托管人应当与存款银行建立定期对账机制，确保基金银行存款业务账目及核算的真实、准确。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（3）基金托管人应加强对基金银行存款业务的监督与核查，严格审查、复核相关协议、账户资料、投资指令、存款证实书等有关文件，切实履行托管职责。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（4）基金管理人与基金托管人在开展基金存款业务时，应严格遵守《基金法》、《运作办法》等有关法律法规，以及国家有关账户管理、利率管理、支付结算等的各项规定。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两个工作日将新名单发送给基金托管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在限期内，基金托管人有权随时对通知事项进行复查，督促基金管理人改正。基金管理人对基金托管人通知的违规事项未能在限期内纠正的，基金托管人应报告中国证监会。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基金托管人发现基金管理人的投资指令违反关法律法规规定或者违反基金合同约定的，应当拒绝执行，立即通知基金管理人。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基金托管人发现基金管理人有重大违规行为，应立即报告中国证监会，同时通知基金管理人限期纠正。</w:t>
      </w:r>
    </w:p>
    <w:p>
      <w:pPr>
        <w:spacing w:line="360" w:lineRule="auto"/>
        <w:ind w:firstLine="480"/>
        <w:rPr>
          <w:rFonts w:ascii="宋体" w:hAnsi="宋体" w:cs="宋体"/>
          <w:bCs/>
          <w:color w:val="000000"/>
          <w:sz w:val="24"/>
        </w:rPr>
      </w:pPr>
      <w:r>
        <w:rPr>
          <w:rFonts w:hint="eastAsia" w:ascii="宋体" w:hAnsi="宋体" w:cs="宋体"/>
          <w:bCs/>
          <w:color w:val="000000"/>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pPr>
        <w:spacing w:line="360" w:lineRule="auto"/>
        <w:ind w:firstLine="480"/>
        <w:rPr>
          <w:rFonts w:hint="eastAsia" w:ascii="宋体" w:hAnsi="宋体" w:cs="宋体"/>
          <w:bCs/>
          <w:color w:val="000000"/>
          <w:sz w:val="24"/>
        </w:rPr>
      </w:pPr>
      <w:r>
        <w:rPr>
          <w:rFonts w:ascii="宋体" w:hAnsi="宋体" w:cs="宋体"/>
          <w:bCs/>
          <w:color w:val="000000"/>
          <w:sz w:val="24"/>
        </w:rPr>
        <w:t>三、基金管理人对基金托管人的业务核查</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对基金托管人履行托管职责情况进行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基金管理人发现基金托管人有重大违规行为，应立即报告中国证监会和银行业监督管理机构，同时通知基金托管人限期纠正。</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基金托管人应积极配合基金管理人的核查行为，包括但不限于：提交相关资料以供基金管理人核查托管财产的完整性和真实性，在规定时间内答复基金管理人并改正。</w:t>
      </w:r>
    </w:p>
    <w:p>
      <w:pPr>
        <w:spacing w:line="360" w:lineRule="auto"/>
        <w:ind w:firstLine="480"/>
        <w:rPr>
          <w:rFonts w:ascii="宋体" w:hAnsi="宋体" w:cs="宋体"/>
          <w:bCs/>
          <w:color w:val="000000"/>
          <w:sz w:val="24"/>
        </w:rPr>
      </w:pPr>
      <w:r>
        <w:rPr>
          <w:rFonts w:hint="eastAsia" w:ascii="宋体" w:hAnsi="宋体" w:cs="宋体"/>
          <w:bCs/>
          <w:color w:val="00000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pPr>
        <w:spacing w:line="360" w:lineRule="auto"/>
        <w:ind w:firstLine="480"/>
        <w:rPr>
          <w:rFonts w:hint="eastAsia" w:ascii="宋体" w:hAnsi="宋体" w:cs="宋体"/>
          <w:bCs/>
          <w:color w:val="000000"/>
          <w:sz w:val="24"/>
        </w:rPr>
      </w:pPr>
      <w:r>
        <w:rPr>
          <w:rFonts w:ascii="宋体" w:hAnsi="宋体" w:cs="宋体"/>
          <w:bCs/>
          <w:color w:val="000000"/>
          <w:sz w:val="24"/>
        </w:rPr>
        <w:t>四、基金财产的保管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（一）基金财产保管的原则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1、基金财产应独立于基金管理人、基金托管人的固有财产。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2、基金托管人应安全保管基金财产。除依据法律法规规定、基金合同和本托管协议约定及基金管理人的正当指令外，不得自行运用、处分、分配基金的任何财产。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3、基金托管人按照规定开设基金财产的资金账户和证券账户。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4、基金托管人对所托管的不同基金财产分别设置账户，与基金托管人的其他业务和其他基金的托管业务实行严格的分账管理，确保基金财产的完整与独立。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5、基金托管人根据基金管理人的指令，按照基金合同和本协议的约定保管基金财产，如有特殊情况双方可另行协商解决。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6、除依据法律法规和基金合同的规定外，基金托管人不得委托第三人托管基金资产。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（二）募集资金的验资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基金募集期间募集的资金应存于基金管理人在基金托管人的营业机构开立的</w:t>
      </w:r>
      <w:r>
        <w:rPr>
          <w:rFonts w:ascii="宋体" w:hAnsi="宋体" w:cs="宋体"/>
          <w:bCs/>
          <w:color w:val="000000"/>
          <w:sz w:val="24"/>
        </w:rPr>
        <w:t>“</w:t>
      </w:r>
      <w:r>
        <w:rPr>
          <w:rFonts w:hint="eastAsia" w:ascii="宋体" w:hAnsi="宋体" w:cs="宋体"/>
          <w:bCs/>
          <w:color w:val="000000"/>
          <w:sz w:val="24"/>
        </w:rPr>
        <w:t>基金募集专户</w:t>
      </w:r>
      <w:r>
        <w:rPr>
          <w:rFonts w:ascii="宋体" w:hAnsi="宋体" w:cs="宋体"/>
          <w:bCs/>
          <w:color w:val="000000"/>
          <w:sz w:val="24"/>
        </w:rPr>
        <w:t>”</w:t>
      </w:r>
      <w:r>
        <w:rPr>
          <w:rFonts w:hint="eastAsia" w:ascii="宋体" w:hAnsi="宋体" w:cs="宋体"/>
          <w:bCs/>
          <w:color w:val="000000"/>
          <w:sz w:val="24"/>
        </w:rPr>
        <w:t>，该账户由基金管理人委托的注册登记机构开立并管理。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若基金募集期限届满，未能达到基金备案条件，由基金管理人按规定办理退款事宜。</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（三）基金的银行账户的开立和管理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1、基金托管人以本基金的名义在其营业机构开立基金的银行账户，并根据基金管理人合法合规的指令办理资金收付。本基金的银行预留印鉴由基金托管人刻制、保管和使用。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2、基金银行账户的开立和使用，限于满足开展本基金业务的需要。基金托管人和基金管理人不得假借本基金的名义开立任何其他银行账户；亦不得使用基金的任何账户进行本基金业务以外的活动。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3、基金银行账户的开立和管理应符合有关法律法规以及银行业监督管理机构的有关规定。</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（四）基金证券账户与证券交易资金账户的开设和管理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基金托管人以基金托管人和本基金联名的方式在中国证券登记结算有限责任公司上海分公司/深圳分公司开设证券账户。</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基金托管人以基金托管人的名义在中国证券登记结算有限责任公司上海分公司/深圳分公司开立基金证券交易资金账户，用于证券清算。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（五）债券托管账户的开立和管理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匹配及资金的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2、基金管理人和基金托管人应一起负责为基金对外签订全国银行间国债市场回购主协议，正本由基金托管人保管，基金管理人保存副本。</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（六）其他账户的开设和管理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（七）基金财产投资的有关实物证券、银行定期存款存单等有价凭证的保管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（八）与基金财产有关的重大合同的保管</w:t>
      </w:r>
    </w:p>
    <w:p>
      <w:pPr>
        <w:spacing w:line="360" w:lineRule="auto"/>
        <w:ind w:firstLine="480"/>
        <w:rPr>
          <w:rFonts w:ascii="宋体" w:hAnsi="宋体" w:cs="宋体"/>
          <w:bCs/>
          <w:color w:val="000000"/>
          <w:sz w:val="24"/>
        </w:rPr>
      </w:pPr>
      <w:r>
        <w:rPr>
          <w:rFonts w:hint="eastAsia" w:ascii="宋体" w:hAnsi="宋体" w:cs="宋体"/>
          <w:bCs/>
          <w:color w:val="000000"/>
          <w:sz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w:t>
      </w:r>
    </w:p>
    <w:p>
      <w:pPr>
        <w:spacing w:line="360" w:lineRule="auto"/>
        <w:ind w:firstLine="480"/>
        <w:rPr>
          <w:rFonts w:hint="eastAsia" w:ascii="宋体" w:hAnsi="宋体" w:cs="宋体"/>
          <w:bCs/>
          <w:color w:val="000000"/>
          <w:sz w:val="24"/>
        </w:rPr>
      </w:pPr>
      <w:r>
        <w:rPr>
          <w:rFonts w:ascii="宋体" w:hAnsi="宋体" w:cs="宋体"/>
          <w:bCs/>
          <w:color w:val="000000"/>
          <w:sz w:val="24"/>
        </w:rPr>
        <w:t>五、基金资产净值计算和会计核算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（一）基金资产净值的计算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1、基金资产净值的计算、复核的时间和程序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资产净值是指基金资产总值减去负债后的净资产值。基金份额净值是指计算日基金资产净值除以该计算日基金份额总份额后的数值。基金份额净值的计算保留到小数点后3位，小数点后第4位四舍五入，由此产生的误差计入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（二）基金资产估值方法</w:t>
      </w:r>
    </w:p>
    <w:p>
      <w:pPr>
        <w:spacing w:line="360" w:lineRule="auto"/>
        <w:ind w:firstLine="480"/>
        <w:rPr>
          <w:rFonts w:ascii="宋体" w:hAnsi="宋体" w:cs="宋体"/>
          <w:bCs/>
          <w:color w:val="000000"/>
          <w:sz w:val="24"/>
        </w:rPr>
      </w:pPr>
      <w:r>
        <w:rPr>
          <w:rFonts w:hint="eastAsia" w:ascii="宋体" w:hAnsi="宋体" w:cs="宋体"/>
          <w:bCs/>
          <w:color w:val="000000"/>
          <w:sz w:val="24"/>
        </w:rPr>
        <w:t>1、估值对象</w:t>
      </w:r>
    </w:p>
    <w:p>
      <w:pPr>
        <w:spacing w:line="360" w:lineRule="auto"/>
        <w:ind w:firstLine="480"/>
        <w:rPr>
          <w:rFonts w:hint="eastAsia" w:ascii="宋体" w:hAnsi="宋体" w:cs="宋体"/>
          <w:bCs/>
          <w:color w:val="000000"/>
          <w:sz w:val="24"/>
        </w:rPr>
      </w:pPr>
      <w:r>
        <w:rPr>
          <w:rFonts w:ascii="宋体" w:hAnsi="宋体" w:cs="宋体"/>
          <w:bCs/>
          <w:color w:val="000000"/>
          <w:sz w:val="24"/>
        </w:rPr>
        <w:t>基金所拥有的股票、</w:t>
      </w:r>
      <w:r>
        <w:rPr>
          <w:rFonts w:hint="eastAsia" w:ascii="宋体" w:hAnsi="宋体" w:cs="宋体"/>
          <w:bCs/>
          <w:color w:val="000000"/>
          <w:sz w:val="24"/>
        </w:rPr>
        <w:t>权证、</w:t>
      </w:r>
      <w:r>
        <w:rPr>
          <w:rFonts w:ascii="宋体" w:hAnsi="宋体" w:cs="宋体"/>
          <w:bCs/>
          <w:color w:val="000000"/>
          <w:sz w:val="24"/>
        </w:rPr>
        <w:t>债券和银行存款本息、应收款项、其它投资等</w:t>
      </w:r>
      <w:r>
        <w:rPr>
          <w:rFonts w:hint="eastAsia" w:ascii="宋体" w:hAnsi="宋体" w:cs="宋体"/>
          <w:bCs/>
          <w:color w:val="000000"/>
          <w:sz w:val="24"/>
        </w:rPr>
        <w:t>金融</w:t>
      </w:r>
      <w:r>
        <w:rPr>
          <w:rFonts w:ascii="宋体" w:hAnsi="宋体" w:cs="宋体"/>
          <w:bCs/>
          <w:color w:val="000000"/>
          <w:sz w:val="24"/>
        </w:rPr>
        <w:t>资产</w:t>
      </w:r>
      <w:r>
        <w:rPr>
          <w:rFonts w:hint="eastAsia" w:ascii="宋体" w:hAnsi="宋体" w:cs="宋体"/>
          <w:bCs/>
          <w:color w:val="000000"/>
          <w:sz w:val="24"/>
        </w:rPr>
        <w:t>和金融负债</w:t>
      </w:r>
      <w:r>
        <w:rPr>
          <w:rFonts w:ascii="宋体" w:hAnsi="宋体" w:cs="宋体"/>
          <w:bCs/>
          <w:color w:val="000000"/>
          <w:sz w:val="24"/>
        </w:rPr>
        <w:t>。</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2、估值方法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本基金的估值方法为：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（1）证券交易所上市的有价证券的估值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A.交易所上市的有价证券（包括股票、权证等），以其估值日在证券交易所挂牌的市价（收盘价）估值；估值日无交易的，且最近交易日后经济环境未发生重大变化，或证券发行机构未发生影响证券价格的重大事件，以最近交易日的市价（收盘价）估值；如最近交易日后经济环境发生了重大变化的，可参考类似投资品种的现行市价及重大变化因素，调整最近交易市价，确定公允价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D.交易所上市不存在活跃市场的有价证券，采用估值技术确定公允价值。交易所上市的资产支持证券，采用估值技术确定公允价值，在估值技术难以可靠计量公允价值的情况下，按成本估值。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（2）首次公开发行未上市的债券和权证，采用估值技术确定公允价值，在估值技术难以可靠计量公允价值的情况下，按成本估值。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处于未上市期间的有价证券应区分如下情况处理：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A.送股、转增股、配股和公开增发的新股，按估值日在证券交易所挂牌的同一股票的市价（收盘价）估值；该日无交易的，以最近一日的市价（收盘价）估值；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B.首次公开发行未上市的股票、债券和权证，采用估值技术确定公允价值，在估值技术难以可靠计量公允价值的情况下，按成本估值。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C.首次公开发行有明确锁定期的股票，同一股票在交易所上市后，按交易所上市的同一股票的市价（收盘价）估值；非公开发行有明确锁定期的股票，按监管机构或行业协会有关规定确定公允价值。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（3）全国银行间债券市场交易的债券、资产支持证券等固定收益品种，采用估值技术确定公允价值。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（4）同一债券同时在两个或两个以上市场交易的，按债券所处的市场分别估值。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（5）如有确凿证据表明按上述方法进行估值不能客观反映其公允价值的，基金管理人可根据具体情况与基金托管人商定后，按最能反映公允价值的价格估值。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w:t>
      </w:r>
      <w:r>
        <w:rPr>
          <w:rFonts w:ascii="宋体" w:hAnsi="宋体" w:cs="宋体"/>
          <w:bCs/>
          <w:color w:val="000000"/>
          <w:sz w:val="24"/>
        </w:rPr>
        <w:t>其他资产按法律法规或监管机构有关规定进行估值。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（7）相关法律法规以及监管部门有强制规定的，从其规定。如有新增事项，按国家最新规定估值。</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（三）估值差错处理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因基金估值错误给投资人造成损失的应先由基金管理人承担，基金管理人对不应由其承担的责任，有权向过错人追偿。</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pPr>
        <w:spacing w:line="360" w:lineRule="auto"/>
        <w:ind w:firstLine="480"/>
        <w:rPr>
          <w:rFonts w:ascii="宋体" w:hAnsi="宋体" w:cs="宋体"/>
          <w:bCs/>
          <w:color w:val="000000"/>
          <w:sz w:val="24"/>
        </w:rPr>
      </w:pPr>
      <w:r>
        <w:rPr>
          <w:rFonts w:hint="eastAsia" w:ascii="宋体" w:hAnsi="宋体" w:cs="宋体"/>
          <w:bCs/>
          <w:color w:val="000000"/>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pPr>
        <w:spacing w:line="360" w:lineRule="auto"/>
        <w:ind w:firstLine="480"/>
        <w:rPr>
          <w:rFonts w:hint="eastAsia" w:ascii="宋体" w:hAnsi="宋体" w:cs="宋体"/>
          <w:bCs/>
          <w:color w:val="000000"/>
          <w:sz w:val="24"/>
        </w:rPr>
      </w:pPr>
      <w:r>
        <w:rPr>
          <w:rFonts w:ascii="宋体" w:hAnsi="宋体" w:cs="宋体"/>
          <w:bCs/>
          <w:color w:val="000000"/>
          <w:sz w:val="24"/>
        </w:rPr>
        <w:t>由于不可抗力原因，或</w:t>
      </w:r>
      <w:r>
        <w:rPr>
          <w:rFonts w:hint="eastAsia" w:ascii="宋体" w:hAnsi="宋体" w:cs="宋体"/>
          <w:bCs/>
          <w:color w:val="000000"/>
          <w:sz w:val="24"/>
        </w:rPr>
        <w:t>由于证券交易所或登记结算公司发送的数据错误，或国家会计政策变更、市场规则变更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（四）基金账册的建立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（五）基金定期报告的编制和复核</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基金财务报表由基金管理人和基金托管人每月分别独立编制。月度报表的编制，应于每月终了后5个工作日内完成。</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在基金合同生效后每六个月结束之日起45日内，基金管理人对招募说明书进行更新，并将更新后的招募说明书全文登载在网站上，将更新后的招募说明书摘要登载在指定报刊上。基金管理人在每个季度结束之日起15个工作日内完成季度报告编制并公告；在会计年度半年终了后60日内完成半年报告编制并公告；在会计年度结束后90日内完成年度报告编制并公告。</w:t>
      </w:r>
    </w:p>
    <w:p>
      <w:pPr>
        <w:spacing w:line="360" w:lineRule="auto"/>
        <w:ind w:firstLine="480"/>
        <w:rPr>
          <w:rFonts w:hint="eastAsia" w:ascii="宋体" w:hAnsi="宋体" w:cs="宋体"/>
          <w:bCs/>
          <w:color w:val="000000"/>
          <w:sz w:val="24"/>
        </w:rPr>
      </w:pPr>
      <w:bookmarkStart w:id="23" w:name="_DV_C270"/>
      <w:r>
        <w:rPr>
          <w:rFonts w:hint="eastAsia" w:ascii="宋体" w:hAnsi="宋体" w:cs="宋体"/>
          <w:bCs/>
          <w:color w:val="000000"/>
          <w:sz w:val="24"/>
        </w:rPr>
        <w:t>基金管理人应及时完成报表编制，将有关报表提供基金托管人复核；基金托管人应当在收到报告之日起</w:t>
      </w:r>
      <w:r>
        <w:rPr>
          <w:rFonts w:ascii="宋体" w:hAnsi="宋体" w:cs="宋体"/>
          <w:bCs/>
          <w:color w:val="000000"/>
          <w:sz w:val="24"/>
        </w:rPr>
        <w:t>2</w:t>
      </w:r>
      <w:r>
        <w:rPr>
          <w:rFonts w:hint="eastAsia" w:ascii="宋体" w:hAnsi="宋体" w:cs="宋体"/>
          <w:bCs/>
          <w:color w:val="000000"/>
          <w:sz w:val="24"/>
        </w:rPr>
        <w:t>个工作日内完成月度报表的复核；在收到报告之日起</w:t>
      </w:r>
      <w:r>
        <w:rPr>
          <w:rFonts w:ascii="宋体" w:hAnsi="宋体" w:cs="宋体"/>
          <w:bCs/>
          <w:color w:val="000000"/>
          <w:sz w:val="24"/>
        </w:rPr>
        <w:t>7</w:t>
      </w:r>
      <w:r>
        <w:rPr>
          <w:rFonts w:hint="eastAsia" w:ascii="宋体" w:hAnsi="宋体" w:cs="宋体"/>
          <w:bCs/>
          <w:color w:val="000000"/>
          <w:sz w:val="24"/>
        </w:rPr>
        <w:t>个工作日内完成基金季度报告的复核；在收到报告之日起</w:t>
      </w:r>
      <w:r>
        <w:rPr>
          <w:rFonts w:ascii="宋体" w:hAnsi="宋体" w:cs="宋体"/>
          <w:bCs/>
          <w:color w:val="000000"/>
          <w:sz w:val="24"/>
        </w:rPr>
        <w:t>20</w:t>
      </w:r>
      <w:r>
        <w:rPr>
          <w:rFonts w:hint="eastAsia" w:ascii="宋体" w:hAnsi="宋体" w:cs="宋体"/>
          <w:bCs/>
          <w:color w:val="000000"/>
          <w:sz w:val="24"/>
        </w:rPr>
        <w:t>日内完成基金半年度报告的复核；在收到报告之日起</w:t>
      </w:r>
      <w:r>
        <w:rPr>
          <w:rFonts w:ascii="宋体" w:hAnsi="宋体" w:cs="宋体"/>
          <w:bCs/>
          <w:color w:val="000000"/>
          <w:sz w:val="24"/>
        </w:rPr>
        <w:t>30</w:t>
      </w:r>
      <w:r>
        <w:rPr>
          <w:rFonts w:hint="eastAsia" w:ascii="宋体" w:hAnsi="宋体" w:cs="宋体"/>
          <w:bCs/>
          <w:color w:val="000000"/>
          <w:sz w:val="24"/>
        </w:rPr>
        <w:t>日内完成基金年度报告的</w:t>
      </w:r>
      <w:bookmarkEnd w:id="23"/>
      <w:r>
        <w:rPr>
          <w:rFonts w:hint="eastAsia" w:ascii="宋体" w:hAnsi="宋体" w:cs="宋体"/>
          <w:bCs/>
          <w:color w:val="000000"/>
          <w:sz w:val="24"/>
        </w:rPr>
        <w:t>复核。基金托管人在复核过程中，发现双方的报表存在不符时，基金管理人和基金托管人应共同查明原因，进行调整，调整以国家有关规定为准。</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核对无误后，基金托管人在基金管理人提供的报告上加盖业务印鉴或者出具加盖托管业务部门公章的复核意见书，相关各方各自留存一份。</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基金托管人在对财务会计报告、季度、半年度报告或年度报告复核完毕后，需盖章确认或出具相应的复核确认书，以备有权机构对相关文件审核时提示。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基金定期报告应当在公开披露的第2个工作日，分别报中国证监会和基金管理人主要办公场所所在地中国证监会派出机构备案。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（六）暂停估值的情形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1、与本基金投资有关的证券交易场所遇法定节假日或因其他原因暂停营业时；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2、因不可抗力或其他情形致使基金管理人无法准确评估基金资产价值时；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3、占基金相当比例的投资品种的估值出现重大转变，而基金管理人为保障基金份额持有人的利益，决定延迟估值时；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4、出现基金管理人认为属于紧急事故的情况，导致基金管理人不能出售或评估基金资产时；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5、当前一估值日基金资产净值50%以上的资产出现无可参考的活跃市场价格且采用估值技术仍导致公允价值存在重大不确定性时，基金管理人经与基金托管人协商确认后，决定暂停基金估值时；</w:t>
      </w:r>
    </w:p>
    <w:p>
      <w:pPr>
        <w:spacing w:line="360" w:lineRule="auto"/>
        <w:ind w:firstLine="480"/>
        <w:rPr>
          <w:rFonts w:ascii="宋体" w:hAnsi="宋体" w:cs="宋体"/>
          <w:bCs/>
          <w:color w:val="000000"/>
          <w:sz w:val="24"/>
        </w:rPr>
      </w:pPr>
      <w:r>
        <w:rPr>
          <w:rFonts w:hint="eastAsia" w:ascii="宋体" w:hAnsi="宋体" w:cs="宋体"/>
          <w:bCs/>
          <w:color w:val="000000"/>
          <w:sz w:val="24"/>
        </w:rPr>
        <w:t>6、中国证监会认定的其他情形。</w:t>
      </w:r>
    </w:p>
    <w:p>
      <w:pPr>
        <w:spacing w:line="360" w:lineRule="auto"/>
        <w:ind w:firstLine="480"/>
        <w:rPr>
          <w:rFonts w:hint="eastAsia" w:ascii="宋体" w:hAnsi="宋体" w:cs="宋体"/>
          <w:bCs/>
          <w:color w:val="000000"/>
          <w:sz w:val="24"/>
        </w:rPr>
      </w:pPr>
      <w:r>
        <w:rPr>
          <w:rFonts w:ascii="宋体" w:hAnsi="宋体" w:cs="宋体"/>
          <w:bCs/>
          <w:color w:val="000000"/>
          <w:sz w:val="24"/>
        </w:rPr>
        <w:t>六、基金份额持有人名册的保管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基金管理人和基金托管人须分别妥善保管的基金份额持有人名册，基金份额持有人名册的内容必须包括基金份额持有人的名称和持有的基金份额。</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若基金管理人或基金托管人由于自身原因无法妥善保管基金份额持有人名册，应按有关法规规定各自承担相应的责任。</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w:t>
      </w:r>
      <w:r>
        <w:rPr>
          <w:rFonts w:ascii="宋体" w:hAnsi="宋体" w:cs="宋体"/>
          <w:bCs/>
          <w:color w:val="000000"/>
          <w:sz w:val="24"/>
        </w:rPr>
        <w:t>、托管协议的变更</w:t>
      </w:r>
      <w:r>
        <w:rPr>
          <w:rFonts w:hint="eastAsia" w:ascii="宋体" w:hAnsi="宋体" w:cs="宋体"/>
          <w:bCs/>
          <w:color w:val="000000"/>
          <w:sz w:val="24"/>
        </w:rPr>
        <w:t>、</w:t>
      </w:r>
      <w:r>
        <w:rPr>
          <w:rFonts w:ascii="宋体" w:hAnsi="宋体" w:cs="宋体"/>
          <w:bCs/>
          <w:color w:val="000000"/>
          <w:sz w:val="24"/>
        </w:rPr>
        <w:t>终止</w:t>
      </w:r>
      <w:r>
        <w:rPr>
          <w:rFonts w:hint="eastAsia" w:ascii="宋体" w:hAnsi="宋体" w:cs="宋体"/>
          <w:bCs/>
          <w:color w:val="000000"/>
          <w:sz w:val="24"/>
        </w:rPr>
        <w:t>与基金财产的清算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（一）托管协议的变更与终止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1、托管协议的变更程序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本协议双方当事人经协商一致，可以对协议的内容进行变更。变更后的托管协议，其内容不得与基金合同的规定有任何冲突。本托管协议的变更报中国证监会核准或备案后生效。</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2、基金托管协议终止的情形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发生以下情况，本托管协议终止：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（1）基金合同终止；</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（2）基金托管人解散、依法被撤销、破产或由其他基金托管人接管基金资产；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（3）基金管理人解散、依法被撤销、破产或由其他基金管理人接管基金管理权；</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（4）发生法律法规或基金合同规定的终止事项。</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（二）基金财产的清算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1、基金财产清算小组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（1）自出现基金合同终止事由之日起30个工作日内成立清算组，基金管理人组织基金财产清算小组在中国证监会的监督下进行基金清算。</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（2）基金财产清算小组成员由基金管理人、基金托管人、具有从事证券相关业务资格的注册会计师、律师以及中国证监会指定的人员组成。基金财产清算小组可以聘用必要的工作人员。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（3）在基金财产清算过程中，基金管理人和基金托管人应各自履行职责，继续忠实、勤勉、尽责地履行基金合同和本托管协议规定的义务，维护基金份额持有人的合法权益。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（4）基金财产清算小组负责基金财产的保管、清理、估价、变现和分配。基金财产清算小组可以依法进行必要的民事活动。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2、基金财产清算程序</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基金合同终止，应当按法律法规和基金合同的有关规定对基金财产进行清算。基金财产清算程序主要包括：</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（1）基金合同终止情形发生后，由基金财产清算小组统一接管基金财产；</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（2）对基金财产和债权债务进行清理和确认；</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（3）对基金财产进行估值和变现；</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（4）制作清算报告；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（5）聘请会计师事务所对清算报告进行外部审计，聘请律师事务所对清算报告出具法律意见书；</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（6）将清算报告报中国证监会备案并公告；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（7）对基金财产进行分配。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3、清算费用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清算费用是指基金财产清算小组在进行基金财产清算过程中发生的所有合理费用，清算费用由基金财产清算小组优先从基金财产中支付。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4、基金财产按下列顺序清偿：</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（1）支付清算费用；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（2）交纳所欠税款；</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（3）清偿基金债务；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（4）根据基金合同终止日基金份额净值计算基金份额应计分配比例，在此基础上，按基金份额持有人持有的该类别基金份额比例进行分配。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基金财产未按前款（1）－（3）项规定清偿前，不分配给基金份额持有人。</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5、基金财产清算的公告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财产清算公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6、基金财产清算账册及文件的保存</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基金财产清算账册及有关文件由基金托管人保存15年以上。</w:t>
      </w:r>
    </w:p>
    <w:p>
      <w:pPr>
        <w:spacing w:line="360" w:lineRule="auto"/>
        <w:ind w:firstLine="480"/>
        <w:rPr>
          <w:rFonts w:hint="eastAsia" w:ascii="宋体" w:hAnsi="宋体" w:cs="宋体"/>
          <w:bCs/>
          <w:color w:val="000000"/>
          <w:sz w:val="24"/>
        </w:rPr>
      </w:pPr>
    </w:p>
    <w:p>
      <w:pPr>
        <w:pStyle w:val="2"/>
        <w:pageBreakBefore/>
        <w:spacing w:before="0" w:after="0"/>
        <w:jc w:val="center"/>
        <w:rPr>
          <w:rFonts w:hint="eastAsia" w:cs="宋体"/>
          <w:bCs/>
        </w:rPr>
      </w:pPr>
      <w:bookmarkStart w:id="24" w:name="_Toc521587233"/>
      <w:r>
        <w:rPr>
          <w:rFonts w:hint="eastAsia" w:ascii="Times New Roman" w:hAnsi="Times New Roman"/>
          <w:color w:val="auto"/>
          <w:sz w:val="30"/>
        </w:rPr>
        <w:t>第二十一部分 对基金份额持有人的服务</w:t>
      </w:r>
      <w:bookmarkEnd w:id="24"/>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基金管理人秉承“持有人利益重于泰山”的经营宗旨，不断完善客户服务体系。公司承诺为客户提供以下服务，并将随着业务发展和客户需求的变化，积极增加服务内容，努力提高服务品质，为客户提供专业、便捷、周到的全方位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一、客户服务电话：400-81-95533（免长途通话费用）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1、自助语音服务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客户服务中心提供每周7天，每天24小时的自动语音服务，内容包括：基金净值查询、账户信息查询、公司信息查询、基金信息查询等。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2、人工咨询服务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客户服务中心提供每周一至每周五，上午9：00～17：00的人工电话咨询服务。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3、客户留言服务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投资者可通过客户留言服务将其疑问、建议及联系方式告知公司客服中心，客服中心将在两个工作日内给予回复。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二、订制对账单服务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者可以通过本公司客户服务电话、电子邮箱、传真、信件等方式订制对账单服务。本公司在准确获得投资者邮寄地址、手机号码及电子邮箱的前提下，将为已订制账单服务的投资者提供电子邮件、短信和纸质对账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1、电子邮件对账单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电子对账单是通过电子邮件向基金份额持有人提供交易对账的一种电子化的账单形式。电子对账单的内容包括但不限于：期末基金余额、期末份额市值、期间交易明细、分红信息等。我公司在每月度结束后10个工作日内向每位预留了有效电子邮箱并成功订制电子对账单服务的持有人发送电子对账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2、短信对账单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短信对账单是通过手机短信向基金份额持有人提供份额对账的一种电子化的账单形式。短信对账单的内容包括但不限于：期末基金余额、期末份额市值等。我公司在每月度结束后10个工作日内向每位预留了有效手机号码并成功定制短信对账单服务的持有人发送短信对账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3、纸质对账单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如投资者因特殊原因需要获取指定期间的纸质对账单，可拨打本公司客服热线400-81-95533（免长途话费）按"0"转人工服务，提供姓名、开户证件号码或基金账号、邮寄地址、邮政编码、联系电话，客服人员核对信息无误后，将15个工作日内为投资者免费邮寄纸质对账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三、网站服务（www.ccbfund.cn）</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1、信息查询：客户可通过网站查询基金净值、产品信息、建信资讯、公司动态及相关信息等。</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2、账户查询：投资者可通过网上“账户查询”服务查询账户信息，查询内容包括份额查询、交易查询、分红查询、分红方式查询等；同时投资者还可通过“账户查询修改”、“查询密码修改”自助修改基本信息及查询密码。</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3、投资流程：直销客户可了解直销柜台办理各项业务的具体流程。</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4、单据下载：直销客户可方便快捷的下载各类直销表单。</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5、销售网点：客户可全面了解基金的销售网点信息。</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6、常见问题：汇集了客户经常咨询的一些热点问题，帮助客户更好的了解基金基础知识及相关业务规则。</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7、客户留言：通过网上客户留言服务，可将投资者的疑问、建议及联系方式告知客服中心，客服中心将在两个工作日内给予回复。</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四、短信服务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若投资者准确完整的预留了手机号码（小灵通用户除外），可获得免费手机短信服务，包括产品信息、基金分红提示、公司最新公告等。未预留手机号码的投资者可拨打客服电话或登陆公司网站添加后定制此项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五、电子邮件服务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若投资者准确完整的预留了电子邮箱地址，可获得免费电子邮件服务，包括产品信息、公司最新公告等。未预留电子邮箱地址的投资者可拨打客服电话或登录公司网站添加后订制此项服务。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六、微信服务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我公司通过官方微信即时通讯服务平台为投资者提供理财资讯及基金信息查询等服务。投资者可在微信中搜索“建信基金”或者“ccbfund”添加关注。</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投资者通过公司官方微信可查询基金净值、产品信息、分红信息、理财资讯等内容。已开立建信基金账户的投资者，将微信账号与基金账号绑定后可查询基金份额、交易明细等信息。</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七、密码解锁/重置服务</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为保证投资者账户信息安全，当拨打客服电话或登陆公司网站查询个人账户信息，输入查询密码错误累计达6次账户即被锁定。此时可致电客服电话转人工办理查询密码的解锁或重置。</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八、客户建议、投诉处理</w:t>
      </w:r>
    </w:p>
    <w:p>
      <w:pPr>
        <w:spacing w:line="360" w:lineRule="auto"/>
        <w:ind w:firstLine="480"/>
        <w:rPr>
          <w:rFonts w:hint="eastAsia"/>
          <w:sz w:val="30"/>
        </w:rPr>
      </w:pPr>
      <w:r>
        <w:rPr>
          <w:rFonts w:hint="eastAsia" w:ascii="宋体" w:hAnsi="宋体" w:cs="宋体"/>
          <w:bCs/>
          <w:color w:val="000000"/>
          <w:sz w:val="24"/>
        </w:rPr>
        <w:t>投资者可以通过网站客户留言、客服中心自动语音留言、客服中心人工坐席、书信、传真等多种方式对基金管理人提出建议或投诉，客服中心将在两个工作日内给予回复。</w:t>
      </w:r>
    </w:p>
    <w:p>
      <w:pPr>
        <w:pStyle w:val="2"/>
        <w:pageBreakBefore/>
        <w:spacing w:before="0" w:after="0"/>
        <w:jc w:val="center"/>
        <w:rPr>
          <w:rFonts w:hint="eastAsia" w:cs="宋体"/>
          <w:bCs/>
        </w:rPr>
      </w:pPr>
      <w:bookmarkStart w:id="25" w:name="_Toc521587234"/>
      <w:r>
        <w:rPr>
          <w:rFonts w:hint="eastAsia" w:ascii="Times New Roman" w:hAnsi="Times New Roman"/>
          <w:color w:val="auto"/>
          <w:sz w:val="30"/>
        </w:rPr>
        <w:t>第二十二部分 其他应披露事项</w:t>
      </w:r>
      <w:bookmarkEnd w:id="25"/>
    </w:p>
    <w:p>
      <w:pPr>
        <w:spacing w:line="360" w:lineRule="auto"/>
        <w:ind w:firstLine="480"/>
        <w:rPr>
          <w:rFonts w:hint="eastAsia" w:ascii="宋体" w:hAnsi="宋体" w:cs="宋体"/>
          <w:bCs/>
          <w:color w:val="000000"/>
          <w:sz w:val="24"/>
        </w:rPr>
      </w:pPr>
    </w:p>
    <w:p>
      <w:pPr>
        <w:spacing w:line="360" w:lineRule="auto"/>
        <w:ind w:firstLine="480"/>
        <w:rPr>
          <w:rFonts w:ascii="宋体" w:hAnsi="宋体"/>
          <w:b/>
          <w:sz w:val="24"/>
        </w:rPr>
      </w:pPr>
      <w:r>
        <w:rPr>
          <w:rFonts w:hint="eastAsia" w:ascii="宋体" w:hAnsi="宋体"/>
          <w:sz w:val="24"/>
        </w:rPr>
        <w:t>自2019年1月25日至2019年7月24日，本基金的临时公告刊登于《中国证券报》、《上海证券报》、《证券时报》和基金管理人网站www.ccbfund.cn。</w:t>
      </w:r>
    </w:p>
    <w:tbl>
      <w:tblPr>
        <w:tblStyle w:val="26"/>
        <w:tblW w:w="7807" w:type="dxa"/>
        <w:jc w:val="center"/>
        <w:tblInd w:w="108" w:type="dxa"/>
        <w:tblLayout w:type="fixed"/>
        <w:tblCellMar>
          <w:top w:w="0" w:type="dxa"/>
          <w:left w:w="108" w:type="dxa"/>
          <w:bottom w:w="0" w:type="dxa"/>
          <w:right w:w="108" w:type="dxa"/>
        </w:tblCellMar>
      </w:tblPr>
      <w:tblGrid>
        <w:gridCol w:w="851"/>
        <w:gridCol w:w="3402"/>
        <w:gridCol w:w="1701"/>
        <w:gridCol w:w="1853"/>
      </w:tblGrid>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szCs w:val="21"/>
              </w:rPr>
            </w:pPr>
            <w:r>
              <w:rPr>
                <w:rFonts w:ascii="宋体" w:hAnsi="宋体" w:cs="宋体"/>
                <w:szCs w:val="21"/>
              </w:rPr>
              <w:t>序号</w:t>
            </w:r>
          </w:p>
        </w:tc>
        <w:tc>
          <w:tcPr>
            <w:tcW w:w="3402"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szCs w:val="21"/>
              </w:rPr>
            </w:pPr>
            <w:r>
              <w:rPr>
                <w:rFonts w:ascii="宋体" w:hAnsi="宋体" w:cs="宋体"/>
                <w:szCs w:val="21"/>
              </w:rPr>
              <w:t>公告事项</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spacing w:line="360" w:lineRule="auto"/>
              <w:jc w:val="center"/>
              <w:rPr>
                <w:rFonts w:ascii="宋体" w:hAnsi="宋体" w:cs="宋体"/>
                <w:szCs w:val="21"/>
              </w:rPr>
            </w:pPr>
            <w:r>
              <w:rPr>
                <w:rFonts w:ascii="宋体" w:hAnsi="宋体" w:cs="宋体"/>
                <w:szCs w:val="21"/>
              </w:rPr>
              <w:t>法定披露方式</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jc w:val="center"/>
            </w:pPr>
            <w:r>
              <w:rPr>
                <w:rFonts w:ascii="宋体" w:hAnsi="宋体" w:cs="宋体"/>
                <w:szCs w:val="21"/>
              </w:rPr>
              <w:t>法定披露日期</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关于建信双债增强债券型证券投资基金基金经理变更的公告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2019-07-20</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关于新增第一创业为旗下部分开放式基金代销机构的公告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2019-06-20</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关于增加西藏东方财富证券股份有限公司为旗下销售机构并参加认购申购费率优惠活动的公告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2019-06-01</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关于新增中信证券等为旗下部分开放式基金代销机构的公告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2019-05-24</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关于公司旗下部分开放式基金参与民生银行直销银行费率优惠活动的公告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2019-05-16</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关于增加北京百度百盈基金销售有限公司为旗下销售机构并参加认购申购费率优惠活动的公告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2019-05-14</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建信基金管理有限责任公司关于公司旗下部分开放式基金参加交通银行手机银行渠道基金申购及定期定额投资手续费率优惠活动的公告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2019-03-29</w:t>
            </w:r>
          </w:p>
        </w:tc>
      </w:tr>
      <w:tr>
        <w:tblPrEx>
          <w:tblLayout w:type="fixed"/>
          <w:tblCellMar>
            <w:top w:w="0" w:type="dxa"/>
            <w:left w:w="108" w:type="dxa"/>
            <w:bottom w:w="0" w:type="dxa"/>
            <w:right w:w="108" w:type="dxa"/>
          </w:tblCellMar>
        </w:tblPrEx>
        <w:trPr>
          <w:trHeight w:val="285" w:hRule="atLeast"/>
          <w:jc w:val="center"/>
        </w:trPr>
        <w:tc>
          <w:tcPr>
            <w:tcW w:w="851" w:type="dxa"/>
            <w:tcBorders>
              <w:top w:val="single" w:color="000000" w:sz="4" w:space="0"/>
              <w:left w:val="single" w:color="000000" w:sz="4" w:space="0"/>
              <w:bottom w:val="single" w:color="000000" w:sz="4" w:space="0"/>
            </w:tcBorders>
            <w:shd w:val="clear" w:color="auto" w:fill="auto"/>
            <w:noWrap w:val="0"/>
            <w:vAlign w:val="top"/>
          </w:tcPr>
          <w:p>
            <w:pPr>
              <w:pStyle w:val="52"/>
              <w:numPr>
                <w:ilvl w:val="0"/>
                <w:numId w:val="5"/>
              </w:numPr>
              <w:ind w:left="0" w:firstLine="0" w:firstLineChars="0"/>
              <w:jc w:val="center"/>
              <w:rPr>
                <w:lang w:eastAsia="zh-CN"/>
              </w:rPr>
            </w:pPr>
          </w:p>
        </w:tc>
        <w:tc>
          <w:tcPr>
            <w:tcW w:w="3402"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关于增加北京新浪仓石基金销售有限公司为旗下销售机构并参加认购申购费率优惠活动的公告</w:t>
            </w:r>
          </w:p>
        </w:tc>
        <w:tc>
          <w:tcPr>
            <w:tcW w:w="1701" w:type="dxa"/>
            <w:tcBorders>
              <w:top w:val="single" w:color="000000" w:sz="4" w:space="0"/>
              <w:left w:val="single" w:color="000000" w:sz="4" w:space="0"/>
              <w:bottom w:val="single" w:color="000000" w:sz="4" w:space="0"/>
            </w:tcBorders>
            <w:shd w:val="clear" w:color="auto" w:fill="auto"/>
            <w:noWrap w:val="0"/>
            <w:vAlign w:val="center"/>
          </w:tcPr>
          <w:p>
            <w:pPr>
              <w:jc w:val="left"/>
              <w:rPr>
                <w:rFonts w:ascii="宋体" w:hAnsi="宋体" w:cs="Arial"/>
                <w:sz w:val="20"/>
                <w:szCs w:val="20"/>
              </w:rPr>
            </w:pPr>
            <w:r>
              <w:rPr>
                <w:rFonts w:hint="eastAsia" w:cs="Arial"/>
                <w:sz w:val="20"/>
                <w:szCs w:val="20"/>
              </w:rPr>
              <w:t>指定报刊和/或公司网站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Arial"/>
                <w:sz w:val="20"/>
                <w:szCs w:val="20"/>
              </w:rPr>
            </w:pPr>
            <w:r>
              <w:rPr>
                <w:rFonts w:hint="eastAsia" w:cs="Arial"/>
                <w:sz w:val="20"/>
                <w:szCs w:val="20"/>
              </w:rPr>
              <w:t>2019-03-29</w:t>
            </w:r>
          </w:p>
        </w:tc>
      </w:tr>
    </w:tbl>
    <w:p>
      <w:pPr>
        <w:spacing w:line="360" w:lineRule="auto"/>
        <w:ind w:firstLine="480"/>
        <w:rPr>
          <w:rFonts w:ascii="宋体" w:hAnsi="宋体"/>
          <w:sz w:val="24"/>
        </w:rPr>
      </w:pPr>
      <w:r>
        <w:rPr>
          <w:rFonts w:ascii="宋体" w:hAnsi="宋体"/>
          <w:sz w:val="24"/>
        </w:rPr>
        <w:t>投资者可通过</w:t>
      </w:r>
      <w:r>
        <w:rPr>
          <w:rFonts w:hint="eastAsia" w:ascii="宋体" w:hAnsi="宋体"/>
          <w:sz w:val="24"/>
        </w:rPr>
        <w:t>《</w:t>
      </w:r>
      <w:r>
        <w:rPr>
          <w:rFonts w:ascii="宋体" w:hAnsi="宋体"/>
          <w:sz w:val="24"/>
        </w:rPr>
        <w:t>中国证券报</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上海证券报</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证券时报</w:t>
      </w:r>
      <w:r>
        <w:rPr>
          <w:rFonts w:hint="eastAsia" w:ascii="宋体" w:hAnsi="宋体"/>
          <w:sz w:val="24"/>
        </w:rPr>
        <w:t>》</w:t>
      </w:r>
      <w:r>
        <w:rPr>
          <w:rFonts w:ascii="宋体" w:hAnsi="宋体"/>
          <w:sz w:val="24"/>
        </w:rPr>
        <w:t>和基金管理人网站</w:t>
      </w:r>
      <w:r>
        <w:fldChar w:fldCharType="begin"/>
      </w:r>
      <w:r>
        <w:instrText xml:space="preserve"> HYPERLINK "http://www.ccbfund.cn/" </w:instrText>
      </w:r>
      <w:r>
        <w:fldChar w:fldCharType="separate"/>
      </w:r>
      <w:r>
        <w:rPr>
          <w:rFonts w:ascii="宋体" w:hAnsi="宋体"/>
        </w:rPr>
        <w:t>www.ccbfund.cn</w:t>
      </w:r>
      <w:r>
        <w:rPr>
          <w:rFonts w:ascii="宋体" w:hAnsi="宋体"/>
        </w:rPr>
        <w:fldChar w:fldCharType="end"/>
      </w:r>
      <w:r>
        <w:rPr>
          <w:rFonts w:ascii="宋体" w:hAnsi="宋体"/>
          <w:sz w:val="24"/>
        </w:rPr>
        <w:t>查阅上述公告。</w:t>
      </w:r>
    </w:p>
    <w:p/>
    <w:p>
      <w:pPr>
        <w:spacing w:line="360" w:lineRule="auto"/>
        <w:ind w:firstLine="480"/>
        <w:rPr>
          <w:rFonts w:hint="eastAsia"/>
          <w:b/>
          <w:bCs/>
          <w:sz w:val="24"/>
          <w:lang w:eastAsia="zh-CN"/>
        </w:rPr>
      </w:pPr>
    </w:p>
    <w:p>
      <w:pPr>
        <w:spacing w:line="360" w:lineRule="auto"/>
        <w:ind w:firstLine="482"/>
        <w:rPr>
          <w:rFonts w:hint="eastAsia"/>
          <w:b/>
          <w:bCs/>
          <w:sz w:val="24"/>
        </w:rPr>
      </w:pPr>
    </w:p>
    <w:p>
      <w:pPr>
        <w:pStyle w:val="2"/>
        <w:pageBreakBefore/>
        <w:spacing w:before="0" w:after="0"/>
        <w:jc w:val="center"/>
        <w:rPr>
          <w:rFonts w:hint="eastAsia" w:cs="宋体"/>
          <w:bCs/>
        </w:rPr>
      </w:pPr>
      <w:bookmarkStart w:id="26" w:name="_Toc521587235"/>
      <w:r>
        <w:rPr>
          <w:rFonts w:hint="eastAsia" w:ascii="Times New Roman" w:hAnsi="Times New Roman"/>
          <w:color w:val="auto"/>
          <w:sz w:val="30"/>
        </w:rPr>
        <w:t>第二十三部分 招募说明书的存放及查阅方式</w:t>
      </w:r>
      <w:bookmarkEnd w:id="26"/>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r>
        <w:rPr>
          <w:rFonts w:hint="eastAsia" w:ascii="宋体" w:hAnsi="宋体" w:cs="宋体"/>
          <w:bCs/>
          <w:color w:val="000000"/>
          <w:sz w:val="24"/>
        </w:rPr>
        <w:t>本招募说明书存放在基金管理人、基金托管人、销售代理人和注册登记人的办公场所，投资人可在办公时间免费查阅，也可按工本费购买本招募说明书的复制件或复印件。投资人按上述方式所获得的文件或其复印件。基金管理人和基金托管人应保证文本的内容与所公告的内容完全一致。</w:t>
      </w:r>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p>
    <w:p>
      <w:pPr>
        <w:pStyle w:val="2"/>
        <w:pageBreakBefore/>
        <w:spacing w:before="0" w:after="0"/>
        <w:jc w:val="center"/>
        <w:rPr>
          <w:rFonts w:hint="eastAsia" w:cs="宋体"/>
          <w:bCs/>
        </w:rPr>
      </w:pPr>
      <w:bookmarkStart w:id="27" w:name="_Toc521587236"/>
      <w:r>
        <w:rPr>
          <w:rFonts w:hint="eastAsia" w:ascii="Times New Roman" w:hAnsi="Times New Roman"/>
          <w:color w:val="auto"/>
          <w:sz w:val="30"/>
        </w:rPr>
        <w:t>第二十四部分 备查文件</w:t>
      </w:r>
      <w:bookmarkEnd w:id="27"/>
    </w:p>
    <w:p>
      <w:pPr>
        <w:spacing w:line="360" w:lineRule="auto"/>
        <w:ind w:firstLine="480"/>
        <w:rPr>
          <w:rFonts w:hint="eastAsia" w:ascii="宋体" w:hAnsi="宋体" w:cs="宋体"/>
          <w:bCs/>
          <w:color w:val="000000"/>
          <w:sz w:val="24"/>
        </w:rPr>
      </w:pPr>
    </w:p>
    <w:p>
      <w:pPr>
        <w:spacing w:line="360" w:lineRule="auto"/>
        <w:ind w:firstLine="480"/>
        <w:rPr>
          <w:rFonts w:ascii="宋体" w:hAnsi="宋体" w:cs="宋体"/>
          <w:bCs/>
          <w:color w:val="000000"/>
          <w:sz w:val="24"/>
        </w:rPr>
      </w:pPr>
      <w:r>
        <w:rPr>
          <w:rFonts w:ascii="宋体" w:hAnsi="宋体" w:cs="宋体"/>
          <w:bCs/>
          <w:color w:val="000000"/>
          <w:sz w:val="24"/>
        </w:rPr>
        <w:t>1</w:t>
      </w:r>
      <w:r>
        <w:rPr>
          <w:rFonts w:hint="eastAsia" w:ascii="宋体" w:hAnsi="宋体" w:cs="宋体"/>
          <w:bCs/>
          <w:color w:val="000000"/>
          <w:sz w:val="24"/>
        </w:rPr>
        <w:t>、中国证监会核准建信双债增强债券型证券投资基金募集的文件</w:t>
      </w:r>
    </w:p>
    <w:p>
      <w:pPr>
        <w:spacing w:line="360" w:lineRule="auto"/>
        <w:ind w:firstLine="480"/>
        <w:rPr>
          <w:rFonts w:ascii="宋体" w:hAnsi="宋体" w:cs="宋体"/>
          <w:bCs/>
          <w:color w:val="000000"/>
          <w:sz w:val="24"/>
        </w:rPr>
      </w:pPr>
      <w:r>
        <w:rPr>
          <w:rFonts w:ascii="宋体" w:hAnsi="宋体" w:cs="宋体"/>
          <w:bCs/>
          <w:color w:val="000000"/>
          <w:sz w:val="24"/>
        </w:rPr>
        <w:t>2</w:t>
      </w:r>
      <w:r>
        <w:rPr>
          <w:rFonts w:hint="eastAsia" w:ascii="宋体" w:hAnsi="宋体" w:cs="宋体"/>
          <w:bCs/>
          <w:color w:val="000000"/>
          <w:sz w:val="24"/>
        </w:rPr>
        <w:t>、《建信双债增强债券证券投资基金基金合同》</w:t>
      </w:r>
    </w:p>
    <w:p>
      <w:pPr>
        <w:spacing w:line="360" w:lineRule="auto"/>
        <w:ind w:firstLine="480"/>
        <w:rPr>
          <w:rFonts w:ascii="宋体" w:hAnsi="宋体" w:cs="宋体"/>
          <w:bCs/>
          <w:color w:val="000000"/>
          <w:sz w:val="24"/>
        </w:rPr>
      </w:pPr>
      <w:r>
        <w:rPr>
          <w:rFonts w:ascii="宋体" w:hAnsi="宋体" w:cs="宋体"/>
          <w:bCs/>
          <w:color w:val="000000"/>
          <w:sz w:val="24"/>
        </w:rPr>
        <w:t>3</w:t>
      </w:r>
      <w:r>
        <w:rPr>
          <w:rFonts w:hint="eastAsia" w:ascii="宋体" w:hAnsi="宋体" w:cs="宋体"/>
          <w:bCs/>
          <w:color w:val="000000"/>
          <w:sz w:val="24"/>
        </w:rPr>
        <w:t>.《建信双债增强债券证券投资基金托管协议》</w:t>
      </w:r>
    </w:p>
    <w:p>
      <w:pPr>
        <w:spacing w:line="360" w:lineRule="auto"/>
        <w:ind w:firstLine="480"/>
        <w:rPr>
          <w:rFonts w:ascii="宋体" w:hAnsi="宋体" w:cs="宋体"/>
          <w:bCs/>
          <w:color w:val="000000"/>
          <w:sz w:val="24"/>
        </w:rPr>
      </w:pPr>
      <w:r>
        <w:rPr>
          <w:rFonts w:ascii="宋体" w:hAnsi="宋体" w:cs="宋体"/>
          <w:bCs/>
          <w:color w:val="000000"/>
          <w:sz w:val="24"/>
        </w:rPr>
        <w:t>4</w:t>
      </w:r>
      <w:r>
        <w:rPr>
          <w:rFonts w:hint="eastAsia" w:ascii="宋体" w:hAnsi="宋体" w:cs="宋体"/>
          <w:bCs/>
          <w:color w:val="000000"/>
          <w:sz w:val="24"/>
        </w:rPr>
        <w:t>、关于申请募集建信双债增强债券型证券投资基金之法律意见书</w:t>
      </w:r>
    </w:p>
    <w:p>
      <w:pPr>
        <w:spacing w:line="360" w:lineRule="auto"/>
        <w:ind w:firstLine="480"/>
        <w:rPr>
          <w:rFonts w:ascii="宋体" w:hAnsi="宋体" w:cs="宋体"/>
          <w:bCs/>
          <w:color w:val="000000"/>
          <w:sz w:val="24"/>
        </w:rPr>
      </w:pPr>
      <w:r>
        <w:rPr>
          <w:rFonts w:ascii="宋体" w:hAnsi="宋体" w:cs="宋体"/>
          <w:bCs/>
          <w:color w:val="000000"/>
          <w:sz w:val="24"/>
        </w:rPr>
        <w:t>5</w:t>
      </w:r>
      <w:r>
        <w:rPr>
          <w:rFonts w:hint="eastAsia" w:ascii="宋体" w:hAnsi="宋体" w:cs="宋体"/>
          <w:bCs/>
          <w:color w:val="000000"/>
          <w:sz w:val="24"/>
        </w:rPr>
        <w:t>、基金管理人业务资格批件和营业执照</w:t>
      </w:r>
    </w:p>
    <w:p>
      <w:pPr>
        <w:spacing w:line="360" w:lineRule="auto"/>
        <w:ind w:firstLine="480"/>
        <w:rPr>
          <w:rFonts w:ascii="宋体" w:hAnsi="宋体" w:cs="宋体"/>
          <w:bCs/>
          <w:color w:val="000000"/>
          <w:sz w:val="24"/>
        </w:rPr>
      </w:pPr>
      <w:r>
        <w:rPr>
          <w:rFonts w:ascii="宋体" w:hAnsi="宋体" w:cs="宋体"/>
          <w:bCs/>
          <w:color w:val="000000"/>
          <w:sz w:val="24"/>
        </w:rPr>
        <w:t>6</w:t>
      </w:r>
      <w:r>
        <w:rPr>
          <w:rFonts w:hint="eastAsia" w:ascii="宋体" w:hAnsi="宋体" w:cs="宋体"/>
          <w:bCs/>
          <w:color w:val="000000"/>
          <w:sz w:val="24"/>
        </w:rPr>
        <w:t>、基金托管人业务资格批件和营业执照</w:t>
      </w:r>
    </w:p>
    <w:p>
      <w:pPr>
        <w:spacing w:line="360" w:lineRule="auto"/>
        <w:ind w:firstLine="480"/>
        <w:rPr>
          <w:rFonts w:hint="eastAsia" w:ascii="宋体" w:hAnsi="宋体" w:cs="宋体"/>
          <w:bCs/>
          <w:color w:val="000000"/>
          <w:sz w:val="24"/>
        </w:rPr>
      </w:pPr>
      <w:r>
        <w:rPr>
          <w:rFonts w:ascii="宋体" w:hAnsi="宋体" w:cs="宋体"/>
          <w:bCs/>
          <w:color w:val="000000"/>
          <w:sz w:val="24"/>
        </w:rPr>
        <w:t>7</w:t>
      </w:r>
      <w:r>
        <w:rPr>
          <w:rFonts w:hint="eastAsia" w:ascii="宋体" w:hAnsi="宋体" w:cs="宋体"/>
          <w:bCs/>
          <w:color w:val="000000"/>
          <w:sz w:val="24"/>
        </w:rPr>
        <w:t>、中国证监会要求的其他文件</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存放地点：基金管理人、基金托管人处</w:t>
      </w:r>
    </w:p>
    <w:p>
      <w:pPr>
        <w:spacing w:line="360" w:lineRule="auto"/>
        <w:ind w:firstLine="480"/>
        <w:rPr>
          <w:rFonts w:hint="eastAsia" w:ascii="宋体" w:hAnsi="宋体" w:cs="宋体"/>
          <w:bCs/>
          <w:color w:val="000000"/>
          <w:sz w:val="24"/>
        </w:rPr>
      </w:pPr>
      <w:r>
        <w:rPr>
          <w:rFonts w:hint="eastAsia" w:ascii="宋体" w:hAnsi="宋体" w:cs="宋体"/>
          <w:bCs/>
          <w:color w:val="000000"/>
          <w:sz w:val="24"/>
        </w:rPr>
        <w:t>查阅方式：投资人可在营业时间免费查阅，也可按工本费购买复印件。</w:t>
      </w:r>
    </w:p>
    <w:p>
      <w:pPr>
        <w:spacing w:line="360" w:lineRule="auto"/>
        <w:ind w:firstLine="480"/>
        <w:rPr>
          <w:rFonts w:hint="eastAsia" w:ascii="宋体" w:hAnsi="宋体" w:cs="宋体"/>
          <w:bCs/>
          <w:color w:val="000000"/>
          <w:sz w:val="24"/>
        </w:rPr>
      </w:pPr>
    </w:p>
    <w:p>
      <w:pPr>
        <w:spacing w:line="360" w:lineRule="auto"/>
        <w:ind w:firstLine="480"/>
        <w:rPr>
          <w:rFonts w:hint="eastAsia" w:ascii="宋体" w:hAnsi="宋体" w:cs="宋体"/>
          <w:bCs/>
          <w:color w:val="000000"/>
          <w:sz w:val="24"/>
        </w:rPr>
      </w:pPr>
    </w:p>
    <w:p>
      <w:pPr>
        <w:spacing w:line="360" w:lineRule="auto"/>
        <w:ind w:firstLine="4410"/>
        <w:rPr>
          <w:rFonts w:hint="eastAsia"/>
          <w:sz w:val="24"/>
        </w:rPr>
      </w:pPr>
      <w:r>
        <w:rPr>
          <w:rFonts w:hint="eastAsia"/>
        </w:rPr>
        <w:t xml:space="preserve">   </w:t>
      </w:r>
      <w:r>
        <w:rPr>
          <w:rFonts w:hint="eastAsia"/>
          <w:b/>
          <w:sz w:val="24"/>
        </w:rPr>
        <w:t>建信基金管理有限责任公司</w:t>
      </w:r>
    </w:p>
    <w:p>
      <w:pPr>
        <w:spacing w:line="360" w:lineRule="auto"/>
        <w:ind w:firstLine="480"/>
        <w:jc w:val="right"/>
        <w:rPr>
          <w:rFonts w:ascii="宋体" w:hAnsi="宋体" w:cs="宋体"/>
          <w:bCs/>
          <w:color w:val="000000"/>
          <w:sz w:val="24"/>
        </w:rPr>
      </w:pPr>
      <w:r>
        <w:rPr>
          <w:rFonts w:hint="eastAsia"/>
          <w:sz w:val="24"/>
        </w:rPr>
        <w:t xml:space="preserve">                                      </w:t>
      </w:r>
      <w:r>
        <w:rPr>
          <w:rFonts w:hint="eastAsia"/>
          <w:b/>
          <w:sz w:val="24"/>
          <w:szCs w:val="20"/>
          <w:lang w:eastAsia="zh-CN"/>
        </w:rPr>
        <w:t>二〇一九年八月</w:t>
      </w:r>
    </w:p>
    <w:p>
      <w:pPr>
        <w:spacing w:line="360" w:lineRule="auto"/>
        <w:ind w:firstLine="480"/>
        <w:rPr>
          <w:rFonts w:ascii="宋体" w:hAnsi="宋体" w:cs="宋体"/>
          <w:bCs/>
          <w:color w:val="000000"/>
          <w:sz w:val="24"/>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2364" w:header="851" w:footer="992" w:gutter="0"/>
      <w:pgNumType w:start="1"/>
      <w:cols w:space="720" w:num="1"/>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rimo">
    <w:altName w:val="Meiryo"/>
    <w:panose1 w:val="00000000000000000000"/>
    <w:charset w:val="80"/>
    <w:family w:val="swiss"/>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SimSun-Identity-H">
    <w:altName w:val="黑体"/>
    <w:panose1 w:val="00000000000000000000"/>
    <w:charset w:val="86"/>
    <w:family w:val="auto"/>
    <w:pitch w:val="default"/>
    <w:sig w:usb0="00000001" w:usb1="080E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rPr>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217805" cy="132715"/>
              <wp:effectExtent l="0" t="0" r="0" b="0"/>
              <wp:wrapSquare wrapText="largest"/>
              <wp:docPr id="5" name="文本框 1"/>
              <wp:cNvGraphicFramePr/>
              <a:graphic xmlns:a="http://schemas.openxmlformats.org/drawingml/2006/main">
                <a:graphicData uri="http://schemas.microsoft.com/office/word/2010/wordprocessingShape">
                  <wps:wsp>
                    <wps:cNvSpPr txBox="1"/>
                    <wps:spPr>
                      <a:xfrm>
                        <a:off x="0" y="0"/>
                        <a:ext cx="217805" cy="132715"/>
                      </a:xfrm>
                      <a:prstGeom prst="rect">
                        <a:avLst/>
                      </a:prstGeom>
                      <a:solidFill>
                        <a:srgbClr val="FFFFFF">
                          <a:alpha val="0"/>
                        </a:srgbClr>
                      </a:solidFill>
                      <a:ln>
                        <a:noFill/>
                      </a:ln>
                    </wps:spPr>
                    <wps:txbx>
                      <w:txbxContent>
                        <w:p>
                          <w:pPr>
                            <w:pStyle w:val="14"/>
                          </w:pPr>
                          <w:r>
                            <w:rPr>
                              <w:rStyle w:val="28"/>
                            </w:rPr>
                            <w:fldChar w:fldCharType="begin"/>
                          </w:r>
                          <w:r>
                            <w:rPr>
                              <w:rStyle w:val="28"/>
                            </w:rPr>
                            <w:instrText xml:space="preserve"> PAGE </w:instrText>
                          </w:r>
                          <w:r>
                            <w:rPr>
                              <w:rStyle w:val="28"/>
                            </w:rPr>
                            <w:fldChar w:fldCharType="separate"/>
                          </w:r>
                          <w:r>
                            <w:rPr>
                              <w:rStyle w:val="28"/>
                              <w:lang/>
                            </w:rPr>
                            <w:t>2</w:t>
                          </w:r>
                          <w:r>
                            <w:rPr>
                              <w:rStyle w:val="28"/>
                            </w:rPr>
                            <w:fldChar w:fldCharType="end"/>
                          </w:r>
                        </w:p>
                      </w:txbxContent>
                    </wps:txbx>
                    <wps:bodyPr wrap="square" lIns="0" tIns="0" rIns="0" bIns="0" upright="1"/>
                  </wps:wsp>
                </a:graphicData>
              </a:graphic>
            </wp:anchor>
          </w:drawing>
        </mc:Choice>
        <mc:Fallback>
          <w:pict>
            <v:shape id="文本框 1" o:spid="_x0000_s1026" o:spt="202" type="#_x0000_t202" style="position:absolute;left:0pt;margin-top:0.05pt;height:10.45pt;width:17.15pt;mso-position-horizontal:center;mso-position-horizontal-relative:margin;mso-wrap-distance-bottom:0pt;mso-wrap-distance-left:0pt;mso-wrap-distance-right:0pt;mso-wrap-distance-top:0pt;z-index:251658240;mso-width-relative:page;mso-height-relative:page;" fillcolor="#FFFFFF" filled="t" stroked="f" coordsize="21600,21600" o:gfxdata="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1orWq0QAAAAMBAAAPAAAAAAAAAAEAIAAAACIAAABkcnMvZG93bnJldi54&#10;bWxQSwECFAAUAAAACACHTuJAwQXmfsgBAAB3AwAADgAAAAAAAAABACAAAAAgAQAAZHJzL2Uyb0Rv&#10;Yy54bWxQSwUGAAAAAAYABgBZAQAAWgUAAAAA&#10;">
              <v:fill on="t" opacity="0f" focussize="0,0"/>
              <v:stroke on="f"/>
              <v:imagedata o:title=""/>
              <o:lock v:ext="edit" aspectratio="f"/>
              <v:textbox inset="0mm,0mm,0mm,0mm">
                <w:txbxContent>
                  <w:p>
                    <w:pPr>
                      <w:pStyle w:val="14"/>
                    </w:pPr>
                    <w:r>
                      <w:rPr>
                        <w:rStyle w:val="28"/>
                      </w:rPr>
                      <w:fldChar w:fldCharType="begin"/>
                    </w:r>
                    <w:r>
                      <w:rPr>
                        <w:rStyle w:val="28"/>
                      </w:rPr>
                      <w:instrText xml:space="preserve"> PAGE </w:instrText>
                    </w:r>
                    <w:r>
                      <w:rPr>
                        <w:rStyle w:val="28"/>
                      </w:rPr>
                      <w:fldChar w:fldCharType="separate"/>
                    </w:r>
                    <w:r>
                      <w:rPr>
                        <w:rStyle w:val="28"/>
                        <w:lang/>
                      </w:rPr>
                      <w:t>2</w:t>
                    </w:r>
                    <w:r>
                      <w:rPr>
                        <w:rStyle w:val="28"/>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7746"/>
        <w:tab w:val="clear" w:pos="4153"/>
        <w:tab w:val="clear" w:pos="8306"/>
      </w:tabs>
      <w:jc w:val="both"/>
    </w:pPr>
    <w:r>
      <w:rPr>
        <w:rFonts w:hint="eastAsia"/>
      </w:rPr>
      <w:t>建信</w:t>
    </w:r>
    <w:r>
      <w:rPr>
        <w:color w:val="000000"/>
      </w:rPr>
      <w:t>双债增强</w:t>
    </w:r>
    <w:r>
      <w:rPr>
        <w:rFonts w:hint="eastAsia"/>
      </w:rPr>
      <w:t>债券型证券投资基金招募说明书（更新）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suff w:val="nothing"/>
      <w:lvlText w:val=""/>
      <w:lvlJc w:val="left"/>
      <w:pPr>
        <w:tabs>
          <w:tab w:val="left" w:pos="432"/>
        </w:tabs>
        <w:ind w:left="432" w:hanging="432"/>
      </w:pPr>
    </w:lvl>
    <w:lvl w:ilvl="1" w:tentative="0">
      <w:start w:val="1"/>
      <w:numFmt w:val="none"/>
      <w:pStyle w:val="3"/>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pStyle w:val="4"/>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00000002"/>
    <w:multiLevelType w:val="multilevel"/>
    <w:tmpl w:val="00000002"/>
    <w:lvl w:ilvl="0" w:tentative="0">
      <w:start w:val="1"/>
      <w:numFmt w:val="lowerRoman"/>
      <w:pStyle w:val="47"/>
      <w:lvlText w:val="%1、"/>
      <w:lvlJc w:val="left"/>
      <w:pPr>
        <w:tabs>
          <w:tab w:val="left" w:pos="900"/>
        </w:tabs>
        <w:ind w:left="1325" w:hanging="425"/>
      </w:pPr>
      <w:rPr>
        <w:rFonts w:hint="eastAsia"/>
      </w:rPr>
    </w:lvl>
    <w:lvl w:ilvl="1" w:tentative="0">
      <w:start w:val="1"/>
      <w:numFmt w:val="lowerLetter"/>
      <w:lvlText w:val="%2)"/>
      <w:lvlJc w:val="left"/>
      <w:pPr>
        <w:tabs>
          <w:tab w:val="left" w:pos="1320"/>
        </w:tabs>
        <w:ind w:left="1320" w:hanging="420"/>
      </w:pPr>
    </w:lvl>
    <w:lvl w:ilvl="2" w:tentative="0">
      <w:start w:val="1"/>
      <w:numFmt w:val="bullet"/>
      <w:lvlText w:val=""/>
      <w:lvlJc w:val="left"/>
      <w:pPr>
        <w:tabs>
          <w:tab w:val="left" w:pos="1740"/>
        </w:tabs>
        <w:ind w:left="1740" w:hanging="420"/>
      </w:pPr>
      <w:rPr>
        <w:rFonts w:hint="default" w:ascii="Wingdings" w:hAnsi="Wingdings" w:cs="Wingdings"/>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025606E"/>
    <w:multiLevelType w:val="multilevel"/>
    <w:tmpl w:val="5025606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BD5AFD"/>
    <w:multiLevelType w:val="multilevel"/>
    <w:tmpl w:val="6CBD5AFD"/>
    <w:lvl w:ilvl="0" w:tentative="0">
      <w:start w:val="9"/>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B87467E"/>
    <w:multiLevelType w:val="multilevel"/>
    <w:tmpl w:val="7B87467E"/>
    <w:lvl w:ilvl="0" w:tentative="0">
      <w:start w:val="9"/>
      <w:numFmt w:val="decimal"/>
      <w:lvlText w:val="（%1）"/>
      <w:lvlJc w:val="left"/>
      <w:pPr>
        <w:ind w:left="1200" w:hanging="72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4A"/>
    <w:rsid w:val="0000359C"/>
    <w:rsid w:val="00022985"/>
    <w:rsid w:val="000E62D1"/>
    <w:rsid w:val="00103732"/>
    <w:rsid w:val="00175E82"/>
    <w:rsid w:val="001861E6"/>
    <w:rsid w:val="00242B54"/>
    <w:rsid w:val="0026030A"/>
    <w:rsid w:val="002E71EB"/>
    <w:rsid w:val="002F4C02"/>
    <w:rsid w:val="003428FF"/>
    <w:rsid w:val="003B2F36"/>
    <w:rsid w:val="003B7753"/>
    <w:rsid w:val="00456921"/>
    <w:rsid w:val="004748B0"/>
    <w:rsid w:val="0047556C"/>
    <w:rsid w:val="004A3C92"/>
    <w:rsid w:val="00507F4A"/>
    <w:rsid w:val="00516203"/>
    <w:rsid w:val="00927211"/>
    <w:rsid w:val="00957DAF"/>
    <w:rsid w:val="0097174C"/>
    <w:rsid w:val="009D26FA"/>
    <w:rsid w:val="00A0091E"/>
    <w:rsid w:val="00AF160F"/>
    <w:rsid w:val="00B10BFC"/>
    <w:rsid w:val="00C07F4B"/>
    <w:rsid w:val="00D9371E"/>
    <w:rsid w:val="00DD5CC6"/>
    <w:rsid w:val="00E1559C"/>
    <w:rsid w:val="00E90432"/>
    <w:rsid w:val="00EE58D5"/>
    <w:rsid w:val="00F23ADC"/>
    <w:rsid w:val="00F3303D"/>
    <w:rsid w:val="00F40443"/>
    <w:rsid w:val="00F55D49"/>
    <w:rsid w:val="00FA6021"/>
    <w:rsid w:val="25D81C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kern w:val="1"/>
      <w:sz w:val="21"/>
      <w:szCs w:val="24"/>
      <w:lang w:val="en-US" w:eastAsia="ar-SA" w:bidi="ar-SA"/>
    </w:rPr>
  </w:style>
  <w:style w:type="paragraph" w:styleId="2">
    <w:name w:val="heading 1"/>
    <w:basedOn w:val="1"/>
    <w:next w:val="1"/>
    <w:qFormat/>
    <w:uiPriority w:val="0"/>
    <w:pPr>
      <w:keepNext/>
      <w:keepLines/>
      <w:numPr>
        <w:ilvl w:val="0"/>
        <w:numId w:val="1"/>
      </w:numPr>
      <w:spacing w:before="120" w:after="120" w:line="360" w:lineRule="auto"/>
      <w:outlineLvl w:val="0"/>
    </w:pPr>
    <w:rPr>
      <w:rFonts w:ascii="宋体" w:hAnsi="宋体"/>
      <w:b/>
      <w:color w:val="000000"/>
      <w:kern w:val="1"/>
      <w:sz w:val="24"/>
      <w:szCs w:val="20"/>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4"/>
    <w:basedOn w:val="1"/>
    <w:next w:val="1"/>
    <w:qFormat/>
    <w:uiPriority w:val="0"/>
    <w:pPr>
      <w:keepNext/>
      <w:keepLines/>
      <w:numPr>
        <w:ilvl w:val="3"/>
        <w:numId w:val="1"/>
      </w:numPr>
      <w:spacing w:before="280" w:after="290" w:line="374" w:lineRule="auto"/>
      <w:outlineLvl w:val="3"/>
    </w:pPr>
    <w:rPr>
      <w:rFonts w:ascii="Cambria" w:hAnsi="Cambria" w:eastAsia="宋体" w:cs="Times New Roman"/>
      <w:b/>
      <w:bCs/>
      <w:sz w:val="28"/>
      <w:szCs w:val="28"/>
    </w:rPr>
  </w:style>
  <w:style w:type="character" w:default="1" w:styleId="27">
    <w:name w:val="Default Paragraph Font"/>
    <w:unhideWhenUsed/>
    <w:uiPriority w:val="1"/>
  </w:style>
  <w:style w:type="table" w:default="1" w:styleId="26">
    <w:name w:val="Normal Table"/>
    <w:semiHidden/>
    <w:unhideWhenUsed/>
    <w:uiPriority w:val="99"/>
    <w:tblPr>
      <w:tblStyle w:val="26"/>
      <w:tblLayout w:type="fixed"/>
      <w:tblCellMar>
        <w:top w:w="0" w:type="dxa"/>
        <w:left w:w="108" w:type="dxa"/>
        <w:bottom w:w="0" w:type="dxa"/>
        <w:right w:w="108" w:type="dxa"/>
      </w:tblCellMar>
    </w:tblPr>
  </w:style>
  <w:style w:type="paragraph" w:styleId="5">
    <w:name w:val="toc 7"/>
    <w:basedOn w:val="6"/>
    <w:uiPriority w:val="0"/>
    <w:pPr>
      <w:tabs>
        <w:tab w:val="right" w:leader="dot" w:pos="7940"/>
      </w:tabs>
      <w:ind w:left="1698" w:right="0" w:firstLine="0"/>
    </w:pPr>
  </w:style>
  <w:style w:type="paragraph" w:customStyle="1" w:styleId="6">
    <w:name w:val="目录"/>
    <w:basedOn w:val="1"/>
    <w:uiPriority w:val="0"/>
    <w:pPr>
      <w:suppressLineNumbers/>
    </w:pPr>
  </w:style>
  <w:style w:type="paragraph" w:styleId="7">
    <w:name w:val="Normal Indent"/>
    <w:basedOn w:val="1"/>
    <w:uiPriority w:val="0"/>
    <w:pPr>
      <w:suppressAutoHyphens w:val="0"/>
      <w:snapToGrid w:val="0"/>
      <w:spacing w:line="360" w:lineRule="auto"/>
      <w:ind w:firstLine="420"/>
    </w:pPr>
    <w:rPr>
      <w:kern w:val="2"/>
      <w:sz w:val="28"/>
      <w:szCs w:val="20"/>
      <w:lang w:eastAsia="zh-CN"/>
    </w:rPr>
  </w:style>
  <w:style w:type="paragraph" w:styleId="8">
    <w:name w:val="Body Text"/>
    <w:basedOn w:val="1"/>
    <w:uiPriority w:val="0"/>
    <w:rPr>
      <w:rFonts w:ascii="宋体" w:hAnsi="宋体" w:cs="宋体"/>
      <w:sz w:val="18"/>
    </w:rPr>
  </w:style>
  <w:style w:type="paragraph" w:styleId="9">
    <w:name w:val="Body Text Indent"/>
    <w:basedOn w:val="1"/>
    <w:uiPriority w:val="0"/>
    <w:pPr>
      <w:ind w:left="0" w:right="0" w:firstLine="540"/>
    </w:pPr>
    <w:rPr>
      <w:sz w:val="24"/>
      <w:szCs w:val="20"/>
    </w:rPr>
  </w:style>
  <w:style w:type="paragraph" w:styleId="10">
    <w:name w:val="toc 5"/>
    <w:basedOn w:val="6"/>
    <w:uiPriority w:val="0"/>
    <w:pPr>
      <w:tabs>
        <w:tab w:val="right" w:leader="dot" w:pos="8506"/>
      </w:tabs>
      <w:ind w:left="1132" w:right="0" w:firstLine="0"/>
    </w:pPr>
  </w:style>
  <w:style w:type="paragraph" w:styleId="11">
    <w:name w:val="toc 3"/>
    <w:basedOn w:val="6"/>
    <w:uiPriority w:val="0"/>
    <w:pPr>
      <w:tabs>
        <w:tab w:val="right" w:leader="dot" w:pos="9072"/>
      </w:tabs>
      <w:ind w:left="566" w:right="0" w:firstLine="0"/>
    </w:pPr>
  </w:style>
  <w:style w:type="paragraph" w:styleId="12">
    <w:name w:val="toc 8"/>
    <w:basedOn w:val="6"/>
    <w:uiPriority w:val="0"/>
    <w:pPr>
      <w:tabs>
        <w:tab w:val="right" w:leader="dot" w:pos="7657"/>
      </w:tabs>
      <w:ind w:left="1981" w:right="0" w:firstLine="0"/>
    </w:pPr>
  </w:style>
  <w:style w:type="paragraph" w:styleId="13">
    <w:name w:val="Balloon Text"/>
    <w:basedOn w:val="1"/>
    <w:uiPriority w:val="0"/>
    <w:rPr>
      <w:sz w:val="18"/>
      <w:szCs w:val="18"/>
    </w:rPr>
  </w:style>
  <w:style w:type="paragraph" w:styleId="14">
    <w:name w:val="footer"/>
    <w:basedOn w:val="1"/>
    <w:uiPriority w:val="0"/>
    <w:pPr>
      <w:tabs>
        <w:tab w:val="center" w:pos="4153"/>
        <w:tab w:val="right" w:pos="8306"/>
      </w:tabs>
      <w:snapToGrid w:val="0"/>
      <w:jc w:val="left"/>
    </w:pPr>
    <w:rPr>
      <w:sz w:val="18"/>
      <w:szCs w:val="18"/>
    </w:rPr>
  </w:style>
  <w:style w:type="paragraph" w:styleId="15">
    <w:name w:val="header"/>
    <w:basedOn w:val="1"/>
    <w:uiPriority w:val="0"/>
    <w:pPr>
      <w:pBdr>
        <w:top w:val="none" w:color="auto" w:sz="0" w:space="0"/>
        <w:left w:val="none" w:color="auto" w:sz="0" w:space="0"/>
        <w:bottom w:val="single" w:color="000000" w:sz="4" w:space="1"/>
        <w:right w:val="none" w:color="auto" w:sz="0" w:space="0"/>
      </w:pBdr>
      <w:tabs>
        <w:tab w:val="center" w:pos="4153"/>
        <w:tab w:val="right" w:pos="8306"/>
      </w:tabs>
      <w:snapToGrid w:val="0"/>
      <w:jc w:val="center"/>
    </w:pPr>
    <w:rPr>
      <w:sz w:val="18"/>
      <w:szCs w:val="18"/>
    </w:rPr>
  </w:style>
  <w:style w:type="paragraph" w:styleId="16">
    <w:name w:val="toc 1"/>
    <w:basedOn w:val="1"/>
    <w:next w:val="1"/>
    <w:uiPriority w:val="39"/>
    <w:pPr>
      <w:spacing w:before="360" w:after="0"/>
      <w:jc w:val="left"/>
    </w:pPr>
    <w:rPr>
      <w:rFonts w:cs="Arial"/>
      <w:bCs/>
      <w:caps/>
      <w:sz w:val="24"/>
    </w:rPr>
  </w:style>
  <w:style w:type="paragraph" w:styleId="17">
    <w:name w:val="toc 4"/>
    <w:basedOn w:val="1"/>
    <w:next w:val="1"/>
    <w:uiPriority w:val="0"/>
    <w:pPr>
      <w:ind w:left="1260" w:right="0" w:firstLine="0"/>
    </w:pPr>
  </w:style>
  <w:style w:type="paragraph" w:styleId="18">
    <w:name w:val="Subtitle"/>
    <w:basedOn w:val="1"/>
    <w:next w:val="1"/>
    <w:qFormat/>
    <w:uiPriority w:val="0"/>
    <w:pPr>
      <w:spacing w:before="240" w:after="60" w:line="312" w:lineRule="auto"/>
      <w:jc w:val="center"/>
    </w:pPr>
    <w:rPr>
      <w:rFonts w:ascii="Cambria" w:hAnsi="Cambria" w:cs="Times New Roman"/>
      <w:b/>
      <w:bCs/>
      <w:kern w:val="1"/>
      <w:sz w:val="32"/>
      <w:szCs w:val="32"/>
    </w:rPr>
  </w:style>
  <w:style w:type="paragraph" w:styleId="19">
    <w:name w:val="List"/>
    <w:basedOn w:val="8"/>
    <w:uiPriority w:val="0"/>
  </w:style>
  <w:style w:type="paragraph" w:styleId="20">
    <w:name w:val="toc 6"/>
    <w:basedOn w:val="6"/>
    <w:uiPriority w:val="0"/>
    <w:pPr>
      <w:tabs>
        <w:tab w:val="right" w:leader="dot" w:pos="8223"/>
      </w:tabs>
      <w:ind w:left="1415" w:right="0" w:firstLine="0"/>
    </w:pPr>
  </w:style>
  <w:style w:type="paragraph" w:styleId="21">
    <w:name w:val="toc 2"/>
    <w:basedOn w:val="6"/>
    <w:uiPriority w:val="0"/>
    <w:pPr>
      <w:tabs>
        <w:tab w:val="right" w:leader="dot" w:pos="9355"/>
      </w:tabs>
      <w:ind w:left="283" w:right="0" w:firstLine="0"/>
    </w:pPr>
  </w:style>
  <w:style w:type="paragraph" w:styleId="22">
    <w:name w:val="toc 9"/>
    <w:basedOn w:val="6"/>
    <w:uiPriority w:val="0"/>
    <w:pPr>
      <w:tabs>
        <w:tab w:val="right" w:leader="dot" w:pos="7374"/>
      </w:tabs>
      <w:ind w:left="2264" w:right="0" w:firstLine="0"/>
    </w:pPr>
  </w:style>
  <w:style w:type="paragraph" w:styleId="23">
    <w:name w:val="annotation subject"/>
    <w:basedOn w:val="24"/>
    <w:next w:val="24"/>
    <w:uiPriority w:val="0"/>
    <w:rPr>
      <w:b/>
      <w:bCs/>
    </w:rPr>
  </w:style>
  <w:style w:type="paragraph" w:customStyle="1" w:styleId="24">
    <w:name w:val="批注文字1"/>
    <w:basedOn w:val="1"/>
    <w:uiPriority w:val="0"/>
    <w:pPr>
      <w:jc w:val="left"/>
    </w:pPr>
  </w:style>
  <w:style w:type="paragraph" w:styleId="25">
    <w:name w:val="Body Text First Indent"/>
    <w:basedOn w:val="8"/>
    <w:uiPriority w:val="0"/>
    <w:pPr>
      <w:ind w:left="0" w:right="0" w:firstLine="283"/>
    </w:pPr>
  </w:style>
  <w:style w:type="character" w:styleId="28">
    <w:name w:val="page number"/>
    <w:basedOn w:val="29"/>
    <w:uiPriority w:val="0"/>
  </w:style>
  <w:style w:type="character" w:customStyle="1" w:styleId="29">
    <w:name w:val="默认段落字体1"/>
    <w:uiPriority w:val="0"/>
  </w:style>
  <w:style w:type="character" w:styleId="30">
    <w:name w:val="Hyperlink"/>
    <w:uiPriority w:val="99"/>
    <w:rPr>
      <w:color w:val="0000FF"/>
      <w:u w:val="single"/>
    </w:rPr>
  </w:style>
  <w:style w:type="paragraph" w:customStyle="1" w:styleId="31">
    <w:name w:val="标题1"/>
    <w:basedOn w:val="1"/>
    <w:next w:val="8"/>
    <w:uiPriority w:val="0"/>
    <w:pPr>
      <w:keepNext/>
      <w:spacing w:before="240" w:after="120"/>
    </w:pPr>
    <w:rPr>
      <w:rFonts w:ascii="Arimo" w:hAnsi="Arimo" w:eastAsia="Arimo" w:cs="Arimo"/>
      <w:sz w:val="28"/>
      <w:szCs w:val="28"/>
    </w:rPr>
  </w:style>
  <w:style w:type="paragraph" w:customStyle="1" w:styleId="32">
    <w:name w:val="题注1"/>
    <w:basedOn w:val="1"/>
    <w:next w:val="1"/>
    <w:uiPriority w:val="0"/>
    <w:pPr>
      <w:spacing w:line="360" w:lineRule="auto"/>
      <w:jc w:val="center"/>
    </w:pPr>
    <w:rPr>
      <w:rFonts w:ascii="宋体" w:hAnsi="宋体" w:cs="宋体"/>
      <w:szCs w:val="21"/>
    </w:rPr>
  </w:style>
  <w:style w:type="paragraph" w:customStyle="1" w:styleId="33">
    <w:name w:val="WW-正文缩进"/>
    <w:basedOn w:val="1"/>
    <w:uiPriority w:val="0"/>
    <w:pPr>
      <w:snapToGrid w:val="0"/>
      <w:spacing w:line="360" w:lineRule="auto"/>
      <w:ind w:left="0" w:right="0" w:firstLine="420"/>
    </w:pPr>
    <w:rPr>
      <w:sz w:val="28"/>
      <w:szCs w:val="20"/>
    </w:rPr>
  </w:style>
  <w:style w:type="paragraph" w:customStyle="1" w:styleId="34">
    <w:name w:val="纯文本1"/>
    <w:basedOn w:val="1"/>
    <w:uiPriority w:val="0"/>
    <w:rPr>
      <w:rFonts w:ascii="宋体" w:hAnsi="宋体" w:cs="Courier New"/>
      <w:szCs w:val="20"/>
    </w:rPr>
  </w:style>
  <w:style w:type="paragraph" w:customStyle="1" w:styleId="35">
    <w:name w:val="日期1"/>
    <w:basedOn w:val="1"/>
    <w:next w:val="1"/>
    <w:uiPriority w:val="0"/>
    <w:rPr>
      <w:rFonts w:ascii="宋体" w:hAnsi="宋体" w:cs="Courier New"/>
      <w:b/>
      <w:color w:val="000000"/>
      <w:spacing w:val="20"/>
      <w:kern w:val="1"/>
      <w:sz w:val="30"/>
      <w:szCs w:val="20"/>
    </w:rPr>
  </w:style>
  <w:style w:type="paragraph" w:customStyle="1" w:styleId="36">
    <w:name w:val="样式 样式 样式 第一级标题 + 段前: 1 行 段后: 1 行 + 段前: 1 行 段后: 1 行 + 段前: 1 行 段后..."/>
    <w:basedOn w:val="1"/>
    <w:uiPriority w:val="0"/>
    <w:pPr>
      <w:keepNext/>
      <w:spacing w:before="100" w:after="100" w:line="360" w:lineRule="auto"/>
      <w:ind w:left="0" w:right="0" w:firstLine="200"/>
    </w:pPr>
    <w:rPr>
      <w:rFonts w:cs="宋体"/>
      <w:b/>
      <w:bCs/>
      <w:sz w:val="30"/>
      <w:szCs w:val="20"/>
    </w:rPr>
  </w:style>
  <w:style w:type="paragraph" w:customStyle="1" w:styleId="37">
    <w:name w:val="正文正文"/>
    <w:basedOn w:val="1"/>
    <w:uiPriority w:val="0"/>
    <w:pPr>
      <w:spacing w:before="0" w:after="25" w:line="360" w:lineRule="auto"/>
      <w:ind w:left="0" w:right="0" w:firstLine="200"/>
    </w:pPr>
    <w:rPr>
      <w:sz w:val="24"/>
    </w:rPr>
  </w:style>
  <w:style w:type="paragraph" w:customStyle="1" w:styleId="38">
    <w:name w:val="第三级标题"/>
    <w:basedOn w:val="37"/>
    <w:next w:val="37"/>
    <w:uiPriority w:val="0"/>
    <w:pPr>
      <w:keepNext/>
    </w:pPr>
    <w:rPr>
      <w:b/>
    </w:rPr>
  </w:style>
  <w:style w:type="paragraph" w:customStyle="1" w:styleId="39">
    <w:name w:val="文档结构图1"/>
    <w:basedOn w:val="1"/>
    <w:uiPriority w:val="0"/>
    <w:pPr>
      <w:shd w:val="clear" w:color="auto" w:fill="000080"/>
    </w:pPr>
  </w:style>
  <w:style w:type="paragraph" w:customStyle="1" w:styleId="40">
    <w:name w:val="Default"/>
    <w:uiPriority w:val="0"/>
    <w:pPr>
      <w:widowControl w:val="0"/>
      <w:suppressAutoHyphens/>
      <w:autoSpaceDE w:val="0"/>
    </w:pPr>
    <w:rPr>
      <w:rFonts w:ascii="宋体" w:hAnsi="宋体" w:cs="宋体"/>
      <w:color w:val="000000"/>
      <w:sz w:val="24"/>
      <w:szCs w:val="24"/>
      <w:lang w:val="en-US" w:eastAsia="ar-SA" w:bidi="ar-SA"/>
    </w:rPr>
  </w:style>
  <w:style w:type="paragraph" w:customStyle="1" w:styleId="41">
    <w:name w:val="样式 样式 样式 第二级标题 + 段前: 0.5 行 段后: 0.5 行 + 首行缩进:  2 字符 段前: 0.5 行 段后:..."/>
    <w:basedOn w:val="1"/>
    <w:uiPriority w:val="0"/>
    <w:pPr>
      <w:keepNext/>
      <w:spacing w:before="50" w:after="50" w:line="360" w:lineRule="auto"/>
      <w:ind w:left="0" w:right="0" w:firstLine="200"/>
    </w:pPr>
    <w:rPr>
      <w:rFonts w:cs="宋体"/>
      <w:b/>
      <w:bCs/>
      <w:sz w:val="28"/>
      <w:szCs w:val="20"/>
    </w:rPr>
  </w:style>
  <w:style w:type="paragraph" w:customStyle="1" w:styleId="42">
    <w:name w:val="正文文本缩进 21"/>
    <w:basedOn w:val="1"/>
    <w:uiPriority w:val="0"/>
    <w:pPr>
      <w:spacing w:before="0" w:after="120" w:line="480" w:lineRule="auto"/>
      <w:ind w:left="420" w:right="0" w:firstLine="0"/>
    </w:pPr>
  </w:style>
  <w:style w:type="paragraph" w:customStyle="1" w:styleId="43">
    <w:name w:val=" Char"/>
    <w:basedOn w:val="1"/>
    <w:uiPriority w:val="0"/>
  </w:style>
  <w:style w:type="paragraph" w:customStyle="1" w:styleId="44">
    <w:name w:val="正文所"/>
    <w:basedOn w:val="1"/>
    <w:uiPriority w:val="0"/>
    <w:pPr>
      <w:spacing w:line="360" w:lineRule="auto"/>
      <w:ind w:left="0" w:right="0" w:firstLine="420"/>
    </w:pPr>
  </w:style>
  <w:style w:type="paragraph" w:customStyle="1" w:styleId="45">
    <w:name w:val="正文文本缩进 31"/>
    <w:basedOn w:val="1"/>
    <w:uiPriority w:val="0"/>
    <w:pPr>
      <w:spacing w:before="0" w:after="120"/>
      <w:ind w:left="420" w:right="0" w:firstLine="0"/>
    </w:pPr>
    <w:rPr>
      <w:sz w:val="16"/>
      <w:szCs w:val="16"/>
    </w:rPr>
  </w:style>
  <w:style w:type="paragraph" w:customStyle="1" w:styleId="46">
    <w:name w:val=" Char Char Char Char Char Char1 Char Char Char"/>
    <w:basedOn w:val="1"/>
    <w:uiPriority w:val="0"/>
    <w:pPr>
      <w:autoSpaceDE w:val="0"/>
      <w:jc w:val="left"/>
      <w:textAlignment w:val="baseline"/>
    </w:pPr>
    <w:rPr>
      <w:rFonts w:ascii="宋体" w:hAnsi="宋体"/>
      <w:kern w:val="1"/>
      <w:sz w:val="34"/>
      <w:szCs w:val="20"/>
    </w:rPr>
  </w:style>
  <w:style w:type="paragraph" w:customStyle="1" w:styleId="47">
    <w:name w:val="XBRLTitle3"/>
    <w:basedOn w:val="18"/>
    <w:next w:val="4"/>
    <w:uiPriority w:val="0"/>
    <w:pPr>
      <w:keepNext/>
      <w:keepLines/>
      <w:numPr>
        <w:ilvl w:val="0"/>
        <w:numId w:val="2"/>
      </w:numPr>
      <w:spacing w:line="240" w:lineRule="auto"/>
      <w:jc w:val="left"/>
    </w:pPr>
    <w:rPr>
      <w:rFonts w:ascii="Cambria" w:hAnsi="Cambria" w:cs="Times New Roman"/>
      <w:sz w:val="24"/>
    </w:rPr>
  </w:style>
  <w:style w:type="paragraph" w:customStyle="1" w:styleId="48">
    <w:name w:val="内容目录 10"/>
    <w:basedOn w:val="6"/>
    <w:uiPriority w:val="0"/>
    <w:pPr>
      <w:tabs>
        <w:tab w:val="right" w:leader="dot" w:pos="7091"/>
      </w:tabs>
      <w:ind w:left="2547" w:right="0" w:firstLine="0"/>
    </w:pPr>
  </w:style>
  <w:style w:type="paragraph" w:customStyle="1" w:styleId="49">
    <w:name w:val="表格内容"/>
    <w:basedOn w:val="1"/>
    <w:uiPriority w:val="0"/>
    <w:pPr>
      <w:suppressLineNumbers/>
    </w:pPr>
  </w:style>
  <w:style w:type="paragraph" w:customStyle="1" w:styleId="50">
    <w:name w:val="表格标题"/>
    <w:basedOn w:val="49"/>
    <w:uiPriority w:val="0"/>
    <w:pPr>
      <w:suppressLineNumbers/>
      <w:jc w:val="center"/>
    </w:pPr>
    <w:rPr>
      <w:b/>
      <w:bCs/>
    </w:rPr>
  </w:style>
  <w:style w:type="paragraph" w:customStyle="1" w:styleId="51">
    <w:name w:val="框内容"/>
    <w:basedOn w:val="8"/>
    <w:uiPriority w:val="0"/>
  </w:style>
  <w:style w:type="paragraph" w:styleId="52">
    <w:name w:val="List Paragraph"/>
    <w:basedOn w:val="1"/>
    <w:qFormat/>
    <w:uiPriority w:val="34"/>
    <w:pPr>
      <w:ind w:firstLine="420" w:firstLineChars="200"/>
    </w:pPr>
  </w:style>
  <w:style w:type="paragraph" w:customStyle="1" w:styleId="53">
    <w:name w:val="xl33"/>
    <w:basedOn w:val="1"/>
    <w:uiPriority w:val="0"/>
    <w:pPr>
      <w:widowControl/>
      <w:pBdr>
        <w:left w:val="single" w:color="auto" w:sz="4" w:space="0"/>
        <w:bottom w:val="single" w:color="auto" w:sz="4" w:space="0"/>
        <w:right w:val="single" w:color="auto" w:sz="4" w:space="0"/>
      </w:pBdr>
      <w:suppressAutoHyphens w:val="0"/>
      <w:spacing w:before="100" w:beforeAutospacing="1" w:after="100" w:afterAutospacing="1"/>
      <w:jc w:val="center"/>
    </w:pPr>
    <w:rPr>
      <w:rFonts w:ascii="Arial Unicode MS" w:hAnsi="Arial Unicode MS" w:eastAsia="Arial Unicode MS" w:cs="Arial Unicode MS"/>
      <w:kern w:val="0"/>
      <w:sz w:val="24"/>
      <w:szCs w:val="20"/>
      <w:lang w:eastAsia="zh-CN"/>
    </w:rPr>
  </w:style>
  <w:style w:type="character" w:customStyle="1" w:styleId="54">
    <w:name w:val="WW8Num1z0"/>
    <w:uiPriority w:val="0"/>
    <w:rPr>
      <w:rFonts w:hint="eastAsia"/>
    </w:rPr>
  </w:style>
  <w:style w:type="character" w:customStyle="1" w:styleId="55">
    <w:name w:val="WW8Num1z1"/>
    <w:uiPriority w:val="0"/>
  </w:style>
  <w:style w:type="character" w:customStyle="1" w:styleId="56">
    <w:name w:val="WW8Num1z2"/>
    <w:uiPriority w:val="0"/>
  </w:style>
  <w:style w:type="character" w:customStyle="1" w:styleId="57">
    <w:name w:val="WW8Num1z3"/>
    <w:uiPriority w:val="0"/>
  </w:style>
  <w:style w:type="character" w:customStyle="1" w:styleId="58">
    <w:name w:val="WW8Num1z4"/>
    <w:uiPriority w:val="0"/>
  </w:style>
  <w:style w:type="character" w:customStyle="1" w:styleId="59">
    <w:name w:val="WW8Num1z5"/>
    <w:uiPriority w:val="0"/>
  </w:style>
  <w:style w:type="character" w:customStyle="1" w:styleId="60">
    <w:name w:val="WW8Num1z6"/>
    <w:uiPriority w:val="0"/>
  </w:style>
  <w:style w:type="character" w:customStyle="1" w:styleId="61">
    <w:name w:val="WW8Num1z7"/>
    <w:uiPriority w:val="0"/>
  </w:style>
  <w:style w:type="character" w:customStyle="1" w:styleId="62">
    <w:name w:val="WW8Num1z8"/>
    <w:uiPriority w:val="0"/>
  </w:style>
  <w:style w:type="character" w:customStyle="1" w:styleId="63">
    <w:name w:val="WW8Num2z0"/>
    <w:uiPriority w:val="0"/>
    <w:rPr>
      <w:rFonts w:hint="eastAsia"/>
    </w:rPr>
  </w:style>
  <w:style w:type="character" w:customStyle="1" w:styleId="64">
    <w:name w:val="WW8Num2z1"/>
    <w:uiPriority w:val="0"/>
  </w:style>
  <w:style w:type="character" w:customStyle="1" w:styleId="65">
    <w:name w:val="WW8Num2z2"/>
    <w:uiPriority w:val="0"/>
  </w:style>
  <w:style w:type="character" w:customStyle="1" w:styleId="66">
    <w:name w:val="WW8Num2z3"/>
    <w:uiPriority w:val="0"/>
  </w:style>
  <w:style w:type="character" w:customStyle="1" w:styleId="67">
    <w:name w:val="WW8Num2z4"/>
    <w:uiPriority w:val="0"/>
  </w:style>
  <w:style w:type="character" w:customStyle="1" w:styleId="68">
    <w:name w:val="WW8Num2z5"/>
    <w:uiPriority w:val="0"/>
  </w:style>
  <w:style w:type="character" w:customStyle="1" w:styleId="69">
    <w:name w:val="WW8Num2z6"/>
    <w:uiPriority w:val="0"/>
  </w:style>
  <w:style w:type="character" w:customStyle="1" w:styleId="70">
    <w:name w:val="WW8Num2z7"/>
    <w:uiPriority w:val="0"/>
  </w:style>
  <w:style w:type="character" w:customStyle="1" w:styleId="71">
    <w:name w:val="WW8Num2z8"/>
    <w:uiPriority w:val="0"/>
  </w:style>
  <w:style w:type="character" w:customStyle="1" w:styleId="72">
    <w:name w:val="WW8Num3z0"/>
    <w:uiPriority w:val="0"/>
    <w:rPr>
      <w:rFonts w:hint="eastAsia"/>
    </w:rPr>
  </w:style>
  <w:style w:type="character" w:customStyle="1" w:styleId="73">
    <w:name w:val="WW8Num3z1"/>
    <w:uiPriority w:val="0"/>
  </w:style>
  <w:style w:type="character" w:customStyle="1" w:styleId="74">
    <w:name w:val="WW8Num3z2"/>
    <w:uiPriority w:val="0"/>
  </w:style>
  <w:style w:type="character" w:customStyle="1" w:styleId="75">
    <w:name w:val="WW8Num3z3"/>
    <w:uiPriority w:val="0"/>
  </w:style>
  <w:style w:type="character" w:customStyle="1" w:styleId="76">
    <w:name w:val="WW8Num3z4"/>
    <w:uiPriority w:val="0"/>
  </w:style>
  <w:style w:type="character" w:customStyle="1" w:styleId="77">
    <w:name w:val="WW8Num3z5"/>
    <w:uiPriority w:val="0"/>
  </w:style>
  <w:style w:type="character" w:customStyle="1" w:styleId="78">
    <w:name w:val="WW8Num3z6"/>
    <w:uiPriority w:val="0"/>
  </w:style>
  <w:style w:type="character" w:customStyle="1" w:styleId="79">
    <w:name w:val="WW8Num3z7"/>
    <w:uiPriority w:val="0"/>
  </w:style>
  <w:style w:type="character" w:customStyle="1" w:styleId="80">
    <w:name w:val="WW8Num3z8"/>
    <w:uiPriority w:val="0"/>
  </w:style>
  <w:style w:type="character" w:customStyle="1" w:styleId="81">
    <w:name w:val="WW8Num4z0"/>
    <w:uiPriority w:val="0"/>
    <w:rPr>
      <w:rFonts w:hint="eastAsia"/>
    </w:rPr>
  </w:style>
  <w:style w:type="character" w:customStyle="1" w:styleId="82">
    <w:name w:val="WW8Num4z1"/>
    <w:uiPriority w:val="0"/>
  </w:style>
  <w:style w:type="character" w:customStyle="1" w:styleId="83">
    <w:name w:val="WW8Num4z2"/>
    <w:uiPriority w:val="0"/>
  </w:style>
  <w:style w:type="character" w:customStyle="1" w:styleId="84">
    <w:name w:val="WW8Num4z3"/>
    <w:uiPriority w:val="0"/>
  </w:style>
  <w:style w:type="character" w:customStyle="1" w:styleId="85">
    <w:name w:val="WW8Num4z4"/>
    <w:uiPriority w:val="0"/>
  </w:style>
  <w:style w:type="character" w:customStyle="1" w:styleId="86">
    <w:name w:val="WW8Num4z5"/>
    <w:uiPriority w:val="0"/>
  </w:style>
  <w:style w:type="character" w:customStyle="1" w:styleId="87">
    <w:name w:val="WW8Num4z6"/>
    <w:uiPriority w:val="0"/>
  </w:style>
  <w:style w:type="character" w:customStyle="1" w:styleId="88">
    <w:name w:val="WW8Num4z7"/>
    <w:uiPriority w:val="0"/>
  </w:style>
  <w:style w:type="character" w:customStyle="1" w:styleId="89">
    <w:name w:val="WW8Num4z8"/>
    <w:uiPriority w:val="0"/>
  </w:style>
  <w:style w:type="character" w:customStyle="1" w:styleId="90">
    <w:name w:val="WW8Num5z0"/>
    <w:uiPriority w:val="0"/>
    <w:rPr>
      <w:rFonts w:hint="eastAsia"/>
    </w:rPr>
  </w:style>
  <w:style w:type="character" w:customStyle="1" w:styleId="91">
    <w:name w:val="WW8Num5z1"/>
    <w:uiPriority w:val="0"/>
  </w:style>
  <w:style w:type="character" w:customStyle="1" w:styleId="92">
    <w:name w:val="WW8Num5z2"/>
    <w:uiPriority w:val="0"/>
  </w:style>
  <w:style w:type="character" w:customStyle="1" w:styleId="93">
    <w:name w:val="WW8Num5z3"/>
    <w:uiPriority w:val="0"/>
  </w:style>
  <w:style w:type="character" w:customStyle="1" w:styleId="94">
    <w:name w:val="WW8Num5z4"/>
    <w:uiPriority w:val="0"/>
  </w:style>
  <w:style w:type="character" w:customStyle="1" w:styleId="95">
    <w:name w:val="WW8Num5z5"/>
    <w:uiPriority w:val="0"/>
  </w:style>
  <w:style w:type="character" w:customStyle="1" w:styleId="96">
    <w:name w:val="WW8Num5z6"/>
    <w:uiPriority w:val="0"/>
  </w:style>
  <w:style w:type="character" w:customStyle="1" w:styleId="97">
    <w:name w:val="WW8Num5z7"/>
    <w:uiPriority w:val="0"/>
  </w:style>
  <w:style w:type="character" w:customStyle="1" w:styleId="98">
    <w:name w:val="WW8Num5z8"/>
    <w:uiPriority w:val="0"/>
  </w:style>
  <w:style w:type="character" w:customStyle="1" w:styleId="99">
    <w:name w:val="WW8Num6z0"/>
    <w:uiPriority w:val="0"/>
    <w:rPr>
      <w:rFonts w:hint="eastAsia"/>
    </w:rPr>
  </w:style>
  <w:style w:type="character" w:customStyle="1" w:styleId="100">
    <w:name w:val="WW8Num6z1"/>
    <w:uiPriority w:val="0"/>
  </w:style>
  <w:style w:type="character" w:customStyle="1" w:styleId="101">
    <w:name w:val="WW8Num6z2"/>
    <w:uiPriority w:val="0"/>
  </w:style>
  <w:style w:type="character" w:customStyle="1" w:styleId="102">
    <w:name w:val="WW8Num6z3"/>
    <w:uiPriority w:val="0"/>
  </w:style>
  <w:style w:type="character" w:customStyle="1" w:styleId="103">
    <w:name w:val="WW8Num6z4"/>
    <w:uiPriority w:val="0"/>
  </w:style>
  <w:style w:type="character" w:customStyle="1" w:styleId="104">
    <w:name w:val="WW8Num6z5"/>
    <w:uiPriority w:val="0"/>
  </w:style>
  <w:style w:type="character" w:customStyle="1" w:styleId="105">
    <w:name w:val="WW8Num6z6"/>
    <w:uiPriority w:val="0"/>
  </w:style>
  <w:style w:type="character" w:customStyle="1" w:styleId="106">
    <w:name w:val="WW8Num6z7"/>
    <w:uiPriority w:val="0"/>
  </w:style>
  <w:style w:type="character" w:customStyle="1" w:styleId="107">
    <w:name w:val="WW8Num6z8"/>
    <w:uiPriority w:val="0"/>
  </w:style>
  <w:style w:type="character" w:customStyle="1" w:styleId="108">
    <w:name w:val="WW8Num7z0"/>
    <w:uiPriority w:val="0"/>
    <w:rPr>
      <w:rFonts w:hint="default"/>
    </w:rPr>
  </w:style>
  <w:style w:type="character" w:customStyle="1" w:styleId="109">
    <w:name w:val="WW8Num7z1"/>
    <w:uiPriority w:val="0"/>
  </w:style>
  <w:style w:type="character" w:customStyle="1" w:styleId="110">
    <w:name w:val="WW8Num7z2"/>
    <w:uiPriority w:val="0"/>
  </w:style>
  <w:style w:type="character" w:customStyle="1" w:styleId="111">
    <w:name w:val="WW8Num7z3"/>
    <w:uiPriority w:val="0"/>
  </w:style>
  <w:style w:type="character" w:customStyle="1" w:styleId="112">
    <w:name w:val="WW8Num7z4"/>
    <w:uiPriority w:val="0"/>
  </w:style>
  <w:style w:type="character" w:customStyle="1" w:styleId="113">
    <w:name w:val="WW8Num7z5"/>
    <w:uiPriority w:val="0"/>
  </w:style>
  <w:style w:type="character" w:customStyle="1" w:styleId="114">
    <w:name w:val="WW8Num7z6"/>
    <w:uiPriority w:val="0"/>
  </w:style>
  <w:style w:type="character" w:customStyle="1" w:styleId="115">
    <w:name w:val="WW8Num7z7"/>
    <w:uiPriority w:val="0"/>
  </w:style>
  <w:style w:type="character" w:customStyle="1" w:styleId="116">
    <w:name w:val="WW8Num7z8"/>
    <w:uiPriority w:val="0"/>
  </w:style>
  <w:style w:type="character" w:customStyle="1" w:styleId="117">
    <w:name w:val="WW8Num8z0"/>
    <w:uiPriority w:val="0"/>
    <w:rPr>
      <w:rFonts w:hint="eastAsia"/>
      <w:lang w:val="en-US"/>
    </w:rPr>
  </w:style>
  <w:style w:type="character" w:customStyle="1" w:styleId="118">
    <w:name w:val="WW8Num8z1"/>
    <w:uiPriority w:val="0"/>
  </w:style>
  <w:style w:type="character" w:customStyle="1" w:styleId="119">
    <w:name w:val="WW8Num8z2"/>
    <w:uiPriority w:val="0"/>
  </w:style>
  <w:style w:type="character" w:customStyle="1" w:styleId="120">
    <w:name w:val="WW8Num8z3"/>
    <w:uiPriority w:val="0"/>
  </w:style>
  <w:style w:type="character" w:customStyle="1" w:styleId="121">
    <w:name w:val="WW8Num8z4"/>
    <w:uiPriority w:val="0"/>
  </w:style>
  <w:style w:type="character" w:customStyle="1" w:styleId="122">
    <w:name w:val="WW8Num8z5"/>
    <w:uiPriority w:val="0"/>
  </w:style>
  <w:style w:type="character" w:customStyle="1" w:styleId="123">
    <w:name w:val="WW8Num8z6"/>
    <w:uiPriority w:val="0"/>
  </w:style>
  <w:style w:type="character" w:customStyle="1" w:styleId="124">
    <w:name w:val="WW8Num8z7"/>
    <w:uiPriority w:val="0"/>
  </w:style>
  <w:style w:type="character" w:customStyle="1" w:styleId="125">
    <w:name w:val="WW8Num8z8"/>
    <w:uiPriority w:val="0"/>
  </w:style>
  <w:style w:type="character" w:customStyle="1" w:styleId="126">
    <w:name w:val="WW8Num9z0"/>
    <w:uiPriority w:val="0"/>
    <w:rPr>
      <w:rFonts w:hint="default"/>
    </w:rPr>
  </w:style>
  <w:style w:type="character" w:customStyle="1" w:styleId="127">
    <w:name w:val="WW8Num9z1"/>
    <w:uiPriority w:val="0"/>
  </w:style>
  <w:style w:type="character" w:customStyle="1" w:styleId="128">
    <w:name w:val="WW8Num9z2"/>
    <w:uiPriority w:val="0"/>
  </w:style>
  <w:style w:type="character" w:customStyle="1" w:styleId="129">
    <w:name w:val="WW8Num9z3"/>
    <w:uiPriority w:val="0"/>
  </w:style>
  <w:style w:type="character" w:customStyle="1" w:styleId="130">
    <w:name w:val="WW8Num9z4"/>
    <w:uiPriority w:val="0"/>
  </w:style>
  <w:style w:type="character" w:customStyle="1" w:styleId="131">
    <w:name w:val="WW8Num9z5"/>
    <w:uiPriority w:val="0"/>
  </w:style>
  <w:style w:type="character" w:customStyle="1" w:styleId="132">
    <w:name w:val="WW8Num9z6"/>
    <w:uiPriority w:val="0"/>
  </w:style>
  <w:style w:type="character" w:customStyle="1" w:styleId="133">
    <w:name w:val="WW8Num9z7"/>
    <w:uiPriority w:val="0"/>
  </w:style>
  <w:style w:type="character" w:customStyle="1" w:styleId="134">
    <w:name w:val="WW8Num9z8"/>
    <w:uiPriority w:val="0"/>
  </w:style>
  <w:style w:type="character" w:customStyle="1" w:styleId="135">
    <w:name w:val="WW8Num10z0"/>
    <w:uiPriority w:val="0"/>
    <w:rPr>
      <w:rFonts w:hint="default" w:ascii="Times New Roman" w:hAnsi="Times New Roman" w:cs="Times New Roman"/>
      <w:sz w:val="24"/>
      <w:szCs w:val="24"/>
    </w:rPr>
  </w:style>
  <w:style w:type="character" w:customStyle="1" w:styleId="136">
    <w:name w:val="WW8Num10z1"/>
    <w:uiPriority w:val="0"/>
  </w:style>
  <w:style w:type="character" w:customStyle="1" w:styleId="137">
    <w:name w:val="WW8Num10z2"/>
    <w:uiPriority w:val="0"/>
  </w:style>
  <w:style w:type="character" w:customStyle="1" w:styleId="138">
    <w:name w:val="WW8Num10z3"/>
    <w:uiPriority w:val="0"/>
  </w:style>
  <w:style w:type="character" w:customStyle="1" w:styleId="139">
    <w:name w:val="WW8Num10z4"/>
    <w:uiPriority w:val="0"/>
  </w:style>
  <w:style w:type="character" w:customStyle="1" w:styleId="140">
    <w:name w:val="WW8Num10z5"/>
    <w:uiPriority w:val="0"/>
  </w:style>
  <w:style w:type="character" w:customStyle="1" w:styleId="141">
    <w:name w:val="WW8Num10z6"/>
    <w:uiPriority w:val="0"/>
  </w:style>
  <w:style w:type="character" w:customStyle="1" w:styleId="142">
    <w:name w:val="WW8Num10z7"/>
    <w:uiPriority w:val="0"/>
  </w:style>
  <w:style w:type="character" w:customStyle="1" w:styleId="143">
    <w:name w:val="WW8Num10z8"/>
    <w:uiPriority w:val="0"/>
  </w:style>
  <w:style w:type="character" w:customStyle="1" w:styleId="144">
    <w:name w:val="WW8Num11z0"/>
    <w:uiPriority w:val="0"/>
    <w:rPr>
      <w:rFonts w:hint="eastAsia"/>
    </w:rPr>
  </w:style>
  <w:style w:type="character" w:customStyle="1" w:styleId="145">
    <w:name w:val="WW8Num11z1"/>
    <w:uiPriority w:val="0"/>
  </w:style>
  <w:style w:type="character" w:customStyle="1" w:styleId="146">
    <w:name w:val="WW8Num11z2"/>
    <w:uiPriority w:val="0"/>
  </w:style>
  <w:style w:type="character" w:customStyle="1" w:styleId="147">
    <w:name w:val="WW8Num11z3"/>
    <w:uiPriority w:val="0"/>
  </w:style>
  <w:style w:type="character" w:customStyle="1" w:styleId="148">
    <w:name w:val="WW8Num11z4"/>
    <w:uiPriority w:val="0"/>
  </w:style>
  <w:style w:type="character" w:customStyle="1" w:styleId="149">
    <w:name w:val="WW8Num11z5"/>
    <w:uiPriority w:val="0"/>
  </w:style>
  <w:style w:type="character" w:customStyle="1" w:styleId="150">
    <w:name w:val="WW8Num11z6"/>
    <w:uiPriority w:val="0"/>
  </w:style>
  <w:style w:type="character" w:customStyle="1" w:styleId="151">
    <w:name w:val="WW8Num11z7"/>
    <w:uiPriority w:val="0"/>
  </w:style>
  <w:style w:type="character" w:customStyle="1" w:styleId="152">
    <w:name w:val="WW8Num11z8"/>
    <w:uiPriority w:val="0"/>
  </w:style>
  <w:style w:type="character" w:customStyle="1" w:styleId="153">
    <w:name w:val="WW8Num12z0"/>
    <w:uiPriority w:val="0"/>
    <w:rPr>
      <w:rFonts w:hint="eastAsia"/>
    </w:rPr>
  </w:style>
  <w:style w:type="character" w:customStyle="1" w:styleId="154">
    <w:name w:val="WW8Num12z1"/>
    <w:uiPriority w:val="0"/>
  </w:style>
  <w:style w:type="character" w:customStyle="1" w:styleId="155">
    <w:name w:val="WW8Num12z2"/>
    <w:uiPriority w:val="0"/>
  </w:style>
  <w:style w:type="character" w:customStyle="1" w:styleId="156">
    <w:name w:val="WW8Num12z3"/>
    <w:uiPriority w:val="0"/>
  </w:style>
  <w:style w:type="character" w:customStyle="1" w:styleId="157">
    <w:name w:val="WW8Num12z4"/>
    <w:uiPriority w:val="0"/>
  </w:style>
  <w:style w:type="character" w:customStyle="1" w:styleId="158">
    <w:name w:val="WW8Num12z5"/>
    <w:uiPriority w:val="0"/>
  </w:style>
  <w:style w:type="character" w:customStyle="1" w:styleId="159">
    <w:name w:val="WW8Num12z6"/>
    <w:uiPriority w:val="0"/>
  </w:style>
  <w:style w:type="character" w:customStyle="1" w:styleId="160">
    <w:name w:val="WW8Num12z7"/>
    <w:uiPriority w:val="0"/>
  </w:style>
  <w:style w:type="character" w:customStyle="1" w:styleId="161">
    <w:name w:val="WW8Num12z8"/>
    <w:uiPriority w:val="0"/>
  </w:style>
  <w:style w:type="character" w:customStyle="1" w:styleId="162">
    <w:name w:val="WW8Num13z0"/>
    <w:uiPriority w:val="0"/>
    <w:rPr>
      <w:rFonts w:hint="eastAsia"/>
    </w:rPr>
  </w:style>
  <w:style w:type="character" w:customStyle="1" w:styleId="163">
    <w:name w:val="WW8Num13z1"/>
    <w:uiPriority w:val="0"/>
    <w:rPr>
      <w:rFonts w:hint="default"/>
    </w:rPr>
  </w:style>
  <w:style w:type="character" w:customStyle="1" w:styleId="164">
    <w:name w:val="WW8Num13z2"/>
    <w:uiPriority w:val="0"/>
  </w:style>
  <w:style w:type="character" w:customStyle="1" w:styleId="165">
    <w:name w:val="WW8Num13z3"/>
    <w:uiPriority w:val="0"/>
  </w:style>
  <w:style w:type="character" w:customStyle="1" w:styleId="166">
    <w:name w:val="WW8Num13z4"/>
    <w:uiPriority w:val="0"/>
  </w:style>
  <w:style w:type="character" w:customStyle="1" w:styleId="167">
    <w:name w:val="WW8Num13z5"/>
    <w:uiPriority w:val="0"/>
  </w:style>
  <w:style w:type="character" w:customStyle="1" w:styleId="168">
    <w:name w:val="WW8Num13z6"/>
    <w:uiPriority w:val="0"/>
  </w:style>
  <w:style w:type="character" w:customStyle="1" w:styleId="169">
    <w:name w:val="WW8Num13z7"/>
    <w:uiPriority w:val="0"/>
  </w:style>
  <w:style w:type="character" w:customStyle="1" w:styleId="170">
    <w:name w:val="WW8Num13z8"/>
    <w:uiPriority w:val="0"/>
  </w:style>
  <w:style w:type="character" w:customStyle="1" w:styleId="171">
    <w:name w:val="WW8Num14z0"/>
    <w:uiPriority w:val="0"/>
    <w:rPr>
      <w:rFonts w:hint="default"/>
    </w:rPr>
  </w:style>
  <w:style w:type="character" w:customStyle="1" w:styleId="172">
    <w:name w:val="WW8Num14z1"/>
    <w:uiPriority w:val="0"/>
  </w:style>
  <w:style w:type="character" w:customStyle="1" w:styleId="173">
    <w:name w:val="WW8Num14z2"/>
    <w:uiPriority w:val="0"/>
  </w:style>
  <w:style w:type="character" w:customStyle="1" w:styleId="174">
    <w:name w:val="WW8Num14z3"/>
    <w:uiPriority w:val="0"/>
  </w:style>
  <w:style w:type="character" w:customStyle="1" w:styleId="175">
    <w:name w:val="WW8Num14z4"/>
    <w:uiPriority w:val="0"/>
  </w:style>
  <w:style w:type="character" w:customStyle="1" w:styleId="176">
    <w:name w:val="WW8Num14z5"/>
    <w:uiPriority w:val="0"/>
  </w:style>
  <w:style w:type="character" w:customStyle="1" w:styleId="177">
    <w:name w:val="WW8Num14z6"/>
    <w:uiPriority w:val="0"/>
  </w:style>
  <w:style w:type="character" w:customStyle="1" w:styleId="178">
    <w:name w:val="WW8Num14z7"/>
    <w:uiPriority w:val="0"/>
  </w:style>
  <w:style w:type="character" w:customStyle="1" w:styleId="179">
    <w:name w:val="WW8Num14z8"/>
    <w:uiPriority w:val="0"/>
  </w:style>
  <w:style w:type="character" w:customStyle="1" w:styleId="180">
    <w:name w:val="WW8Num15z0"/>
    <w:uiPriority w:val="0"/>
    <w:rPr>
      <w:rFonts w:hint="default" w:ascii="Wingdings" w:hAnsi="Wingdings" w:cs="Wingdings"/>
    </w:rPr>
  </w:style>
  <w:style w:type="character" w:customStyle="1" w:styleId="181">
    <w:name w:val="WW8Num16z0"/>
    <w:uiPriority w:val="0"/>
    <w:rPr>
      <w:rFonts w:hint="eastAsia"/>
    </w:rPr>
  </w:style>
  <w:style w:type="character" w:customStyle="1" w:styleId="182">
    <w:name w:val="WW8Num16z1"/>
    <w:uiPriority w:val="0"/>
  </w:style>
  <w:style w:type="character" w:customStyle="1" w:styleId="183">
    <w:name w:val="WW8Num16z2"/>
    <w:uiPriority w:val="0"/>
  </w:style>
  <w:style w:type="character" w:customStyle="1" w:styleId="184">
    <w:name w:val="WW8Num16z3"/>
    <w:uiPriority w:val="0"/>
  </w:style>
  <w:style w:type="character" w:customStyle="1" w:styleId="185">
    <w:name w:val="WW8Num16z4"/>
    <w:uiPriority w:val="0"/>
  </w:style>
  <w:style w:type="character" w:customStyle="1" w:styleId="186">
    <w:name w:val="WW8Num16z5"/>
    <w:uiPriority w:val="0"/>
  </w:style>
  <w:style w:type="character" w:customStyle="1" w:styleId="187">
    <w:name w:val="WW8Num16z6"/>
    <w:uiPriority w:val="0"/>
  </w:style>
  <w:style w:type="character" w:customStyle="1" w:styleId="188">
    <w:name w:val="WW8Num16z7"/>
    <w:uiPriority w:val="0"/>
  </w:style>
  <w:style w:type="character" w:customStyle="1" w:styleId="189">
    <w:name w:val="WW8Num16z8"/>
    <w:uiPriority w:val="0"/>
  </w:style>
  <w:style w:type="character" w:customStyle="1" w:styleId="190">
    <w:name w:val="WW8Num17z0"/>
    <w:uiPriority w:val="0"/>
    <w:rPr>
      <w:rFonts w:hint="eastAsia"/>
    </w:rPr>
  </w:style>
  <w:style w:type="character" w:customStyle="1" w:styleId="191">
    <w:name w:val="WW8Num17z1"/>
    <w:uiPriority w:val="0"/>
  </w:style>
  <w:style w:type="character" w:customStyle="1" w:styleId="192">
    <w:name w:val="WW8Num17z2"/>
    <w:uiPriority w:val="0"/>
    <w:rPr>
      <w:rFonts w:hint="default" w:ascii="Wingdings" w:hAnsi="Wingdings" w:cs="Wingdings"/>
    </w:rPr>
  </w:style>
  <w:style w:type="character" w:customStyle="1" w:styleId="193">
    <w:name w:val="WW8Num17z3"/>
    <w:uiPriority w:val="0"/>
  </w:style>
  <w:style w:type="character" w:customStyle="1" w:styleId="194">
    <w:name w:val="WW8Num17z4"/>
    <w:uiPriority w:val="0"/>
  </w:style>
  <w:style w:type="character" w:customStyle="1" w:styleId="195">
    <w:name w:val="WW8Num17z5"/>
    <w:uiPriority w:val="0"/>
  </w:style>
  <w:style w:type="character" w:customStyle="1" w:styleId="196">
    <w:name w:val="WW8Num17z6"/>
    <w:uiPriority w:val="0"/>
  </w:style>
  <w:style w:type="character" w:customStyle="1" w:styleId="197">
    <w:name w:val="WW8Num17z7"/>
    <w:uiPriority w:val="0"/>
  </w:style>
  <w:style w:type="character" w:customStyle="1" w:styleId="198">
    <w:name w:val="WW8Num17z8"/>
    <w:uiPriority w:val="0"/>
  </w:style>
  <w:style w:type="character" w:customStyle="1" w:styleId="199">
    <w:name w:val="WW8Num18z0"/>
    <w:uiPriority w:val="0"/>
    <w:rPr>
      <w:rFonts w:hint="eastAsia"/>
    </w:rPr>
  </w:style>
  <w:style w:type="character" w:customStyle="1" w:styleId="200">
    <w:name w:val="WW8Num18z1"/>
    <w:uiPriority w:val="0"/>
  </w:style>
  <w:style w:type="character" w:customStyle="1" w:styleId="201">
    <w:name w:val="WW8Num18z2"/>
    <w:uiPriority w:val="0"/>
  </w:style>
  <w:style w:type="character" w:customStyle="1" w:styleId="202">
    <w:name w:val="WW8Num18z3"/>
    <w:uiPriority w:val="0"/>
  </w:style>
  <w:style w:type="character" w:customStyle="1" w:styleId="203">
    <w:name w:val="WW8Num18z4"/>
    <w:uiPriority w:val="0"/>
  </w:style>
  <w:style w:type="character" w:customStyle="1" w:styleId="204">
    <w:name w:val="WW8Num18z5"/>
    <w:uiPriority w:val="0"/>
  </w:style>
  <w:style w:type="character" w:customStyle="1" w:styleId="205">
    <w:name w:val="WW8Num18z6"/>
    <w:uiPriority w:val="0"/>
  </w:style>
  <w:style w:type="character" w:customStyle="1" w:styleId="206">
    <w:name w:val="WW8Num18z7"/>
    <w:uiPriority w:val="0"/>
  </w:style>
  <w:style w:type="character" w:customStyle="1" w:styleId="207">
    <w:name w:val="WW8Num18z8"/>
    <w:uiPriority w:val="0"/>
  </w:style>
  <w:style w:type="character" w:customStyle="1" w:styleId="208">
    <w:name w:val="WW8Num19z0"/>
    <w:uiPriority w:val="0"/>
    <w:rPr>
      <w:rFonts w:hint="eastAsia"/>
    </w:rPr>
  </w:style>
  <w:style w:type="character" w:customStyle="1" w:styleId="209">
    <w:name w:val="WW8Num19z2"/>
    <w:uiPriority w:val="0"/>
  </w:style>
  <w:style w:type="character" w:customStyle="1" w:styleId="210">
    <w:name w:val="WW8Num19z3"/>
    <w:uiPriority w:val="0"/>
  </w:style>
  <w:style w:type="character" w:customStyle="1" w:styleId="211">
    <w:name w:val="WW8Num19z4"/>
    <w:uiPriority w:val="0"/>
  </w:style>
  <w:style w:type="character" w:customStyle="1" w:styleId="212">
    <w:name w:val="WW8Num19z5"/>
    <w:uiPriority w:val="0"/>
  </w:style>
  <w:style w:type="character" w:customStyle="1" w:styleId="213">
    <w:name w:val="WW8Num19z6"/>
    <w:uiPriority w:val="0"/>
  </w:style>
  <w:style w:type="character" w:customStyle="1" w:styleId="214">
    <w:name w:val="WW8Num19z7"/>
    <w:uiPriority w:val="0"/>
  </w:style>
  <w:style w:type="character" w:customStyle="1" w:styleId="215">
    <w:name w:val="WW8Num19z8"/>
    <w:uiPriority w:val="0"/>
  </w:style>
  <w:style w:type="character" w:customStyle="1" w:styleId="216">
    <w:name w:val="WW8Num20z0"/>
    <w:uiPriority w:val="0"/>
    <w:rPr>
      <w:rFonts w:hint="eastAsia"/>
    </w:rPr>
  </w:style>
  <w:style w:type="character" w:customStyle="1" w:styleId="217">
    <w:name w:val="WW8Num20z1"/>
    <w:uiPriority w:val="0"/>
  </w:style>
  <w:style w:type="character" w:customStyle="1" w:styleId="218">
    <w:name w:val="WW8Num20z2"/>
    <w:uiPriority w:val="0"/>
  </w:style>
  <w:style w:type="character" w:customStyle="1" w:styleId="219">
    <w:name w:val="WW8Num20z3"/>
    <w:uiPriority w:val="0"/>
  </w:style>
  <w:style w:type="character" w:customStyle="1" w:styleId="220">
    <w:name w:val="WW8Num20z4"/>
    <w:uiPriority w:val="0"/>
  </w:style>
  <w:style w:type="character" w:customStyle="1" w:styleId="221">
    <w:name w:val="WW8Num20z5"/>
    <w:uiPriority w:val="0"/>
  </w:style>
  <w:style w:type="character" w:customStyle="1" w:styleId="222">
    <w:name w:val="WW8Num20z6"/>
    <w:uiPriority w:val="0"/>
  </w:style>
  <w:style w:type="character" w:customStyle="1" w:styleId="223">
    <w:name w:val="WW8Num20z7"/>
    <w:uiPriority w:val="0"/>
  </w:style>
  <w:style w:type="character" w:customStyle="1" w:styleId="224">
    <w:name w:val="WW8Num20z8"/>
    <w:uiPriority w:val="0"/>
  </w:style>
  <w:style w:type="character" w:customStyle="1" w:styleId="225">
    <w:name w:val="WW8Num21z0"/>
    <w:uiPriority w:val="0"/>
    <w:rPr>
      <w:rFonts w:hint="eastAsia"/>
    </w:rPr>
  </w:style>
  <w:style w:type="character" w:customStyle="1" w:styleId="226">
    <w:name w:val="WW8Num21z3"/>
    <w:uiPriority w:val="0"/>
    <w:rPr>
      <w:rFonts w:hint="default"/>
    </w:rPr>
  </w:style>
  <w:style w:type="character" w:customStyle="1" w:styleId="227">
    <w:name w:val="WW8Num21z4"/>
    <w:uiPriority w:val="0"/>
  </w:style>
  <w:style w:type="character" w:customStyle="1" w:styleId="228">
    <w:name w:val="WW8Num21z5"/>
    <w:uiPriority w:val="0"/>
  </w:style>
  <w:style w:type="character" w:customStyle="1" w:styleId="229">
    <w:name w:val="WW8Num21z6"/>
    <w:uiPriority w:val="0"/>
  </w:style>
  <w:style w:type="character" w:customStyle="1" w:styleId="230">
    <w:name w:val="WW8Num21z7"/>
    <w:uiPriority w:val="0"/>
  </w:style>
  <w:style w:type="character" w:customStyle="1" w:styleId="231">
    <w:name w:val="WW8Num21z8"/>
    <w:uiPriority w:val="0"/>
  </w:style>
  <w:style w:type="character" w:customStyle="1" w:styleId="232">
    <w:name w:val="WW8Num22z0"/>
    <w:uiPriority w:val="0"/>
    <w:rPr>
      <w:rFonts w:hint="eastAsia"/>
    </w:rPr>
  </w:style>
  <w:style w:type="character" w:customStyle="1" w:styleId="233">
    <w:name w:val="WW8Num22z1"/>
    <w:uiPriority w:val="0"/>
  </w:style>
  <w:style w:type="character" w:customStyle="1" w:styleId="234">
    <w:name w:val="WW8Num22z2"/>
    <w:uiPriority w:val="0"/>
  </w:style>
  <w:style w:type="character" w:customStyle="1" w:styleId="235">
    <w:name w:val="WW8Num22z3"/>
    <w:uiPriority w:val="0"/>
  </w:style>
  <w:style w:type="character" w:customStyle="1" w:styleId="236">
    <w:name w:val="WW8Num22z4"/>
    <w:uiPriority w:val="0"/>
  </w:style>
  <w:style w:type="character" w:customStyle="1" w:styleId="237">
    <w:name w:val="WW8Num22z5"/>
    <w:uiPriority w:val="0"/>
  </w:style>
  <w:style w:type="character" w:customStyle="1" w:styleId="238">
    <w:name w:val="WW8Num22z6"/>
    <w:uiPriority w:val="0"/>
  </w:style>
  <w:style w:type="character" w:customStyle="1" w:styleId="239">
    <w:name w:val="WW8Num22z7"/>
    <w:uiPriority w:val="0"/>
  </w:style>
  <w:style w:type="character" w:customStyle="1" w:styleId="240">
    <w:name w:val="WW8Num22z8"/>
    <w:uiPriority w:val="0"/>
  </w:style>
  <w:style w:type="character" w:customStyle="1" w:styleId="241">
    <w:name w:val="WW8Num23z0"/>
    <w:uiPriority w:val="0"/>
    <w:rPr>
      <w:rFonts w:hint="default" w:ascii="Wingdings" w:hAnsi="Wingdings" w:cs="Wingdings"/>
    </w:rPr>
  </w:style>
  <w:style w:type="character" w:customStyle="1" w:styleId="242">
    <w:name w:val="WW8Num24z0"/>
    <w:uiPriority w:val="0"/>
    <w:rPr>
      <w:rFonts w:hint="default" w:ascii="Times New Roman" w:hAnsi="Times New Roman" w:cs="Times New Roman"/>
      <w:sz w:val="24"/>
      <w:szCs w:val="24"/>
    </w:rPr>
  </w:style>
  <w:style w:type="character" w:customStyle="1" w:styleId="243">
    <w:name w:val="WW8Num24z1"/>
    <w:uiPriority w:val="0"/>
  </w:style>
  <w:style w:type="character" w:customStyle="1" w:styleId="244">
    <w:name w:val="WW8Num24z2"/>
    <w:uiPriority w:val="0"/>
    <w:rPr>
      <w:rFonts w:hint="default"/>
      <w:sz w:val="24"/>
      <w:szCs w:val="24"/>
    </w:rPr>
  </w:style>
  <w:style w:type="character" w:customStyle="1" w:styleId="245">
    <w:name w:val="WW8Num24z3"/>
    <w:uiPriority w:val="0"/>
  </w:style>
  <w:style w:type="character" w:customStyle="1" w:styleId="246">
    <w:name w:val="WW8Num24z4"/>
    <w:uiPriority w:val="0"/>
  </w:style>
  <w:style w:type="character" w:customStyle="1" w:styleId="247">
    <w:name w:val="WW8Num24z5"/>
    <w:uiPriority w:val="0"/>
  </w:style>
  <w:style w:type="character" w:customStyle="1" w:styleId="248">
    <w:name w:val="WW8Num24z6"/>
    <w:uiPriority w:val="0"/>
  </w:style>
  <w:style w:type="character" w:customStyle="1" w:styleId="249">
    <w:name w:val="WW8Num24z7"/>
    <w:uiPriority w:val="0"/>
  </w:style>
  <w:style w:type="character" w:customStyle="1" w:styleId="250">
    <w:name w:val="WW8Num24z8"/>
    <w:uiPriority w:val="0"/>
  </w:style>
  <w:style w:type="character" w:customStyle="1" w:styleId="251">
    <w:name w:val="WW8Num25z0"/>
    <w:uiPriority w:val="0"/>
    <w:rPr>
      <w:rFonts w:hint="default"/>
    </w:rPr>
  </w:style>
  <w:style w:type="character" w:customStyle="1" w:styleId="252">
    <w:name w:val="WW8Num25z1"/>
    <w:uiPriority w:val="0"/>
  </w:style>
  <w:style w:type="character" w:customStyle="1" w:styleId="253">
    <w:name w:val="WW8Num25z2"/>
    <w:uiPriority w:val="0"/>
  </w:style>
  <w:style w:type="character" w:customStyle="1" w:styleId="254">
    <w:name w:val="WW8Num25z3"/>
    <w:uiPriority w:val="0"/>
  </w:style>
  <w:style w:type="character" w:customStyle="1" w:styleId="255">
    <w:name w:val="WW8Num25z4"/>
    <w:uiPriority w:val="0"/>
  </w:style>
  <w:style w:type="character" w:customStyle="1" w:styleId="256">
    <w:name w:val="WW8Num25z5"/>
    <w:uiPriority w:val="0"/>
  </w:style>
  <w:style w:type="character" w:customStyle="1" w:styleId="257">
    <w:name w:val="WW8Num25z6"/>
    <w:uiPriority w:val="0"/>
  </w:style>
  <w:style w:type="character" w:customStyle="1" w:styleId="258">
    <w:name w:val="WW8Num25z7"/>
    <w:uiPriority w:val="0"/>
  </w:style>
  <w:style w:type="character" w:customStyle="1" w:styleId="259">
    <w:name w:val="WW8Num25z8"/>
    <w:uiPriority w:val="0"/>
  </w:style>
  <w:style w:type="character" w:customStyle="1" w:styleId="260">
    <w:name w:val="WW8Num26z0"/>
    <w:uiPriority w:val="0"/>
    <w:rPr>
      <w:rFonts w:hint="default"/>
    </w:rPr>
  </w:style>
  <w:style w:type="character" w:customStyle="1" w:styleId="261">
    <w:name w:val="WW8Num26z1"/>
    <w:uiPriority w:val="0"/>
  </w:style>
  <w:style w:type="character" w:customStyle="1" w:styleId="262">
    <w:name w:val="WW8Num26z2"/>
    <w:uiPriority w:val="0"/>
  </w:style>
  <w:style w:type="character" w:customStyle="1" w:styleId="263">
    <w:name w:val="WW8Num26z3"/>
    <w:uiPriority w:val="0"/>
  </w:style>
  <w:style w:type="character" w:customStyle="1" w:styleId="264">
    <w:name w:val="WW8Num26z4"/>
    <w:uiPriority w:val="0"/>
  </w:style>
  <w:style w:type="character" w:customStyle="1" w:styleId="265">
    <w:name w:val="WW8Num26z5"/>
    <w:uiPriority w:val="0"/>
  </w:style>
  <w:style w:type="character" w:customStyle="1" w:styleId="266">
    <w:name w:val="WW8Num26z6"/>
    <w:uiPriority w:val="0"/>
  </w:style>
  <w:style w:type="character" w:customStyle="1" w:styleId="267">
    <w:name w:val="WW8Num26z7"/>
    <w:uiPriority w:val="0"/>
  </w:style>
  <w:style w:type="character" w:customStyle="1" w:styleId="268">
    <w:name w:val="WW8Num26z8"/>
    <w:uiPriority w:val="0"/>
  </w:style>
  <w:style w:type="character" w:customStyle="1" w:styleId="269">
    <w:name w:val="WW8Num27z0"/>
    <w:uiPriority w:val="0"/>
    <w:rPr>
      <w:rFonts w:hint="default"/>
    </w:rPr>
  </w:style>
  <w:style w:type="character" w:customStyle="1" w:styleId="270">
    <w:name w:val="WW8Num27z1"/>
    <w:uiPriority w:val="0"/>
  </w:style>
  <w:style w:type="character" w:customStyle="1" w:styleId="271">
    <w:name w:val="WW8Num27z2"/>
    <w:uiPriority w:val="0"/>
  </w:style>
  <w:style w:type="character" w:customStyle="1" w:styleId="272">
    <w:name w:val="WW8Num27z3"/>
    <w:uiPriority w:val="0"/>
  </w:style>
  <w:style w:type="character" w:customStyle="1" w:styleId="273">
    <w:name w:val="WW8Num27z4"/>
    <w:uiPriority w:val="0"/>
  </w:style>
  <w:style w:type="character" w:customStyle="1" w:styleId="274">
    <w:name w:val="WW8Num27z5"/>
    <w:uiPriority w:val="0"/>
  </w:style>
  <w:style w:type="character" w:customStyle="1" w:styleId="275">
    <w:name w:val="WW8Num27z6"/>
    <w:uiPriority w:val="0"/>
  </w:style>
  <w:style w:type="character" w:customStyle="1" w:styleId="276">
    <w:name w:val="WW8Num27z7"/>
    <w:uiPriority w:val="0"/>
  </w:style>
  <w:style w:type="character" w:customStyle="1" w:styleId="277">
    <w:name w:val="WW8Num27z8"/>
    <w:uiPriority w:val="0"/>
  </w:style>
  <w:style w:type="character" w:customStyle="1" w:styleId="278">
    <w:name w:val="WW8Num28z0"/>
    <w:uiPriority w:val="0"/>
    <w:rPr>
      <w:rFonts w:hint="default"/>
    </w:rPr>
  </w:style>
  <w:style w:type="character" w:customStyle="1" w:styleId="279">
    <w:name w:val="WW8Num28z1"/>
    <w:uiPriority w:val="0"/>
  </w:style>
  <w:style w:type="character" w:customStyle="1" w:styleId="280">
    <w:name w:val="WW8Num28z2"/>
    <w:uiPriority w:val="0"/>
  </w:style>
  <w:style w:type="character" w:customStyle="1" w:styleId="281">
    <w:name w:val="WW8Num28z3"/>
    <w:uiPriority w:val="0"/>
  </w:style>
  <w:style w:type="character" w:customStyle="1" w:styleId="282">
    <w:name w:val="WW8Num28z4"/>
    <w:uiPriority w:val="0"/>
  </w:style>
  <w:style w:type="character" w:customStyle="1" w:styleId="283">
    <w:name w:val="WW8Num28z5"/>
    <w:uiPriority w:val="0"/>
  </w:style>
  <w:style w:type="character" w:customStyle="1" w:styleId="284">
    <w:name w:val="WW8Num28z6"/>
    <w:uiPriority w:val="0"/>
  </w:style>
  <w:style w:type="character" w:customStyle="1" w:styleId="285">
    <w:name w:val="WW8Num28z7"/>
    <w:uiPriority w:val="0"/>
  </w:style>
  <w:style w:type="character" w:customStyle="1" w:styleId="286">
    <w:name w:val="WW8Num28z8"/>
    <w:uiPriority w:val="0"/>
  </w:style>
  <w:style w:type="character" w:customStyle="1" w:styleId="287">
    <w:name w:val="WW8Num29z0"/>
    <w:uiPriority w:val="0"/>
    <w:rPr>
      <w:rFonts w:hint="eastAsia"/>
    </w:rPr>
  </w:style>
  <w:style w:type="character" w:customStyle="1" w:styleId="288">
    <w:name w:val="WW8Num29z1"/>
    <w:uiPriority w:val="0"/>
  </w:style>
  <w:style w:type="character" w:customStyle="1" w:styleId="289">
    <w:name w:val="WW8Num29z2"/>
    <w:uiPriority w:val="0"/>
  </w:style>
  <w:style w:type="character" w:customStyle="1" w:styleId="290">
    <w:name w:val="WW8Num29z3"/>
    <w:uiPriority w:val="0"/>
  </w:style>
  <w:style w:type="character" w:customStyle="1" w:styleId="291">
    <w:name w:val="WW8Num29z4"/>
    <w:uiPriority w:val="0"/>
  </w:style>
  <w:style w:type="character" w:customStyle="1" w:styleId="292">
    <w:name w:val="WW8Num29z5"/>
    <w:uiPriority w:val="0"/>
  </w:style>
  <w:style w:type="character" w:customStyle="1" w:styleId="293">
    <w:name w:val="WW8Num29z6"/>
    <w:uiPriority w:val="0"/>
  </w:style>
  <w:style w:type="character" w:customStyle="1" w:styleId="294">
    <w:name w:val="WW8Num29z7"/>
    <w:uiPriority w:val="0"/>
  </w:style>
  <w:style w:type="character" w:customStyle="1" w:styleId="295">
    <w:name w:val="WW8Num29z8"/>
    <w:uiPriority w:val="0"/>
  </w:style>
  <w:style w:type="character" w:customStyle="1" w:styleId="296">
    <w:name w:val="WW8Num30z0"/>
    <w:uiPriority w:val="0"/>
    <w:rPr>
      <w:rFonts w:hint="eastAsia"/>
    </w:rPr>
  </w:style>
  <w:style w:type="character" w:customStyle="1" w:styleId="297">
    <w:name w:val="WW8Num30z1"/>
    <w:uiPriority w:val="0"/>
  </w:style>
  <w:style w:type="character" w:customStyle="1" w:styleId="298">
    <w:name w:val="WW8Num30z2"/>
    <w:uiPriority w:val="0"/>
  </w:style>
  <w:style w:type="character" w:customStyle="1" w:styleId="299">
    <w:name w:val="WW8Num30z3"/>
    <w:uiPriority w:val="0"/>
  </w:style>
  <w:style w:type="character" w:customStyle="1" w:styleId="300">
    <w:name w:val="WW8Num30z4"/>
    <w:uiPriority w:val="0"/>
  </w:style>
  <w:style w:type="character" w:customStyle="1" w:styleId="301">
    <w:name w:val="WW8Num30z5"/>
    <w:uiPriority w:val="0"/>
  </w:style>
  <w:style w:type="character" w:customStyle="1" w:styleId="302">
    <w:name w:val="WW8Num30z6"/>
    <w:uiPriority w:val="0"/>
  </w:style>
  <w:style w:type="character" w:customStyle="1" w:styleId="303">
    <w:name w:val="WW8Num30z7"/>
    <w:uiPriority w:val="0"/>
  </w:style>
  <w:style w:type="character" w:customStyle="1" w:styleId="304">
    <w:name w:val="WW8Num30z8"/>
    <w:uiPriority w:val="0"/>
  </w:style>
  <w:style w:type="character" w:customStyle="1" w:styleId="305">
    <w:name w:val="WW8Num31z0"/>
    <w:uiPriority w:val="0"/>
    <w:rPr>
      <w:rFonts w:hint="default"/>
    </w:rPr>
  </w:style>
  <w:style w:type="character" w:customStyle="1" w:styleId="306">
    <w:name w:val="WW8Num31z1"/>
    <w:uiPriority w:val="0"/>
  </w:style>
  <w:style w:type="character" w:customStyle="1" w:styleId="307">
    <w:name w:val="WW8Num31z2"/>
    <w:uiPriority w:val="0"/>
  </w:style>
  <w:style w:type="character" w:customStyle="1" w:styleId="308">
    <w:name w:val="WW8Num31z3"/>
    <w:uiPriority w:val="0"/>
  </w:style>
  <w:style w:type="character" w:customStyle="1" w:styleId="309">
    <w:name w:val="WW8Num31z4"/>
    <w:uiPriority w:val="0"/>
  </w:style>
  <w:style w:type="character" w:customStyle="1" w:styleId="310">
    <w:name w:val="WW8Num31z5"/>
    <w:uiPriority w:val="0"/>
  </w:style>
  <w:style w:type="character" w:customStyle="1" w:styleId="311">
    <w:name w:val="WW8Num31z6"/>
    <w:uiPriority w:val="0"/>
  </w:style>
  <w:style w:type="character" w:customStyle="1" w:styleId="312">
    <w:name w:val="WW8Num31z7"/>
    <w:uiPriority w:val="0"/>
  </w:style>
  <w:style w:type="character" w:customStyle="1" w:styleId="313">
    <w:name w:val="WW8Num31z8"/>
    <w:uiPriority w:val="0"/>
  </w:style>
  <w:style w:type="character" w:customStyle="1" w:styleId="314">
    <w:name w:val="批注文字 Char"/>
    <w:uiPriority w:val="0"/>
    <w:rPr>
      <w:rFonts w:eastAsia="宋体"/>
      <w:kern w:val="1"/>
      <w:sz w:val="21"/>
      <w:szCs w:val="24"/>
      <w:lang w:val="en-US" w:eastAsia="ar-SA" w:bidi="ar-SA"/>
    </w:rPr>
  </w:style>
  <w:style w:type="character" w:customStyle="1" w:styleId="315">
    <w:name w:val="批注主题 Char"/>
    <w:uiPriority w:val="0"/>
    <w:rPr>
      <w:rFonts w:eastAsia="宋体"/>
      <w:b/>
      <w:bCs/>
      <w:kern w:val="1"/>
      <w:sz w:val="21"/>
      <w:szCs w:val="24"/>
      <w:lang w:val="en-US" w:eastAsia="ar-SA" w:bidi="ar-SA"/>
    </w:rPr>
  </w:style>
  <w:style w:type="character" w:customStyle="1" w:styleId="316">
    <w:name w:val="文档结构图 Char"/>
    <w:uiPriority w:val="0"/>
    <w:rPr>
      <w:rFonts w:eastAsia="宋体"/>
      <w:kern w:val="1"/>
      <w:sz w:val="21"/>
      <w:szCs w:val="24"/>
      <w:lang w:val="en-US" w:eastAsia="ar-SA" w:bidi="ar-SA"/>
    </w:rPr>
  </w:style>
  <w:style w:type="character" w:customStyle="1" w:styleId="317">
    <w:name w:val="批注引用1"/>
    <w:uiPriority w:val="0"/>
    <w:rPr>
      <w:sz w:val="21"/>
      <w:szCs w:val="21"/>
    </w:rPr>
  </w:style>
  <w:style w:type="character" w:customStyle="1" w:styleId="318">
    <w:name w:val="read"/>
    <w:basedOn w:val="29"/>
    <w:uiPriority w:val="0"/>
  </w:style>
  <w:style w:type="character" w:customStyle="1" w:styleId="319">
    <w:name w:val=" Char Char3"/>
    <w:uiPriority w:val="0"/>
    <w:rPr>
      <w:rFonts w:eastAsia="宋体"/>
      <w:kern w:val="1"/>
      <w:sz w:val="21"/>
      <w:szCs w:val="24"/>
      <w:lang w:val="en-US" w:eastAsia="ar-SA" w:bidi="ar-SA"/>
    </w:rPr>
  </w:style>
  <w:style w:type="character" w:customStyle="1" w:styleId="320">
    <w:name w:val="副标题 Char"/>
    <w:uiPriority w:val="0"/>
    <w:rPr>
      <w:rFonts w:ascii="Cambria" w:hAnsi="Cambria" w:cs="Times New Roman"/>
      <w:b/>
      <w:bCs/>
      <w:kern w:val="1"/>
      <w:sz w:val="32"/>
      <w:szCs w:val="32"/>
    </w:rPr>
  </w:style>
  <w:style w:type="character" w:customStyle="1" w:styleId="321">
    <w:name w:val="标题 4 Char"/>
    <w:uiPriority w:val="0"/>
    <w:rPr>
      <w:rFonts w:ascii="Cambria" w:hAnsi="Cambria" w:eastAsia="宋体" w:cs="Times New Roman"/>
      <w:b/>
      <w:bCs/>
      <w:kern w:val="1"/>
      <w:sz w:val="28"/>
      <w:szCs w:val="28"/>
    </w:rPr>
  </w:style>
  <w:style w:type="character" w:customStyle="1" w:styleId="322">
    <w:name w:val="标题 1 Char"/>
    <w:uiPriority w:val="0"/>
    <w:rPr>
      <w:rFonts w:ascii="宋体" w:hAnsi="宋体"/>
      <w:b/>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140</Pages>
  <Words>13712</Words>
  <Characters>78160</Characters>
  <Lines>651</Lines>
  <Paragraphs>183</Paragraphs>
  <TotalTime>0</TotalTime>
  <ScaleCrop>false</ScaleCrop>
  <LinksUpToDate>false</LinksUpToDate>
  <CharactersWithSpaces>91689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2019-08-12T03:22:00Z</dcterms:created>
  <dc:creator>李爽</dc:creator>
  <cp:lastModifiedBy>cuirw</cp:lastModifiedBy>
  <cp:lastPrinted>2013-05-16T07:11:00Z</cp:lastPrinted>
  <dcterms:modified xsi:type="dcterms:W3CDTF">2019-09-02T02:56:19Z</dcterms:modified>
  <dc:title>建信双息红利债券型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