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88" w:rsidRDefault="00D55988">
      <w:pPr>
        <w:widowControl/>
        <w:jc w:val="left"/>
        <w:rPr>
          <w:b/>
          <w:color w:val="000000"/>
        </w:rPr>
      </w:pPr>
    </w:p>
    <w:p w:rsidR="00D55988" w:rsidRDefault="00D55988">
      <w:pPr>
        <w:widowControl/>
        <w:jc w:val="left"/>
        <w:rPr>
          <w:b/>
          <w:color w:val="000000"/>
        </w:rPr>
      </w:pPr>
    </w:p>
    <w:p w:rsidR="00D55988" w:rsidRDefault="00D55988">
      <w:pPr>
        <w:widowControl/>
        <w:jc w:val="left"/>
        <w:rPr>
          <w:b/>
          <w:color w:val="000000"/>
        </w:rPr>
      </w:pPr>
    </w:p>
    <w:p w:rsidR="00D55988" w:rsidRDefault="00D55988" w:rsidP="00D55988">
      <w:pPr>
        <w:widowControl/>
        <w:spacing w:before="240" w:after="120"/>
        <w:jc w:val="center"/>
        <w:rPr>
          <w:rFonts w:ascii="黑体" w:eastAsia="黑体" w:hint="eastAsia"/>
          <w:b/>
          <w:color w:val="000000"/>
          <w:sz w:val="36"/>
        </w:rPr>
      </w:pPr>
      <w:r>
        <w:rPr>
          <w:rFonts w:ascii="黑体" w:eastAsia="黑体" w:hint="eastAsia"/>
          <w:b/>
          <w:color w:val="000000"/>
          <w:sz w:val="36"/>
        </w:rPr>
        <w:t>富安达新兴成长灵活配置混合型证券投资基金</w:t>
      </w:r>
    </w:p>
    <w:p w:rsidR="00D55988" w:rsidRDefault="00D55988" w:rsidP="00D55988">
      <w:pPr>
        <w:widowControl/>
        <w:spacing w:before="240" w:after="120"/>
        <w:jc w:val="center"/>
        <w:rPr>
          <w:rFonts w:ascii="黑体" w:eastAsia="黑体" w:hAnsi="黑体"/>
          <w:b/>
          <w:color w:val="000000"/>
          <w:sz w:val="36"/>
        </w:rPr>
      </w:pPr>
      <w:r>
        <w:rPr>
          <w:rFonts w:ascii="黑体" w:eastAsia="黑体" w:hAnsi="黑体"/>
          <w:b/>
          <w:color w:val="000000"/>
          <w:sz w:val="36"/>
        </w:rPr>
        <w:t>2019年半年度报告</w:t>
      </w:r>
      <w:r w:rsidR="00480224">
        <w:rPr>
          <w:rFonts w:ascii="黑体" w:eastAsia="黑体" w:hAnsi="黑体" w:hint="eastAsia"/>
          <w:b/>
          <w:color w:val="000000"/>
          <w:sz w:val="36"/>
        </w:rPr>
        <w:t>摘要</w:t>
      </w:r>
    </w:p>
    <w:p w:rsidR="00D55988" w:rsidRDefault="00D55988" w:rsidP="00D55988">
      <w:pPr>
        <w:widowControl/>
        <w:spacing w:before="240" w:after="120"/>
        <w:jc w:val="center"/>
        <w:rPr>
          <w:rFonts w:ascii="宋体" w:hAnsi="宋体"/>
          <w:b/>
          <w:color w:val="000000"/>
          <w:sz w:val="24"/>
        </w:rPr>
      </w:pPr>
      <w:r>
        <w:rPr>
          <w:rFonts w:ascii="宋体" w:hAnsi="宋体"/>
          <w:b/>
          <w:color w:val="000000"/>
          <w:sz w:val="24"/>
        </w:rPr>
        <w:t>2019年06月30日</w:t>
      </w: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p>
    <w:p w:rsidR="00D55988" w:rsidRDefault="00D55988" w:rsidP="00D55988">
      <w:pPr>
        <w:widowControl/>
        <w:spacing w:before="240" w:after="120"/>
        <w:jc w:val="center"/>
        <w:rPr>
          <w:rFonts w:ascii="宋体" w:hAnsi="宋体"/>
          <w:b/>
          <w:color w:val="000000"/>
          <w:sz w:val="24"/>
        </w:rPr>
      </w:pPr>
      <w:r>
        <w:rPr>
          <w:rFonts w:ascii="宋体" w:hAnsi="宋体"/>
          <w:b/>
          <w:color w:val="000000"/>
          <w:sz w:val="24"/>
        </w:rPr>
        <w:t>基金管理人:富安达基金管理有限公司</w:t>
      </w:r>
    </w:p>
    <w:p w:rsidR="00D55988" w:rsidRDefault="00D55988" w:rsidP="00D55988">
      <w:pPr>
        <w:widowControl/>
        <w:spacing w:before="240" w:after="120"/>
        <w:jc w:val="center"/>
        <w:rPr>
          <w:rFonts w:ascii="宋体" w:hAnsi="宋体"/>
          <w:b/>
          <w:color w:val="000000"/>
          <w:sz w:val="24"/>
        </w:rPr>
      </w:pPr>
      <w:r>
        <w:rPr>
          <w:rFonts w:ascii="宋体" w:hAnsi="宋体"/>
          <w:b/>
          <w:color w:val="000000"/>
          <w:sz w:val="24"/>
        </w:rPr>
        <w:t>基金托管人:交通银行股份有限公司</w:t>
      </w:r>
    </w:p>
    <w:p w:rsidR="00D55988" w:rsidRDefault="00D55988" w:rsidP="00D55988">
      <w:pPr>
        <w:widowControl/>
        <w:spacing w:before="240" w:after="120"/>
        <w:jc w:val="center"/>
        <w:rPr>
          <w:rFonts w:ascii="宋体" w:cs="宋体"/>
          <w:b/>
          <w:color w:val="000000"/>
          <w:kern w:val="0"/>
          <w:sz w:val="24"/>
          <w:szCs w:val="24"/>
        </w:rPr>
      </w:pPr>
      <w:r>
        <w:rPr>
          <w:rFonts w:ascii="宋体" w:hAnsi="宋体"/>
          <w:b/>
          <w:color w:val="000000"/>
          <w:sz w:val="24"/>
        </w:rPr>
        <w:t>送出日期:2019年08月27日</w:t>
      </w:r>
      <w:r>
        <w:rPr>
          <w:b/>
          <w:color w:val="000000"/>
        </w:rPr>
        <w:br w:type="page"/>
      </w:r>
    </w:p>
    <w:p w:rsidR="00BF10C3" w:rsidRDefault="00BF10C3" w:rsidP="00D55988">
      <w:pPr>
        <w:pStyle w:val="dazhangjie"/>
        <w:spacing w:before="240" w:after="120"/>
        <w:divId w:val="1476140041"/>
      </w:pPr>
      <w:bookmarkStart w:id="0" w:name="_Toc17722019"/>
      <w:r>
        <w:rPr>
          <w:rFonts w:hAnsi="Calibri" w:hint="eastAsia"/>
          <w:b/>
          <w:color w:val="000000"/>
        </w:rPr>
        <w:t>§1</w:t>
      </w:r>
      <w:r>
        <w:rPr>
          <w:rFonts w:hAnsi="Calibri" w:hint="eastAsia"/>
          <w:b/>
          <w:color w:val="000000"/>
        </w:rPr>
        <w:t> </w:t>
      </w:r>
      <w:r>
        <w:rPr>
          <w:rFonts w:hAnsi="Calibri" w:hint="eastAsia"/>
          <w:b/>
          <w:color w:val="000000"/>
        </w:rPr>
        <w:t xml:space="preserve"> 重要提示</w:t>
      </w:r>
      <w:bookmarkEnd w:id="0"/>
    </w:p>
    <w:p w:rsidR="00BF10C3" w:rsidRDefault="00BF10C3">
      <w:pPr>
        <w:pStyle w:val="zhangjiep"/>
        <w:divId w:val="1476140041"/>
        <w:rPr>
          <w:rFonts w:hint="eastAsia"/>
        </w:rPr>
      </w:pPr>
      <w:bookmarkStart w:id="1" w:name="_Toc17722020"/>
      <w:r>
        <w:rPr>
          <w:rFonts w:hint="eastAsia"/>
          <w:b/>
          <w:bCs/>
        </w:rPr>
        <w:t>1.1 重要提示</w:t>
      </w:r>
      <w:bookmarkEnd w:id="1"/>
    </w:p>
    <w:tbl>
      <w:tblPr>
        <w:tblW w:w="0" w:type="auto"/>
        <w:tblInd w:w="108" w:type="dxa"/>
        <w:tblLook w:val="04A0"/>
      </w:tblPr>
      <w:tblGrid>
        <w:gridCol w:w="9030"/>
      </w:tblGrid>
      <w:tr w:rsidR="00BF10C3" w:rsidRPr="00D55988">
        <w:trPr>
          <w:divId w:val="1476140041"/>
        </w:trPr>
        <w:tc>
          <w:tcPr>
            <w:tcW w:w="9030" w:type="dxa"/>
            <w:tcBorders>
              <w:top w:val="dashed" w:sz="6" w:space="0" w:color="000000"/>
              <w:left w:val="dashed" w:sz="6" w:space="0" w:color="000000"/>
              <w:bottom w:val="dashed" w:sz="6" w:space="0" w:color="000000"/>
              <w:right w:val="dashed" w:sz="6" w:space="0" w:color="000000"/>
            </w:tcBorders>
            <w:vAlign w:val="center"/>
            <w:hideMark/>
          </w:tcPr>
          <w:p w:rsidR="00BF10C3" w:rsidRDefault="00BF10C3">
            <w:pPr>
              <w:pStyle w:val="biaogeleft"/>
              <w:wordWrap w:val="0"/>
              <w:spacing w:before="0"/>
              <w:ind w:left="0" w:firstLine="480"/>
              <w:rPr>
                <w:rFonts w:hint="eastAsia"/>
              </w:rPr>
            </w:pPr>
            <w:r>
              <w:rPr>
                <w:rFonts w:hint="eastAsia"/>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BF10C3" w:rsidRDefault="00BF10C3">
            <w:pPr>
              <w:pStyle w:val="neirong"/>
              <w:wordWrap w:val="0"/>
              <w:spacing w:before="0"/>
              <w:ind w:left="0" w:firstLine="480"/>
              <w:rPr>
                <w:rFonts w:hint="eastAsia"/>
              </w:rPr>
            </w:pPr>
            <w:r>
              <w:rPr>
                <w:rFonts w:hint="eastAsia"/>
              </w:rPr>
              <w:t xml:space="preserve">基金托管人交通银行股份有限公司根据本基金合同规定，于2019年08月23日复核了本报告中的财务指标、净值表现、利润分配情况、财务会计报告、投资组合报告等内容，保证复核内容不存在虚假记载、误导性陈述或者重大遗漏。　　</w:t>
            </w:r>
          </w:p>
          <w:p w:rsidR="00BF10C3" w:rsidRDefault="00BF10C3">
            <w:pPr>
              <w:pStyle w:val="neirong"/>
              <w:wordWrap w:val="0"/>
              <w:spacing w:before="0"/>
              <w:ind w:left="0" w:firstLine="480"/>
              <w:rPr>
                <w:rFonts w:hint="eastAsia"/>
              </w:rPr>
            </w:pPr>
            <w:r>
              <w:rPr>
                <w:rFonts w:hint="eastAsia"/>
              </w:rPr>
              <w:t>基金管理人承诺以诚实信用、勤勉尽责的原则管理和运用基金资产，但不保证基金一定盈利。</w:t>
            </w:r>
          </w:p>
          <w:p w:rsidR="00BF10C3" w:rsidRDefault="00BF10C3">
            <w:pPr>
              <w:pStyle w:val="neirong"/>
              <w:wordWrap w:val="0"/>
              <w:spacing w:before="0"/>
              <w:ind w:left="0" w:firstLine="480"/>
              <w:rPr>
                <w:rFonts w:hint="eastAsia"/>
              </w:rPr>
            </w:pPr>
            <w:r>
              <w:rPr>
                <w:rFonts w:hint="eastAsia"/>
              </w:rPr>
              <w:t>基金的过往业绩并不代表其未来表现。投资有风险，投资者在作出投资决策前应仔细阅读本基金的招募说明书及其更新。</w:t>
            </w:r>
          </w:p>
          <w:p w:rsidR="007B5CB5" w:rsidRPr="00A03289" w:rsidRDefault="007B5CB5" w:rsidP="007B5CB5">
            <w:pPr>
              <w:pStyle w:val="neirong"/>
              <w:wordWrap w:val="0"/>
              <w:spacing w:before="0"/>
              <w:ind w:left="0" w:firstLine="480"/>
              <w:rPr>
                <w:rFonts w:hint="eastAsia"/>
              </w:rPr>
            </w:pPr>
            <w:r>
              <w:rPr>
                <w:rStyle w:val="biaogeleft1"/>
                <w:rFonts w:hint="eastAsia"/>
              </w:rPr>
              <w:t>本半年度报告摘要摘自半年度报告正文，投资者欲了解详细内容，应阅读半年度报告正文。</w:t>
            </w:r>
          </w:p>
          <w:p w:rsidR="00BF10C3" w:rsidRDefault="00BF10C3">
            <w:pPr>
              <w:pStyle w:val="neirong"/>
              <w:wordWrap w:val="0"/>
              <w:spacing w:before="0"/>
              <w:ind w:left="0" w:firstLine="480"/>
              <w:rPr>
                <w:rFonts w:hint="eastAsia"/>
              </w:rPr>
            </w:pPr>
            <w:r>
              <w:rPr>
                <w:rFonts w:hint="eastAsia"/>
              </w:rPr>
              <w:t>本报告中的财务资料未经审计。</w:t>
            </w:r>
          </w:p>
          <w:p w:rsidR="00BF10C3" w:rsidRDefault="008207AD" w:rsidP="008207AD">
            <w:pPr>
              <w:pStyle w:val="neirong"/>
              <w:wordWrap w:val="0"/>
              <w:spacing w:before="0"/>
              <w:ind w:left="0"/>
            </w:pPr>
            <w:r>
              <w:rPr>
                <w:rStyle w:val="biaogeleft1"/>
                <w:rFonts w:hint="eastAsia"/>
              </w:rPr>
              <w:t xml:space="preserve">    </w:t>
            </w:r>
            <w:r w:rsidR="00BF10C3">
              <w:rPr>
                <w:rFonts w:hint="eastAsia"/>
              </w:rPr>
              <w:t>本报告期自2019年01月01日起至06月30日止。</w:t>
            </w:r>
          </w:p>
        </w:tc>
      </w:tr>
    </w:tbl>
    <w:p w:rsidR="00BF10C3" w:rsidRDefault="00BF10C3" w:rsidP="00CB22A9">
      <w:pPr>
        <w:pStyle w:val="zhangjiep"/>
        <w:divId w:val="1476140041"/>
        <w:rPr>
          <w:rFonts w:hint="eastAsia"/>
        </w:rPr>
      </w:pPr>
      <w:r>
        <w:rPr>
          <w:rFonts w:ascii="Times New Roman" w:hAnsi="Times New Roman"/>
        </w:rPr>
        <w:br w:type="page"/>
      </w:r>
      <w:bookmarkStart w:id="2" w:name="_Toc17722022"/>
      <w:r>
        <w:rPr>
          <w:rFonts w:hAnsi="Calibri" w:hint="eastAsia"/>
          <w:b/>
          <w:color w:val="000000"/>
        </w:rPr>
        <w:lastRenderedPageBreak/>
        <w:t>§2</w:t>
      </w:r>
      <w:r>
        <w:rPr>
          <w:rFonts w:hAnsi="Calibri" w:hint="eastAsia"/>
          <w:b/>
          <w:color w:val="000000"/>
        </w:rPr>
        <w:t> </w:t>
      </w:r>
      <w:r>
        <w:rPr>
          <w:rFonts w:hAnsi="Calibri" w:hint="eastAsia"/>
          <w:b/>
          <w:color w:val="000000"/>
        </w:rPr>
        <w:t xml:space="preserve"> 基金简介</w:t>
      </w:r>
      <w:bookmarkEnd w:id="2"/>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3" w:name="_Toc17722023"/>
      <w:r>
        <w:rPr>
          <w:rFonts w:hint="eastAsia"/>
          <w:b/>
          <w:bCs/>
        </w:rPr>
        <w:t>2.1 基金基本情况</w:t>
      </w:r>
      <w:bookmarkEnd w:id="3"/>
    </w:p>
    <w:tbl>
      <w:tblPr>
        <w:tblW w:w="9000" w:type="dxa"/>
        <w:tblInd w:w="108" w:type="dxa"/>
        <w:tblLook w:val="04A0"/>
      </w:tblPr>
      <w:tblGrid>
        <w:gridCol w:w="3249"/>
        <w:gridCol w:w="5751"/>
      </w:tblGrid>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基金简称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富安达新兴成长混合</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基金主代码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000755</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基金运作方式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契约型开放式</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基金合同生效日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2014年09月11日</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基金管理人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富安达基金管理有限公司</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基金托管人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交通银行股份有限公司</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报告期末基金份额总额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194,096,208.13份</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基金合同存续期</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不定期</w:t>
            </w:r>
          </w:p>
        </w:tc>
      </w:tr>
    </w:tbl>
    <w:p w:rsidR="00BF10C3" w:rsidRDefault="00BF10C3">
      <w:pPr>
        <w:widowControl/>
        <w:jc w:val="left"/>
        <w:divId w:val="1978414180"/>
        <w:rPr>
          <w:rFonts w:ascii="宋体" w:hAnsi="宋体" w:cs="宋体" w:hint="eastAsia"/>
          <w:kern w:val="0"/>
          <w:sz w:val="24"/>
          <w:szCs w:val="24"/>
        </w:rPr>
      </w:pPr>
    </w:p>
    <w:p w:rsidR="00BF10C3" w:rsidRDefault="00BF10C3">
      <w:pPr>
        <w:pStyle w:val="zhangjiep"/>
        <w:divId w:val="1476140041"/>
        <w:rPr>
          <w:rFonts w:hint="eastAsia"/>
        </w:rPr>
      </w:pPr>
      <w:bookmarkStart w:id="4" w:name="_Toc17722024"/>
      <w:r>
        <w:rPr>
          <w:rFonts w:hint="eastAsia"/>
          <w:b/>
          <w:bCs/>
        </w:rPr>
        <w:t>2.2 基金产品说明</w:t>
      </w:r>
      <w:bookmarkEnd w:id="4"/>
    </w:p>
    <w:tbl>
      <w:tblPr>
        <w:tblW w:w="9000" w:type="dxa"/>
        <w:tblInd w:w="108" w:type="dxa"/>
        <w:tblLook w:val="04A0"/>
      </w:tblPr>
      <w:tblGrid>
        <w:gridCol w:w="3239"/>
        <w:gridCol w:w="5761"/>
      </w:tblGrid>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投资目标</w:t>
            </w:r>
          </w:p>
        </w:tc>
        <w:tc>
          <w:tcPr>
            <w:tcW w:w="577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spacing w:before="0"/>
              <w:ind w:left="0" w:firstLine="480"/>
            </w:pPr>
            <w:r>
              <w:rPr>
                <w:rFonts w:hint="eastAsia"/>
              </w:rPr>
              <w:t>本基金通过股票与债券等资产的合理配置，通过深入研究并积极投资于新兴产业及其相关行业中的高速成长企业，分享新兴产业发展所带来的投资机会，在有效控制风险的前提下，力争为投资者带来长期的超额收益。</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投资策略</w:t>
            </w:r>
          </w:p>
        </w:tc>
        <w:tc>
          <w:tcPr>
            <w:tcW w:w="577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spacing w:before="0"/>
              <w:ind w:left="0" w:firstLine="480"/>
            </w:pPr>
            <w:r>
              <w:rPr>
                <w:rFonts w:hint="eastAsia"/>
              </w:rPr>
              <w:t>本基金采用自上而下的富安达多维经济模型，通过对全球经济发展形势，国内经济情况及经济政策、物价水平变动趋势、资金供求关系和市场估值的分析，结合FED模型，对未来一定时期各大类资产的收益风险变化趋势作出预测，并据此适时动态的调整本基金在股票、债券、现金等资产之间的配置比例。同时结合富安达择时量化模型，辅助判断大类资产配置及权益类资产仓位。一般情况下，本基金将大部分基金资产投资于新兴产业及其相关行业中成长型上市公司所发行的股票等证券，当证券市场系统性风险加大时，本基金将降低相关证券资产的配置比例。</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业绩比较基准</w:t>
            </w:r>
          </w:p>
        </w:tc>
        <w:tc>
          <w:tcPr>
            <w:tcW w:w="577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spacing w:before="0"/>
              <w:ind w:left="0" w:firstLine="480"/>
            </w:pPr>
            <w:r>
              <w:rPr>
                <w:rFonts w:hint="eastAsia"/>
              </w:rPr>
              <w:t>中证新兴产业指数收益率×60%+中债总指数收益率×40%</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风险收益特征</w:t>
            </w:r>
          </w:p>
        </w:tc>
        <w:tc>
          <w:tcPr>
            <w:tcW w:w="577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spacing w:before="0"/>
              <w:ind w:left="0" w:firstLine="480"/>
            </w:pPr>
            <w:r>
              <w:rPr>
                <w:rFonts w:hint="eastAsia"/>
              </w:rPr>
              <w:t>本基金属于混合型证券投资基金，一般情况，其风险和预期收益低于股票型基金，高于债券型基金和货币市场基金。</w:t>
            </w:r>
          </w:p>
        </w:tc>
      </w:tr>
    </w:tbl>
    <w:p w:rsidR="00BF10C3" w:rsidRDefault="00BF10C3">
      <w:pPr>
        <w:widowControl/>
        <w:jc w:val="left"/>
        <w:divId w:val="1832990057"/>
        <w:rPr>
          <w:rFonts w:ascii="宋体" w:hAnsi="宋体" w:cs="宋体" w:hint="eastAsia"/>
          <w:kern w:val="0"/>
          <w:sz w:val="24"/>
          <w:szCs w:val="24"/>
        </w:rPr>
      </w:pPr>
    </w:p>
    <w:p w:rsidR="00BF10C3" w:rsidRDefault="00BF10C3">
      <w:pPr>
        <w:pStyle w:val="zhangjiep"/>
        <w:divId w:val="1476140041"/>
        <w:rPr>
          <w:rFonts w:hint="eastAsia"/>
        </w:rPr>
      </w:pPr>
      <w:bookmarkStart w:id="5" w:name="_Toc17722025"/>
      <w:r>
        <w:rPr>
          <w:rFonts w:hint="eastAsia"/>
          <w:b/>
          <w:bCs/>
        </w:rPr>
        <w:t>2.3 基金管理人和基金托管人</w:t>
      </w:r>
      <w:bookmarkEnd w:id="5"/>
    </w:p>
    <w:tbl>
      <w:tblPr>
        <w:tblW w:w="9000" w:type="dxa"/>
        <w:tblInd w:w="108" w:type="dxa"/>
        <w:tblLook w:val="04A0"/>
      </w:tblPr>
      <w:tblGrid>
        <w:gridCol w:w="1079"/>
        <w:gridCol w:w="1440"/>
        <w:gridCol w:w="3240"/>
        <w:gridCol w:w="3241"/>
      </w:tblGrid>
      <w:tr w:rsidR="00BF10C3" w:rsidRPr="00D55988" w:rsidTr="00CB22A9">
        <w:trPr>
          <w:divId w:val="1476140041"/>
        </w:trPr>
        <w:tc>
          <w:tcPr>
            <w:tcW w:w="2519" w:type="dxa"/>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项目</w:t>
            </w:r>
          </w:p>
        </w:tc>
        <w:tc>
          <w:tcPr>
            <w:tcW w:w="324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基金管理人</w:t>
            </w:r>
          </w:p>
        </w:tc>
        <w:tc>
          <w:tcPr>
            <w:tcW w:w="324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基金托管人</w:t>
            </w:r>
          </w:p>
        </w:tc>
      </w:tr>
      <w:tr w:rsidR="00BF10C3" w:rsidRPr="00D55988" w:rsidTr="00CB22A9">
        <w:trPr>
          <w:divId w:val="1476140041"/>
        </w:trPr>
        <w:tc>
          <w:tcPr>
            <w:tcW w:w="2519" w:type="dxa"/>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名称</w:t>
            </w:r>
          </w:p>
        </w:tc>
        <w:tc>
          <w:tcPr>
            <w:tcW w:w="324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富安达基金管理有限公司</w:t>
            </w:r>
          </w:p>
        </w:tc>
        <w:tc>
          <w:tcPr>
            <w:tcW w:w="324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交通银行股份有限公司</w:t>
            </w:r>
          </w:p>
        </w:tc>
      </w:tr>
      <w:tr w:rsidR="00BF10C3" w:rsidRPr="00D55988" w:rsidTr="00CB22A9">
        <w:trPr>
          <w:divId w:val="1476140041"/>
        </w:trPr>
        <w:tc>
          <w:tcPr>
            <w:tcW w:w="1079" w:type="dxa"/>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信息披露负责人</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姓名</w:t>
            </w:r>
          </w:p>
        </w:tc>
        <w:tc>
          <w:tcPr>
            <w:tcW w:w="324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李理想</w:t>
            </w:r>
          </w:p>
        </w:tc>
        <w:tc>
          <w:tcPr>
            <w:tcW w:w="324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陆志俊</w:t>
            </w:r>
          </w:p>
        </w:tc>
      </w:tr>
      <w:tr w:rsidR="00BF10C3" w:rsidRPr="00D55988" w:rsidTr="00CB22A9">
        <w:trPr>
          <w:divId w:val="14761400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联系电话</w:t>
            </w:r>
          </w:p>
        </w:tc>
        <w:tc>
          <w:tcPr>
            <w:tcW w:w="324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021-61870999</w:t>
            </w:r>
          </w:p>
        </w:tc>
        <w:tc>
          <w:tcPr>
            <w:tcW w:w="324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95559</w:t>
            </w:r>
          </w:p>
        </w:tc>
      </w:tr>
      <w:tr w:rsidR="00BF10C3" w:rsidRPr="00D55988" w:rsidTr="00CB22A9">
        <w:trPr>
          <w:divId w:val="14761400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电子邮箱</w:t>
            </w:r>
          </w:p>
        </w:tc>
        <w:tc>
          <w:tcPr>
            <w:tcW w:w="324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service@fadfunds.com</w:t>
            </w:r>
          </w:p>
        </w:tc>
        <w:tc>
          <w:tcPr>
            <w:tcW w:w="324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luzj@bankcomm.com</w:t>
            </w:r>
          </w:p>
        </w:tc>
      </w:tr>
      <w:tr w:rsidR="00BF10C3" w:rsidRPr="00D55988" w:rsidTr="00CB22A9">
        <w:trPr>
          <w:divId w:val="1476140041"/>
        </w:trPr>
        <w:tc>
          <w:tcPr>
            <w:tcW w:w="2519" w:type="dxa"/>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客户服务电话</w:t>
            </w:r>
          </w:p>
        </w:tc>
        <w:tc>
          <w:tcPr>
            <w:tcW w:w="324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400-630-6999</w:t>
            </w:r>
          </w:p>
        </w:tc>
        <w:tc>
          <w:tcPr>
            <w:tcW w:w="324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95559</w:t>
            </w:r>
          </w:p>
        </w:tc>
      </w:tr>
      <w:tr w:rsidR="00BF10C3" w:rsidRPr="00D55988" w:rsidTr="00CB22A9">
        <w:trPr>
          <w:divId w:val="1476140041"/>
        </w:trPr>
        <w:tc>
          <w:tcPr>
            <w:tcW w:w="2519" w:type="dxa"/>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传真</w:t>
            </w:r>
          </w:p>
        </w:tc>
        <w:tc>
          <w:tcPr>
            <w:tcW w:w="324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021-61870888</w:t>
            </w:r>
          </w:p>
        </w:tc>
        <w:tc>
          <w:tcPr>
            <w:tcW w:w="324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021-62701216</w:t>
            </w:r>
          </w:p>
        </w:tc>
      </w:tr>
    </w:tbl>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6" w:name="_Toc17722026"/>
      <w:r>
        <w:rPr>
          <w:rFonts w:hint="eastAsia"/>
          <w:b/>
          <w:bCs/>
        </w:rPr>
        <w:t>2.4 信息披露方式</w:t>
      </w:r>
      <w:bookmarkEnd w:id="6"/>
    </w:p>
    <w:tbl>
      <w:tblPr>
        <w:tblW w:w="9045" w:type="dxa"/>
        <w:tblInd w:w="108" w:type="dxa"/>
        <w:tblLook w:val="04A0"/>
      </w:tblPr>
      <w:tblGrid>
        <w:gridCol w:w="2531"/>
        <w:gridCol w:w="6514"/>
      </w:tblGrid>
      <w:tr w:rsidR="00BF10C3" w:rsidRPr="00D55988" w:rsidTr="00CB22A9">
        <w:trPr>
          <w:divId w:val="1476140041"/>
        </w:trPr>
        <w:tc>
          <w:tcPr>
            <w:tcW w:w="253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登载基金半年度报告正文的管理人互联网网址</w:t>
            </w:r>
          </w:p>
        </w:tc>
        <w:tc>
          <w:tcPr>
            <w:tcW w:w="651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www.fadfunds.com</w:t>
            </w:r>
          </w:p>
        </w:tc>
      </w:tr>
      <w:tr w:rsidR="00BF10C3" w:rsidRPr="00D55988" w:rsidTr="00CB22A9">
        <w:trPr>
          <w:divId w:val="1476140041"/>
        </w:trPr>
        <w:tc>
          <w:tcPr>
            <w:tcW w:w="253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基金半年度报告备置地点</w:t>
            </w:r>
          </w:p>
        </w:tc>
        <w:tc>
          <w:tcPr>
            <w:tcW w:w="651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基金管理人和基金托管人的住所</w:t>
            </w:r>
          </w:p>
        </w:tc>
      </w:tr>
    </w:tbl>
    <w:p w:rsidR="00BF10C3" w:rsidRDefault="00BF10C3">
      <w:pPr>
        <w:widowControl/>
        <w:jc w:val="left"/>
        <w:divId w:val="1476140041"/>
        <w:rPr>
          <w:rFonts w:ascii="宋体" w:hAnsi="宋体" w:cs="宋体" w:hint="eastAsia"/>
          <w:kern w:val="0"/>
          <w:sz w:val="24"/>
          <w:szCs w:val="24"/>
        </w:rPr>
      </w:pPr>
    </w:p>
    <w:p w:rsidR="00BF10C3" w:rsidRDefault="00BF10C3">
      <w:pPr>
        <w:widowControl/>
        <w:jc w:val="left"/>
        <w:divId w:val="575818782"/>
        <w:rPr>
          <w:rFonts w:ascii="宋体" w:hAnsi="宋体" w:cs="宋体" w:hint="eastAsia"/>
          <w:kern w:val="0"/>
          <w:sz w:val="24"/>
          <w:szCs w:val="24"/>
        </w:rPr>
      </w:pPr>
    </w:p>
    <w:p w:rsidR="00BF10C3" w:rsidRDefault="00BF10C3">
      <w:pPr>
        <w:pStyle w:val="dazhangjie"/>
        <w:divId w:val="1476140041"/>
        <w:rPr>
          <w:rFonts w:hint="eastAsia"/>
        </w:rPr>
      </w:pPr>
      <w:bookmarkStart w:id="7" w:name="_Toc17722028"/>
      <w:r>
        <w:rPr>
          <w:rFonts w:hAnsi="Calibri" w:hint="eastAsia"/>
          <w:b/>
          <w:color w:val="000000"/>
        </w:rPr>
        <w:t>§3 主要财务指标和基金净值表现</w:t>
      </w:r>
      <w:bookmarkEnd w:id="7"/>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8" w:name="_Toc17722029"/>
      <w:r>
        <w:rPr>
          <w:rFonts w:hint="eastAsia"/>
          <w:b/>
          <w:bCs/>
        </w:rPr>
        <w:t>3.1 主要会计数据和财务指标</w:t>
      </w:r>
      <w:bookmarkEnd w:id="8"/>
    </w:p>
    <w:p w:rsidR="00BF10C3" w:rsidRDefault="00BF10C3">
      <w:pPr>
        <w:widowControl/>
        <w:autoSpaceDE w:val="0"/>
        <w:autoSpaceDN w:val="0"/>
        <w:adjustRightInd w:val="0"/>
        <w:spacing w:line="288" w:lineRule="auto"/>
        <w:jc w:val="right"/>
        <w:divId w:val="1056706970"/>
        <w:rPr>
          <w:rFonts w:ascii="宋体" w:hAnsi="宋体" w:cs="宋体" w:hint="eastAsia"/>
          <w:kern w:val="0"/>
          <w:sz w:val="24"/>
          <w:szCs w:val="24"/>
        </w:rPr>
      </w:pPr>
      <w:r>
        <w:rPr>
          <w:rFonts w:ascii="宋体" w:cs="宋体" w:hint="eastAsia"/>
          <w:color w:val="000000"/>
          <w:kern w:val="0"/>
          <w:sz w:val="24"/>
          <w:szCs w:val="24"/>
        </w:rPr>
        <w:t>金额单位：人民币元</w:t>
      </w:r>
    </w:p>
    <w:tbl>
      <w:tblPr>
        <w:tblW w:w="9045" w:type="dxa"/>
        <w:tblInd w:w="108" w:type="dxa"/>
        <w:tblLook w:val="04A0"/>
      </w:tblPr>
      <w:tblGrid>
        <w:gridCol w:w="3111"/>
        <w:gridCol w:w="5934"/>
      </w:tblGrid>
      <w:tr w:rsidR="00BF10C3" w:rsidRPr="00D55988" w:rsidTr="00CB22A9">
        <w:trPr>
          <w:divId w:val="1476140041"/>
        </w:trPr>
        <w:tc>
          <w:tcPr>
            <w:tcW w:w="311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b/>
                <w:bCs/>
              </w:rPr>
              <w:t>3.1.1 期间数据和指标</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报告期（2019年01月01日- 2019年06月30日）</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本期已实现收益</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13,315,499.02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本期利润</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30,873,666.86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加权平均基金份额本期利润</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0.1786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本期基金份额净值增长率</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38.55%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b/>
                <w:bCs/>
              </w:rPr>
              <w:t>3.1.2 期末数据和指标</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报告期末（2019年06月30日）</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期末可供分配基金份额利润</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-0.4735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期末基金资产净值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198,886,870.02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期末基金份额净值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1.0247</w:t>
            </w:r>
          </w:p>
        </w:tc>
      </w:tr>
    </w:tbl>
    <w:p w:rsidR="00BF10C3" w:rsidRDefault="00BF10C3">
      <w:pPr>
        <w:pStyle w:val="neirong"/>
        <w:divId w:val="1476140041"/>
        <w:rPr>
          <w:rFonts w:hint="eastAsia"/>
        </w:rPr>
      </w:pPr>
      <w:r>
        <w:rPr>
          <w:rFonts w:hint="eastAsia"/>
        </w:rPr>
        <w:t>注：</w:t>
      </w:r>
      <w:r>
        <w:rPr>
          <w:rFonts w:hint="eastAsia"/>
        </w:rPr>
        <w:br/>
        <w:t>①所述基金业绩指标不包括持有人认购或交易基金的各项费用，例如：基金的认购、申购、赎回费等，计入费用后实际收益水平要低于所列数字。</w:t>
      </w:r>
      <w:r>
        <w:rPr>
          <w:rFonts w:hint="eastAsia"/>
        </w:rPr>
        <w:br/>
        <w:t>②本期已实现收益指基金本期利息收入、投资收益、其他收入（不含公允价值变动收益）扣除相关费用后的余额，本期利润为本期已实现收益加上本期公允价值变动收益。</w:t>
      </w:r>
      <w:r>
        <w:rPr>
          <w:rFonts w:hint="eastAsia"/>
        </w:rPr>
        <w:br/>
        <w:t>③期末可供分配利润为期末资产负债表中未分配利润与未分配利润中已实现部分的孰低数。</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9" w:name="_Toc17722030"/>
      <w:r>
        <w:rPr>
          <w:rFonts w:hint="eastAsia"/>
          <w:b/>
          <w:bCs/>
        </w:rPr>
        <w:t>3.2 基金净值表现</w:t>
      </w:r>
      <w:bookmarkEnd w:id="9"/>
    </w:p>
    <w:p w:rsidR="00BF10C3" w:rsidRDefault="00BF10C3">
      <w:pPr>
        <w:pStyle w:val="zhangjiep2"/>
        <w:divId w:val="1476140041"/>
        <w:rPr>
          <w:rFonts w:hint="eastAsia"/>
        </w:rPr>
      </w:pPr>
      <w:r>
        <w:rPr>
          <w:rFonts w:hint="eastAsia"/>
          <w:b/>
          <w:bCs/>
        </w:rPr>
        <w:t>3.2.1 基金份额净值增长率及其与同期业绩比较基准收益率的比较</w:t>
      </w:r>
    </w:p>
    <w:tbl>
      <w:tblPr>
        <w:tblW w:w="0" w:type="auto"/>
        <w:tblInd w:w="108" w:type="dxa"/>
        <w:tblLook w:val="04A0"/>
      </w:tblPr>
      <w:tblGrid>
        <w:gridCol w:w="1464"/>
        <w:gridCol w:w="1289"/>
        <w:gridCol w:w="1289"/>
        <w:gridCol w:w="1289"/>
        <w:gridCol w:w="1289"/>
        <w:gridCol w:w="1289"/>
        <w:gridCol w:w="1289"/>
      </w:tblGrid>
      <w:tr w:rsidR="00BF10C3" w:rsidRPr="00D55988">
        <w:trPr>
          <w:divId w:val="1476140041"/>
        </w:trPr>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阶段</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份额净值增长率①</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份额净值增长率标准差②</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业绩比较基准收益率③</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业绩比较基准收益率标准差④</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①-③</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②-④</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过去一个月</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-0.29%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0.91%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过去三个月</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过去六个月</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38.55%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1.97%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28.37%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0.95%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过去一年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10.95%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1.82%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12.64%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0.84%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过去三年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-28.66%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0.76%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-26.61%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0.93%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自基金合同生效起至今</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20.36%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-17.89%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0.57%</w:t>
            </w:r>
          </w:p>
        </w:tc>
      </w:tr>
    </w:tbl>
    <w:p w:rsidR="00BF10C3" w:rsidRDefault="00BF10C3">
      <w:pPr>
        <w:pStyle w:val="neirong"/>
        <w:divId w:val="1476140041"/>
        <w:rPr>
          <w:rFonts w:hint="eastAsia"/>
        </w:rPr>
      </w:pPr>
      <w:r>
        <w:rPr>
          <w:rFonts w:hint="eastAsia"/>
        </w:rPr>
        <w:t>注：</w:t>
      </w:r>
      <w:r>
        <w:rPr>
          <w:rFonts w:hint="eastAsia"/>
        </w:rPr>
        <w:br/>
        <w:t>①本基金业绩比较基准为：中证新兴产业指数收益率×60%＋中债总指数收益率×40%，</w:t>
      </w:r>
      <w:r>
        <w:rPr>
          <w:rFonts w:hint="eastAsia"/>
        </w:rPr>
        <w:br/>
        <w:t>②本基金的业绩基准指数按照构建公式每交易日进行计算，按下列公式计算：</w:t>
      </w:r>
      <w:r>
        <w:rPr>
          <w:rFonts w:hint="eastAsia"/>
        </w:rPr>
        <w:br/>
        <w:t>Return t =60%×[中证新兴产业指数t/中证新兴产业指数(t-1)-1]+40％×[中债总指数t/中债总指数(t-1)-1]</w:t>
      </w:r>
      <w:r>
        <w:rPr>
          <w:rFonts w:hint="eastAsia"/>
        </w:rPr>
        <w:br/>
        <w:t>Benchmark t =（1+Return t）×Benchmark(t-1)</w:t>
      </w:r>
      <w:r>
        <w:rPr>
          <w:rFonts w:hint="eastAsia"/>
        </w:rPr>
        <w:br/>
        <w:t>其中，t=1，2，3，…T，T表示时间截至日。</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3.2.2 自基金合同生效以来基金份额累计净值增长率变动及其与同期业绩比较基准收益率变动的比较</w:t>
      </w:r>
    </w:p>
    <w:p w:rsidR="00BF10C3" w:rsidRDefault="00D55988">
      <w:pPr>
        <w:pStyle w:val="biaogeleft"/>
        <w:divId w:val="1476140041"/>
        <w:rPr>
          <w:rFonts w:hint="eastAsia"/>
        </w:rPr>
      </w:pPr>
      <w:r w:rsidRPr="00D55988">
        <w:rPr>
          <w:rFonts w:hAnsi="Calibri"/>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1pt;height:286.5pt;visibility:visible">
            <v:imagedata r:id="rId6" o:title="CN_50650000_000755_FB020010_20190005_1"/>
          </v:shape>
        </w:pict>
      </w:r>
    </w:p>
    <w:p w:rsidR="00BF10C3" w:rsidRDefault="00BF10C3">
      <w:pPr>
        <w:pStyle w:val="neirong"/>
        <w:divId w:val="1476140041"/>
        <w:rPr>
          <w:rFonts w:hint="eastAsia"/>
        </w:rPr>
      </w:pPr>
      <w:r>
        <w:rPr>
          <w:rFonts w:hint="eastAsia"/>
        </w:rPr>
        <w:t>注：本基金于2014年9月11日成立，根据《富安达新兴成长灵活配置混合型证券投资基金基金合同》规定，本基金建仓期为6个月，建仓截止日为2015年3月10日。建仓期结束时本基金各项资产配置比例符合本基金合同规定的比例限制及投资组合的比例范围。</w:t>
      </w:r>
    </w:p>
    <w:p w:rsidR="00BF10C3" w:rsidRDefault="00BF10C3">
      <w:pPr>
        <w:widowControl/>
        <w:jc w:val="left"/>
        <w:divId w:val="650527102"/>
        <w:rPr>
          <w:rFonts w:ascii="宋体" w:hAnsi="宋体" w:cs="宋体" w:hint="eastAsia"/>
          <w:kern w:val="0"/>
          <w:sz w:val="24"/>
          <w:szCs w:val="24"/>
        </w:rPr>
      </w:pPr>
    </w:p>
    <w:p w:rsidR="00BF10C3" w:rsidRDefault="00BF10C3">
      <w:pPr>
        <w:pStyle w:val="dazhangjie"/>
        <w:divId w:val="1476140041"/>
        <w:rPr>
          <w:rFonts w:hint="eastAsia"/>
        </w:rPr>
      </w:pPr>
      <w:bookmarkStart w:id="10" w:name="_Toc17722031"/>
      <w:r>
        <w:rPr>
          <w:rFonts w:hAnsi="Calibri" w:hint="eastAsia"/>
          <w:b/>
          <w:color w:val="000000"/>
        </w:rPr>
        <w:t>§4</w:t>
      </w:r>
      <w:r>
        <w:rPr>
          <w:rFonts w:hAnsi="Calibri" w:hint="eastAsia"/>
          <w:b/>
          <w:color w:val="000000"/>
        </w:rPr>
        <w:t> </w:t>
      </w:r>
      <w:r>
        <w:rPr>
          <w:rFonts w:hAnsi="Calibri" w:hint="eastAsia"/>
          <w:b/>
          <w:color w:val="000000"/>
        </w:rPr>
        <w:t xml:space="preserve"> 管理人报告</w:t>
      </w:r>
      <w:bookmarkEnd w:id="10"/>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11" w:name="_Toc17722032"/>
      <w:r>
        <w:rPr>
          <w:rFonts w:hint="eastAsia"/>
          <w:b/>
          <w:bCs/>
        </w:rPr>
        <w:t>4.1 基金管理人及基金经理情况</w:t>
      </w:r>
      <w:bookmarkEnd w:id="11"/>
    </w:p>
    <w:p w:rsidR="00BF10C3" w:rsidRDefault="00BF10C3">
      <w:pPr>
        <w:pStyle w:val="zhangjiep2"/>
        <w:divId w:val="1476140041"/>
        <w:rPr>
          <w:rFonts w:hint="eastAsia"/>
        </w:rPr>
      </w:pPr>
      <w:r>
        <w:rPr>
          <w:rFonts w:hint="eastAsia"/>
          <w:b/>
          <w:bCs/>
        </w:rPr>
        <w:t>4.1.1 基金管理人及其管理基金的经验</w:t>
      </w:r>
    </w:p>
    <w:p w:rsidR="00BF10C3" w:rsidRDefault="00BF10C3">
      <w:pPr>
        <w:pStyle w:val="neirong"/>
        <w:spacing w:before="0"/>
        <w:ind w:left="0" w:firstLine="480"/>
        <w:divId w:val="1476140041"/>
        <w:rPr>
          <w:rFonts w:hint="eastAsia"/>
        </w:rPr>
      </w:pPr>
      <w:r>
        <w:rPr>
          <w:rFonts w:hint="eastAsia"/>
        </w:rPr>
        <w:t>富安达基金管理有限公司由南京证券股份有限公司、江苏交通控股有限公司、南京市河西新城区国有资产经营控股（集团）有限责任公司三家单位共同发起设立。公司办公地点为上海浦东世纪大道1568号中建大厦，注册资本8.18亿元人民币。公司秉承诚信、稳健、规范、创新的经营理念，以基金持有人利益最大化为首要经营目标，为客户提供卓越的理财服务。</w:t>
      </w:r>
    </w:p>
    <w:p w:rsidR="00BF10C3" w:rsidRDefault="00BF10C3">
      <w:pPr>
        <w:pStyle w:val="neirong"/>
        <w:spacing w:before="0"/>
        <w:ind w:left="0" w:firstLine="480"/>
        <w:divId w:val="1476140041"/>
        <w:rPr>
          <w:rFonts w:hint="eastAsia"/>
        </w:rPr>
      </w:pPr>
      <w:r>
        <w:rPr>
          <w:rFonts w:hint="eastAsia"/>
        </w:rPr>
        <w:t>截至2019年06月30日，公司共管理十只开放式基金：富安达优势成长混合型证券投资基金、富安达策略精选灵活配置混合型证券投资基金、富安达增强收益债券型证券投资基金、富安达现金通货币市场证券投资基金、富安达新兴成长灵活配置混合型证券投资基金、富安达健康人生灵活配置混合型证券投资基金、富安达长盈灵活配置混合型证券投资基金、富安达新动力灵活配置混合型证券投资基金、富安达消费主题灵活配置混合型证券投资基金、富安达行业轮动灵活配置混合型证券投资基金。</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4.1.2 基金经理（或基金经理小组）及基金经理助理简介</w:t>
      </w:r>
    </w:p>
    <w:tbl>
      <w:tblPr>
        <w:tblW w:w="0" w:type="auto"/>
        <w:tblInd w:w="108" w:type="dxa"/>
        <w:tblLook w:val="04A0"/>
      </w:tblPr>
      <w:tblGrid>
        <w:gridCol w:w="1103"/>
        <w:gridCol w:w="1196"/>
        <w:gridCol w:w="1196"/>
        <w:gridCol w:w="1196"/>
        <w:gridCol w:w="1104"/>
        <w:gridCol w:w="3403"/>
      </w:tblGrid>
      <w:tr w:rsidR="00BF10C3" w:rsidRPr="00D55988">
        <w:trPr>
          <w:divId w:val="1476140041"/>
        </w:trPr>
        <w:tc>
          <w:tcPr>
            <w:tcW w:w="60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姓名</w:t>
            </w:r>
          </w:p>
        </w:tc>
        <w:tc>
          <w:tcPr>
            <w:tcW w:w="65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职务</w:t>
            </w:r>
          </w:p>
        </w:tc>
        <w:tc>
          <w:tcPr>
            <w:tcW w:w="1300" w:type="pct"/>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任本基金的基金经理（助理）期限</w:t>
            </w:r>
          </w:p>
        </w:tc>
        <w:tc>
          <w:tcPr>
            <w:tcW w:w="60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证券从业年限</w:t>
            </w:r>
          </w:p>
        </w:tc>
        <w:tc>
          <w:tcPr>
            <w:tcW w:w="2410" w:type="dxa"/>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说明</w:t>
            </w:r>
          </w:p>
        </w:tc>
      </w:tr>
      <w:tr w:rsidR="00BF10C3" w:rsidRPr="00D55988">
        <w:trPr>
          <w:divId w:val="14761400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6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任职日期</w:t>
            </w:r>
          </w:p>
        </w:tc>
        <w:tc>
          <w:tcPr>
            <w:tcW w:w="6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离任日期</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孙绍冰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本基金的基金经理、公司研究发展部总监助理</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2015-05-22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12年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硕士。历任齐鲁证券研究所行业研究员。2011年1月加入富安达基金管理有限公司任高级行业研究员兼基金经理助理。</w:t>
            </w:r>
          </w:p>
        </w:tc>
      </w:tr>
    </w:tbl>
    <w:p w:rsidR="00BF10C3" w:rsidRDefault="00BF10C3">
      <w:pPr>
        <w:pStyle w:val="neirong"/>
        <w:divId w:val="1476140041"/>
        <w:rPr>
          <w:rFonts w:hint="eastAsia"/>
        </w:rPr>
      </w:pPr>
      <w:r>
        <w:rPr>
          <w:rFonts w:hint="eastAsia"/>
        </w:rPr>
        <w:t>1、任职日期和离任日期均指公司作出决定后正式对外公告之日；担任新成立基金的基金经理，任职日期为基金合同生效日。  </w:t>
      </w:r>
      <w:r>
        <w:rPr>
          <w:rFonts w:hint="eastAsia"/>
        </w:rPr>
        <w:br/>
        <w:t>2、证券从业的含义遵从行业协会关于从业人员资格管理办法的相关规定。</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12" w:name="_Toc17722033"/>
      <w:r>
        <w:rPr>
          <w:rFonts w:hint="eastAsia"/>
          <w:b/>
          <w:bCs/>
        </w:rPr>
        <w:t>4.2 管理人对报告期内本基金运作遵规守信情况的说明</w:t>
      </w:r>
      <w:bookmarkEnd w:id="12"/>
    </w:p>
    <w:p w:rsidR="00BF10C3" w:rsidRDefault="00BF10C3">
      <w:pPr>
        <w:pStyle w:val="neirong"/>
        <w:spacing w:before="0"/>
        <w:ind w:left="0" w:firstLine="480"/>
        <w:divId w:val="1476140041"/>
        <w:rPr>
          <w:rFonts w:hint="eastAsia"/>
        </w:rPr>
      </w:pPr>
      <w:r>
        <w:rPr>
          <w:rFonts w:hint="eastAsia"/>
        </w:rPr>
        <w:t>本基金管理人在本报告期内严格遵守《中华人民共和国证券法》、《中华人民共和国证券投资基金法》、《证券投资基金运作管理办法》及其各项实施准则、《富安达新兴成长混合型证券投资基金基金合同》和其他有关法律法规的规定,本着诚实信用、勤勉尽责的原则管理和运用基金资产,在严格控制风险的基础上,为基金份额持有人谋求最大利益,无损害基金份额持有人利益的行为。本基金无违法、违规行为。本基金投资组合符合有关法规及基金合同的约定。</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13" w:name="_Toc17722034"/>
      <w:r>
        <w:rPr>
          <w:rFonts w:hint="eastAsia"/>
          <w:b/>
          <w:bCs/>
        </w:rPr>
        <w:t>4.3 管理人对报告期内公平交易情况的专项说明</w:t>
      </w:r>
      <w:bookmarkEnd w:id="13"/>
    </w:p>
    <w:p w:rsidR="00BF10C3" w:rsidRDefault="00BF10C3">
      <w:pPr>
        <w:pStyle w:val="zhangjiep2"/>
        <w:divId w:val="1476140041"/>
        <w:rPr>
          <w:rFonts w:hint="eastAsia"/>
        </w:rPr>
      </w:pPr>
      <w:r>
        <w:rPr>
          <w:rFonts w:hint="eastAsia"/>
          <w:b/>
          <w:bCs/>
        </w:rPr>
        <w:t>4.3.1 公平交易制度的执行情况</w:t>
      </w:r>
    </w:p>
    <w:p w:rsidR="00BF10C3" w:rsidRDefault="00BF10C3">
      <w:pPr>
        <w:pStyle w:val="neirong"/>
        <w:spacing w:before="0"/>
        <w:ind w:left="0" w:firstLine="480"/>
        <w:divId w:val="1476140041"/>
        <w:rPr>
          <w:rFonts w:hint="eastAsia"/>
        </w:rPr>
      </w:pPr>
      <w:r>
        <w:rPr>
          <w:rFonts w:hint="eastAsia"/>
        </w:rPr>
        <w:t>本基金管理人根据中国证监会颁布的《证券投资基金管理公司公平交易制度指导意见》，制定了《富安达基金管理有限公司公平交易制度》，并建立了健全有效的公平交易执行和监控体系，涵盖了所有投资组合，并贯穿分工授权、研究分析、投资决策、交易执行、业绩评估、监督检查各环节，确保公平对待旗下的每一个投资组合。本报告期内，公司严格执行了《证券投资基金管理公司公平交易制度指导意见》和《富安达基金管理有限公司公平交易制度》。</w:t>
      </w:r>
    </w:p>
    <w:p w:rsidR="00BF10C3" w:rsidRDefault="00BF10C3">
      <w:pPr>
        <w:pStyle w:val="neirong"/>
        <w:spacing w:before="0"/>
        <w:ind w:left="0" w:firstLine="480"/>
        <w:divId w:val="1476140041"/>
        <w:rPr>
          <w:rFonts w:hint="eastAsia"/>
        </w:rPr>
      </w:pPr>
      <w:r>
        <w:rPr>
          <w:rFonts w:hint="eastAsia"/>
        </w:rPr>
        <w:t>截止报告日，公司完成了各基金公平交易执行情况的统计分析，按照特定计算周期，分1日、3日和5日时间窗分析同向和反向交易的价格差异，未发现公平交易异常情形。</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4.3.2 异常交易行为的专项说明</w:t>
      </w:r>
    </w:p>
    <w:p w:rsidR="00BF10C3" w:rsidRDefault="00BF10C3">
      <w:pPr>
        <w:pStyle w:val="neirong"/>
        <w:spacing w:before="0"/>
        <w:ind w:left="0" w:firstLine="480"/>
        <w:divId w:val="1476140041"/>
        <w:rPr>
          <w:rFonts w:hint="eastAsia"/>
        </w:rPr>
      </w:pPr>
      <w:r>
        <w:rPr>
          <w:rFonts w:hint="eastAsia"/>
        </w:rPr>
        <w:t>本报告期内，未发现本基金存在异常交易行为。</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14" w:name="_Toc17722035"/>
      <w:r>
        <w:rPr>
          <w:rFonts w:hint="eastAsia"/>
          <w:b/>
          <w:bCs/>
        </w:rPr>
        <w:t>4.4 管理人对报告期内基金的投资策略和业绩表现的说明</w:t>
      </w:r>
      <w:bookmarkEnd w:id="14"/>
    </w:p>
    <w:p w:rsidR="00BF10C3" w:rsidRDefault="00BF10C3">
      <w:pPr>
        <w:pStyle w:val="zhangjiep2"/>
        <w:divId w:val="1476140041"/>
        <w:rPr>
          <w:rFonts w:hint="eastAsia"/>
        </w:rPr>
      </w:pPr>
      <w:r>
        <w:rPr>
          <w:rFonts w:hint="eastAsia"/>
          <w:b/>
          <w:bCs/>
        </w:rPr>
        <w:t>4.4.1 报告期内基金投资策略和运作分析</w:t>
      </w:r>
    </w:p>
    <w:p w:rsidR="00BF10C3" w:rsidRDefault="00BF10C3">
      <w:pPr>
        <w:pStyle w:val="neirong"/>
        <w:spacing w:before="0"/>
        <w:ind w:left="0" w:firstLine="480"/>
        <w:divId w:val="1476140041"/>
        <w:rPr>
          <w:rFonts w:hint="eastAsia"/>
        </w:rPr>
      </w:pPr>
      <w:r>
        <w:rPr>
          <w:rFonts w:hint="eastAsia"/>
        </w:rPr>
        <w:t>上半年资本市场先扬后抑，年初流动性持续宽松，经济数据好于预期，叠加资本市场改革、中美关系趋于良性，市场迎来一段估值修复行情；但随着流动性边际收紧及中美关系一波三折，市场进入调整阶段。上半年食品饮料、农林牧渔、非银、家电等行业表现较好，核心资产出现频率再次提升，这也是市场面对基本面回落、各种风险因素频出的理性选择。</w:t>
      </w:r>
    </w:p>
    <w:p w:rsidR="00BF10C3" w:rsidRDefault="00BF10C3">
      <w:pPr>
        <w:pStyle w:val="neirong"/>
        <w:spacing w:before="0"/>
        <w:ind w:left="0" w:firstLine="480"/>
        <w:divId w:val="1476140041"/>
        <w:rPr>
          <w:rFonts w:hint="eastAsia"/>
        </w:rPr>
      </w:pPr>
      <w:r>
        <w:rPr>
          <w:rFonts w:hint="eastAsia"/>
        </w:rPr>
        <w:t>投资策略方面，本基金仓位主要分布在农业养殖，消费等行业板块，并结合市场风险偏好变化阶段性参与了部分成长股。对于今明两年确定性比较高的行业板块，选择了坚守，但对于部分短期获利较多的个股进行了相应的止盈；对于某些只是因为市场风险偏好变化而引发的估值修复、基本面没有得到验证的个股则进行了及时的获利了结。</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4.4.2 报告期内基金的业绩表现</w:t>
      </w:r>
    </w:p>
    <w:p w:rsidR="00BF10C3" w:rsidRDefault="00BF10C3">
      <w:pPr>
        <w:pStyle w:val="neirong"/>
        <w:spacing w:before="0"/>
        <w:ind w:left="0" w:firstLine="480"/>
        <w:divId w:val="1476140041"/>
        <w:rPr>
          <w:rFonts w:hint="eastAsia"/>
        </w:rPr>
      </w:pPr>
      <w:r>
        <w:rPr>
          <w:rFonts w:hint="eastAsia"/>
        </w:rPr>
        <w:t>截至本报告期末，富安达新兴成长混合基金份额净值为1.0247元。</w:t>
      </w:r>
    </w:p>
    <w:p w:rsidR="00BF10C3" w:rsidRDefault="00BF10C3">
      <w:pPr>
        <w:pStyle w:val="neirong"/>
        <w:spacing w:before="0"/>
        <w:ind w:left="0" w:firstLine="480"/>
        <w:divId w:val="1476140041"/>
        <w:rPr>
          <w:rFonts w:hint="eastAsia"/>
        </w:rPr>
      </w:pPr>
      <w:r>
        <w:rPr>
          <w:rFonts w:hint="eastAsia"/>
        </w:rPr>
        <w:t>本报告期内基金份额净值增长率为38.55%，同期业绩比较基准收益率为10.18%。</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15" w:name="_Toc17722036"/>
      <w:r>
        <w:rPr>
          <w:rFonts w:hint="eastAsia"/>
          <w:b/>
          <w:bCs/>
        </w:rPr>
        <w:t>4.5 管理人对宏观经济、证券市场及行业走势的简要展望</w:t>
      </w:r>
      <w:bookmarkEnd w:id="15"/>
    </w:p>
    <w:p w:rsidR="00BF10C3" w:rsidRDefault="00BF10C3">
      <w:pPr>
        <w:pStyle w:val="neirong"/>
        <w:spacing w:before="0"/>
        <w:ind w:left="0" w:firstLine="480"/>
        <w:divId w:val="1476140041"/>
        <w:rPr>
          <w:rFonts w:hint="eastAsia"/>
        </w:rPr>
      </w:pPr>
      <w:r>
        <w:rPr>
          <w:rFonts w:hint="eastAsia"/>
        </w:rPr>
        <w:t>展望下半年甚至更长的周期，我们认为经济增速还会降档，虽然期间会存在政策的逆周期调节，但这种调节仅限于只托不举，经济结构调整将是未来的主旋律。</w:t>
      </w:r>
    </w:p>
    <w:p w:rsidR="00BF10C3" w:rsidRDefault="00BF10C3">
      <w:pPr>
        <w:pStyle w:val="neirong"/>
        <w:spacing w:before="0"/>
        <w:ind w:left="0" w:firstLine="480"/>
        <w:divId w:val="1476140041"/>
        <w:rPr>
          <w:rFonts w:hint="eastAsia"/>
        </w:rPr>
      </w:pPr>
      <w:r>
        <w:rPr>
          <w:rFonts w:hint="eastAsia"/>
        </w:rPr>
        <w:t>经济增长的新旧动能转化是未来的关注点，从中美两国贸易冲突到国内地产对消费的挤出效应，都在提示我们依赖出口和投资拉动经济增长不可持续，但结构调整需要时间，经济增长新动能的培育仍需努力。</w:t>
      </w:r>
    </w:p>
    <w:p w:rsidR="00BF10C3" w:rsidRDefault="00BF10C3">
      <w:pPr>
        <w:pStyle w:val="neirong"/>
        <w:spacing w:before="0"/>
        <w:ind w:left="0" w:firstLine="480"/>
        <w:divId w:val="1476140041"/>
        <w:rPr>
          <w:rFonts w:hint="eastAsia"/>
        </w:rPr>
      </w:pPr>
      <w:r>
        <w:rPr>
          <w:rFonts w:hint="eastAsia"/>
        </w:rPr>
        <w:t>当前市场结构分化：一部分创出新高的个股，估值接近天花板；另一部分个股虽然估值较低，但考虑到这部分个股多为传统产业且面对未来的经济转型，传统产业成长空间存疑，低估值也有其合理性。所以我们认为市场已经完成了估值修复，当前市场整体估值也算合理。</w:t>
      </w:r>
    </w:p>
    <w:p w:rsidR="00BF10C3" w:rsidRDefault="00BF10C3">
      <w:pPr>
        <w:pStyle w:val="neirong"/>
        <w:spacing w:before="0"/>
        <w:ind w:left="0" w:firstLine="480"/>
        <w:divId w:val="1476140041"/>
        <w:rPr>
          <w:rFonts w:hint="eastAsia"/>
        </w:rPr>
      </w:pPr>
      <w:r>
        <w:rPr>
          <w:rFonts w:hint="eastAsia"/>
        </w:rPr>
        <w:t>结合上述分析，我们认为A股整体基本处于合理区间，主要机会在于未来更有前景的行业与个股上。我们将继续寻找结构性投资机会，寻找未来行业好转的中长期机会，寻找那些能在发展中解决问题的优秀公司，以努力获取更大的超额收益。</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16" w:name="_Toc17722037"/>
      <w:r>
        <w:rPr>
          <w:rFonts w:hint="eastAsia"/>
          <w:b/>
          <w:bCs/>
        </w:rPr>
        <w:t>4.6 管理人对报告期内基金估值程序等事项的说明</w:t>
      </w:r>
      <w:bookmarkEnd w:id="16"/>
    </w:p>
    <w:p w:rsidR="00BF10C3" w:rsidRDefault="00BF10C3">
      <w:pPr>
        <w:pStyle w:val="neirong"/>
        <w:spacing w:before="0"/>
        <w:ind w:left="0" w:firstLine="480"/>
        <w:divId w:val="1476140041"/>
        <w:rPr>
          <w:rFonts w:hint="eastAsia"/>
        </w:rPr>
      </w:pPr>
      <w:r>
        <w:rPr>
          <w:rFonts w:hint="eastAsia"/>
        </w:rPr>
        <w:t>本基金管理人按照企业会计准则、中国证监会相关规定和基金合同关于估值的约定，对基金所持有的投资品种进行估值。本基金托管人根据法律法规要求履行估值及净值计算的复核责任。</w:t>
      </w:r>
    </w:p>
    <w:p w:rsidR="00BF10C3" w:rsidRDefault="00BF10C3">
      <w:pPr>
        <w:pStyle w:val="neirong"/>
        <w:spacing w:before="0"/>
        <w:ind w:left="0" w:firstLine="480"/>
        <w:divId w:val="1476140041"/>
        <w:rPr>
          <w:rFonts w:hint="eastAsia"/>
        </w:rPr>
      </w:pPr>
      <w:r>
        <w:rPr>
          <w:rFonts w:hint="eastAsia"/>
        </w:rPr>
        <w:t>本基金管理人设有估值委员会，公司总经理担任估值委员会主席，研究发展部、投资管理部、监察稽核部和基金事务部指定人员担任委员。估值委员会负责组织制定和适时修订基金估值政策和程序，指导和监督整个估值流程。估值委员会成员具有多年的证券、基金从业经验，熟悉相关法律法规，具备行业研究、风险管理、法律合规或基金估值运作等方面的专业胜任能力。基金经理可参与估值原则和方法的讨论，但不参与估值原则和方法的最终决策和日常估值的执行。</w:t>
      </w:r>
    </w:p>
    <w:p w:rsidR="00BF10C3" w:rsidRDefault="00BF10C3">
      <w:pPr>
        <w:pStyle w:val="neirong"/>
        <w:spacing w:before="0"/>
        <w:ind w:left="0" w:firstLine="480"/>
        <w:divId w:val="1476140041"/>
        <w:rPr>
          <w:rFonts w:hint="eastAsia"/>
        </w:rPr>
      </w:pPr>
      <w:r>
        <w:rPr>
          <w:rFonts w:hint="eastAsia"/>
        </w:rPr>
        <w:t>本报告期内，参与估值流程各方之间不存在任何重大利益冲突。</w:t>
      </w:r>
    </w:p>
    <w:p w:rsidR="00BF10C3" w:rsidRDefault="00BF10C3">
      <w:pPr>
        <w:pStyle w:val="neirong"/>
        <w:spacing w:before="0"/>
        <w:ind w:left="0" w:firstLine="480"/>
        <w:divId w:val="1476140041"/>
        <w:rPr>
          <w:rFonts w:hint="eastAsia"/>
        </w:rPr>
      </w:pPr>
      <w:r>
        <w:rPr>
          <w:rFonts w:hint="eastAsia"/>
        </w:rPr>
        <w:t>本基金管理人已与中央国债登记结算有限责任公司签署服务协议，由其按约定提供银行间同业市场交易的债券品种的估值数据。</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260451260"/>
        <w:rPr>
          <w:rFonts w:hint="eastAsia"/>
        </w:rPr>
      </w:pPr>
      <w:bookmarkStart w:id="17" w:name="_Toc17722038"/>
      <w:r>
        <w:rPr>
          <w:rFonts w:hint="eastAsia"/>
          <w:b/>
          <w:bCs/>
        </w:rPr>
        <w:t>4.7 管理人对报告期内基金利润分配情况的说明</w:t>
      </w:r>
      <w:bookmarkEnd w:id="17"/>
    </w:p>
    <w:p w:rsidR="00BF10C3" w:rsidRDefault="00BF10C3">
      <w:pPr>
        <w:pStyle w:val="neirong"/>
        <w:spacing w:before="0"/>
        <w:ind w:left="0" w:firstLine="480"/>
        <w:divId w:val="260451260"/>
        <w:rPr>
          <w:rFonts w:hint="eastAsia"/>
        </w:rPr>
      </w:pPr>
      <w:r>
        <w:rPr>
          <w:rFonts w:hint="eastAsia"/>
        </w:rPr>
        <w:t>本基金本报告期内未进行收益分配。</w:t>
      </w:r>
    </w:p>
    <w:p w:rsidR="00BF10C3" w:rsidRDefault="00BF10C3">
      <w:pPr>
        <w:widowControl/>
        <w:jc w:val="left"/>
        <w:divId w:val="260451260"/>
        <w:rPr>
          <w:rFonts w:ascii="宋体" w:hAnsi="宋体" w:cs="宋体" w:hint="eastAsia"/>
          <w:kern w:val="0"/>
          <w:sz w:val="24"/>
          <w:szCs w:val="24"/>
        </w:rPr>
      </w:pPr>
    </w:p>
    <w:p w:rsidR="00BF10C3" w:rsidRDefault="00BF10C3">
      <w:pPr>
        <w:pStyle w:val="zhangjiep"/>
        <w:divId w:val="1496609031"/>
        <w:rPr>
          <w:rFonts w:hint="eastAsia"/>
        </w:rPr>
      </w:pPr>
      <w:bookmarkStart w:id="18" w:name="_Toc17722039"/>
      <w:r>
        <w:rPr>
          <w:rFonts w:hint="eastAsia"/>
          <w:b/>
          <w:bCs/>
        </w:rPr>
        <w:t>4.8 报告期内管理人对本基金持有人数或基金资产净值预警情形的说明</w:t>
      </w:r>
      <w:bookmarkEnd w:id="18"/>
    </w:p>
    <w:p w:rsidR="00BF10C3" w:rsidRDefault="00BF10C3">
      <w:pPr>
        <w:pStyle w:val="neirong"/>
        <w:spacing w:before="0"/>
        <w:ind w:left="0" w:firstLine="480"/>
        <w:divId w:val="1496609031"/>
        <w:rPr>
          <w:rFonts w:hint="eastAsia"/>
        </w:rPr>
      </w:pPr>
      <w:r>
        <w:rPr>
          <w:rFonts w:hint="eastAsia"/>
        </w:rPr>
        <w:t>无。</w:t>
      </w:r>
    </w:p>
    <w:p w:rsidR="00BF10C3" w:rsidRDefault="00BF10C3">
      <w:pPr>
        <w:widowControl/>
        <w:jc w:val="left"/>
        <w:divId w:val="1496609031"/>
        <w:rPr>
          <w:rFonts w:ascii="宋体" w:hAnsi="宋体" w:cs="宋体" w:hint="eastAsia"/>
          <w:kern w:val="0"/>
          <w:sz w:val="24"/>
          <w:szCs w:val="24"/>
        </w:rPr>
      </w:pPr>
    </w:p>
    <w:p w:rsidR="00BF10C3" w:rsidRDefault="00BF10C3">
      <w:pPr>
        <w:pStyle w:val="dazhangjie"/>
        <w:divId w:val="1476140041"/>
        <w:rPr>
          <w:rFonts w:hint="eastAsia"/>
        </w:rPr>
      </w:pPr>
      <w:bookmarkStart w:id="19" w:name="_Toc17722040"/>
      <w:r>
        <w:rPr>
          <w:rFonts w:hAnsi="Calibri" w:hint="eastAsia"/>
          <w:b/>
          <w:color w:val="000000"/>
        </w:rPr>
        <w:t>§5</w:t>
      </w:r>
      <w:r>
        <w:rPr>
          <w:rFonts w:hAnsi="Calibri" w:hint="eastAsia"/>
          <w:b/>
          <w:color w:val="000000"/>
        </w:rPr>
        <w:t> </w:t>
      </w:r>
      <w:r>
        <w:rPr>
          <w:rFonts w:hAnsi="Calibri" w:hint="eastAsia"/>
          <w:b/>
          <w:color w:val="000000"/>
        </w:rPr>
        <w:t xml:space="preserve"> 托管人报告</w:t>
      </w:r>
      <w:bookmarkEnd w:id="19"/>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20" w:name="_Toc17722041"/>
      <w:r>
        <w:rPr>
          <w:rFonts w:hint="eastAsia"/>
          <w:b/>
          <w:bCs/>
        </w:rPr>
        <w:t>5.1 报告期内本基金托管人遵规守信情况声明</w:t>
      </w:r>
      <w:bookmarkEnd w:id="20"/>
    </w:p>
    <w:p w:rsidR="00BF10C3" w:rsidRDefault="00BF10C3">
      <w:pPr>
        <w:pStyle w:val="neirong"/>
        <w:spacing w:before="0"/>
        <w:ind w:left="0" w:firstLine="480"/>
        <w:divId w:val="1476140041"/>
        <w:rPr>
          <w:rFonts w:hint="eastAsia"/>
        </w:rPr>
      </w:pPr>
      <w:r>
        <w:rPr>
          <w:rFonts w:hint="eastAsia"/>
        </w:rPr>
        <w:t>本报告期内，基金托管人在富安达新兴成长灵活配置混合型证券投资基金的托管过程中，严格遵守了《中华人民共和国证券投资基金法》及其他有关法律法规、基金合同、托管协议，尽职尽责地履行了托管人应尽的义务，不存在任何损害基金持有人利益的行为。</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21" w:name="_Toc17722042"/>
      <w:r>
        <w:rPr>
          <w:rFonts w:hint="eastAsia"/>
          <w:b/>
          <w:bCs/>
        </w:rPr>
        <w:t>5.2 托管人对报告期内本基金投资运作遵规守信、净值计算、利润分配等情况的说明</w:t>
      </w:r>
      <w:bookmarkEnd w:id="21"/>
    </w:p>
    <w:p w:rsidR="00BF10C3" w:rsidRDefault="00BF10C3">
      <w:pPr>
        <w:pStyle w:val="neirong"/>
        <w:spacing w:before="0"/>
        <w:ind w:left="0" w:firstLine="480"/>
        <w:divId w:val="1476140041"/>
        <w:rPr>
          <w:rFonts w:hint="eastAsia"/>
        </w:rPr>
      </w:pPr>
      <w:r>
        <w:rPr>
          <w:rFonts w:hint="eastAsia"/>
        </w:rPr>
        <w:t>本报告期内，富安达基金管理有限公司在富安达新兴成长灵活配置混合型证券投资基金投资运作、基金资产净值的计算、基金份额申购赎回价格的计算、基金费用开支等问题上，托管人未发现损害基金持有人利益的行为。</w:t>
      </w:r>
    </w:p>
    <w:p w:rsidR="00BF10C3" w:rsidRDefault="00BF10C3">
      <w:pPr>
        <w:pStyle w:val="neirong"/>
        <w:spacing w:before="0"/>
        <w:ind w:left="0" w:firstLine="480"/>
        <w:divId w:val="1476140041"/>
        <w:rPr>
          <w:rFonts w:hint="eastAsia"/>
        </w:rPr>
      </w:pPr>
      <w:r>
        <w:rPr>
          <w:rFonts w:hint="eastAsia"/>
        </w:rPr>
        <w:t>本报告期内本基金未进行收益分配，符合基金合同的规定。</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22" w:name="_Toc17722043"/>
      <w:r>
        <w:rPr>
          <w:rFonts w:hint="eastAsia"/>
          <w:b/>
          <w:bCs/>
        </w:rPr>
        <w:t>5.3 托管人对本半年度报告中财务信息等内容的真实、准确和完整发表意见</w:t>
      </w:r>
      <w:bookmarkEnd w:id="22"/>
    </w:p>
    <w:p w:rsidR="00BF10C3" w:rsidRDefault="00BF10C3">
      <w:pPr>
        <w:pStyle w:val="neirong"/>
        <w:spacing w:before="0"/>
        <w:ind w:left="0" w:firstLine="480"/>
        <w:divId w:val="1476140041"/>
        <w:rPr>
          <w:rFonts w:hint="eastAsia"/>
        </w:rPr>
      </w:pPr>
      <w:r>
        <w:rPr>
          <w:rFonts w:hint="eastAsia"/>
        </w:rPr>
        <w:t>本报告期内，由富安达基金管理有限公司编制并经托管人复核审查的有关富安达新兴成长灵活配置混合型证券投资基金的半年度报告中财务指标、净值表现、收益分配情况、财务会计报告相关内容、投资组合报告等内容真实、准确、完整。</w:t>
      </w:r>
    </w:p>
    <w:p w:rsidR="00BF10C3" w:rsidRDefault="00BF10C3">
      <w:pPr>
        <w:widowControl/>
        <w:jc w:val="left"/>
        <w:divId w:val="1476140041"/>
        <w:rPr>
          <w:rFonts w:ascii="宋体" w:hAnsi="宋体" w:cs="宋体" w:hint="eastAsia"/>
          <w:kern w:val="0"/>
          <w:sz w:val="24"/>
          <w:szCs w:val="24"/>
        </w:rPr>
      </w:pPr>
    </w:p>
    <w:p w:rsidR="00BF10C3" w:rsidRDefault="00BF10C3">
      <w:pPr>
        <w:pStyle w:val="dazhangjie"/>
        <w:divId w:val="1476140041"/>
        <w:rPr>
          <w:rFonts w:hint="eastAsia"/>
        </w:rPr>
      </w:pPr>
      <w:bookmarkStart w:id="23" w:name="_Toc17722044"/>
      <w:r>
        <w:rPr>
          <w:rFonts w:hAnsi="Calibri" w:hint="eastAsia"/>
          <w:b/>
          <w:color w:val="000000"/>
        </w:rPr>
        <w:t>§6 半年度财务会计报告(未经审计)</w:t>
      </w:r>
      <w:bookmarkEnd w:id="23"/>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24" w:name="_Toc17722045"/>
      <w:r>
        <w:rPr>
          <w:rFonts w:hint="eastAsia"/>
          <w:b/>
          <w:bCs/>
        </w:rPr>
        <w:t>6.1 资产负债表</w:t>
      </w:r>
      <w:bookmarkEnd w:id="24"/>
    </w:p>
    <w:p w:rsidR="00BF10C3" w:rsidRDefault="00BF10C3">
      <w:pPr>
        <w:pStyle w:val="biaogeleft"/>
        <w:divId w:val="1476140041"/>
        <w:rPr>
          <w:rFonts w:hint="eastAsia"/>
        </w:rPr>
      </w:pPr>
      <w:r>
        <w:rPr>
          <w:rFonts w:hint="eastAsia"/>
        </w:rPr>
        <w:t>会计主体：富安达新兴成长灵活配置混合型证券投资基金</w:t>
      </w:r>
    </w:p>
    <w:p w:rsidR="00BF10C3" w:rsidRDefault="00BF10C3">
      <w:pPr>
        <w:pStyle w:val="biaogeleft"/>
        <w:divId w:val="1476140041"/>
        <w:rPr>
          <w:rFonts w:hint="eastAsia"/>
        </w:rPr>
      </w:pPr>
      <w:r>
        <w:rPr>
          <w:rFonts w:hint="eastAsia"/>
        </w:rPr>
        <w:t>报告截止日：2019年06月30日</w:t>
      </w:r>
    </w:p>
    <w:p w:rsidR="00BF10C3" w:rsidRDefault="00BF10C3">
      <w:pPr>
        <w:widowControl/>
        <w:autoSpaceDE w:val="0"/>
        <w:autoSpaceDN w:val="0"/>
        <w:adjustRightInd w:val="0"/>
        <w:spacing w:line="288" w:lineRule="auto"/>
        <w:jc w:val="right"/>
        <w:divId w:val="820390360"/>
        <w:rPr>
          <w:rFonts w:ascii="宋体" w:hAnsi="宋体" w:cs="宋体" w:hint="eastAsia"/>
          <w:kern w:val="0"/>
          <w:sz w:val="24"/>
          <w:szCs w:val="24"/>
        </w:rPr>
      </w:pPr>
      <w:r>
        <w:rPr>
          <w:rFonts w:ascii="宋体" w:cs="宋体" w:hint="eastAsia"/>
          <w:color w:val="000000"/>
          <w:kern w:val="0"/>
          <w:sz w:val="24"/>
          <w:szCs w:val="24"/>
        </w:rPr>
        <w:t>单位：人民币元</w:t>
      </w:r>
    </w:p>
    <w:tbl>
      <w:tblPr>
        <w:tblW w:w="8037" w:type="dxa"/>
        <w:tblInd w:w="108" w:type="dxa"/>
        <w:tblLook w:val="04A0"/>
      </w:tblPr>
      <w:tblGrid>
        <w:gridCol w:w="2888"/>
        <w:gridCol w:w="2529"/>
        <w:gridCol w:w="2620"/>
      </w:tblGrid>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int="eastAsia"/>
                <w:b/>
                <w:bCs/>
              </w:rPr>
              <w:t>资 产 </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Ansi="Calibri" w:hint="eastAsia"/>
                <w:color w:val="000000"/>
              </w:rPr>
              <w:t>本期末</w:t>
            </w:r>
            <w:r>
              <w:rPr>
                <w:rFonts w:hAnsi="Calibri" w:hint="eastAsia"/>
                <w:color w:val="000000"/>
              </w:rPr>
              <w:t> </w:t>
            </w:r>
          </w:p>
          <w:p w:rsidR="00E842B2" w:rsidRDefault="00E842B2">
            <w:pPr>
              <w:pStyle w:val="biaogecenter"/>
              <w:wordWrap w:val="0"/>
            </w:pPr>
            <w:r>
              <w:rPr>
                <w:rFonts w:hAnsi="Calibri" w:hint="eastAsia"/>
                <w:color w:val="000000"/>
              </w:rPr>
              <w:t>2019年06月30日</w:t>
            </w:r>
            <w:r>
              <w:rPr>
                <w:rFonts w:hAnsi="Calibri" w:hint="eastAsia"/>
                <w:color w:val="00000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Ansi="Calibri" w:hint="eastAsia"/>
                <w:color w:val="000000"/>
              </w:rPr>
              <w:t>上年度末</w:t>
            </w:r>
            <w:r>
              <w:rPr>
                <w:rFonts w:hAnsi="Calibri" w:hint="eastAsia"/>
                <w:color w:val="000000"/>
              </w:rPr>
              <w:t> </w:t>
            </w:r>
          </w:p>
          <w:p w:rsidR="00E842B2" w:rsidRDefault="00E842B2">
            <w:pPr>
              <w:pStyle w:val="biaogecenter"/>
              <w:wordWrap w:val="0"/>
            </w:pPr>
            <w:r>
              <w:rPr>
                <w:rFonts w:hAnsi="Calibri" w:hint="eastAsia"/>
                <w:color w:val="000000"/>
              </w:rPr>
              <w:t>2018年12月31日</w:t>
            </w:r>
            <w:r>
              <w:rPr>
                <w:rFonts w:hAnsi="Calibri" w:hint="eastAsia"/>
                <w:color w:val="000000"/>
              </w:rPr>
              <w:t> </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b/>
                <w:bCs/>
              </w:rPr>
              <w:t>资 产：</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int="eastAsia"/>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int="eastAsia"/>
              </w:rPr>
              <w:t> </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银行存款</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21,680,374.24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45,324,609.40</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结算备付金</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2,243,627.58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1,406,908.01</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存出保证金</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336,502.90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300,799.08</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交易性金融资产</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174,998,489.34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57,948,343.66</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其中：股票投资</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174,998,489.34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57,948,343.66</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基金投资</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债券投资</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资产支持证券投资</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贵金属投资</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衍生金融资产</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应收证券清算款</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3,725,136.30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4,115,531.39</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应收利息</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6,118.59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9,915.89</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应收股利</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 </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应收申购款</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127,730.61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37,891.89</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递延所得税资产</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其他资产</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资产总计</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203,117,979.56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109,143,999.32</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int="eastAsia"/>
                <w:b/>
                <w:bCs/>
              </w:rPr>
              <w:t>负债和所有者权益</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int="eastAsia"/>
              </w:rPr>
              <w:t>本期末 </w:t>
            </w:r>
          </w:p>
          <w:p w:rsidR="00E842B2" w:rsidRDefault="00E842B2">
            <w:pPr>
              <w:pStyle w:val="biaogecenter"/>
              <w:wordWrap w:val="0"/>
            </w:pPr>
            <w:r>
              <w:rPr>
                <w:rFonts w:hint="eastAsia"/>
              </w:rPr>
              <w:t>2019年06月30日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int="eastAsia"/>
              </w:rPr>
              <w:t>上年度末 </w:t>
            </w:r>
          </w:p>
          <w:p w:rsidR="00E842B2" w:rsidRDefault="00E842B2">
            <w:pPr>
              <w:pStyle w:val="biaogecenter"/>
              <w:wordWrap w:val="0"/>
            </w:pPr>
            <w:r>
              <w:rPr>
                <w:rFonts w:hint="eastAsia"/>
              </w:rPr>
              <w:t>2018年12月31日</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b/>
                <w:bCs/>
              </w:rPr>
              <w:t>负 债：</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rPr>
                <w:rFonts w:ascii="宋体" w:hAnsi="宋体" w:cs="宋体"/>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rPr>
                <w:rFonts w:ascii="宋体" w:hAnsi="宋体" w:cs="宋体"/>
                <w:kern w:val="0"/>
                <w:sz w:val="24"/>
                <w:szCs w:val="24"/>
              </w:rPr>
            </w:pP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短期借款</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交易性金融负债</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衍生金融负债</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卖出回购金融资产款</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应付证券清算款</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494,876.09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应付赎回款</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2,318,035.93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216,993.58</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应付管理人报酬</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250,771.90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139,359.87</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应付托管费</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41,795.30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23,226.64</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应付销售服务费</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应付交易费用</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1,031,030.64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701,414.78</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应交税费</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应付利息</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应付利润</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递延所得税负债</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其他负债</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94,599.68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320,449.06</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负债合计</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4,231,109.54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1,401,443.93</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b/>
                <w:bCs/>
              </w:rPr>
              <w:t>所有者权益：</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int="eastAsia"/>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widowControl/>
              <w:wordWrap w:val="0"/>
              <w:jc w:val="left"/>
              <w:rPr>
                <w:rFonts w:ascii="宋体" w:hAnsi="宋体" w:cs="宋体"/>
                <w:kern w:val="0"/>
                <w:sz w:val="24"/>
                <w:szCs w:val="24"/>
              </w:rPr>
            </w:pPr>
            <w:r>
              <w:rPr>
                <w:rFonts w:ascii="宋体" w:hAnsi="宋体" w:cs="宋体" w:hint="eastAsia"/>
                <w:kern w:val="0"/>
                <w:sz w:val="24"/>
                <w:szCs w:val="24"/>
              </w:rPr>
              <w:t> </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实收基金</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194,096,208.13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145,676,762.81</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未分配利润</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4,790,661.89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-37,934,207.42</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所有者权益合计</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198,886,870.02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107,742,555.39</w:t>
            </w:r>
          </w:p>
        </w:tc>
      </w:tr>
      <w:tr w:rsidR="00E842B2" w:rsidRPr="00D55988" w:rsidTr="00E842B2">
        <w:trPr>
          <w:divId w:val="1476140041"/>
        </w:trPr>
        <w:tc>
          <w:tcPr>
            <w:tcW w:w="288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负债和所有者权益总计</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203,117,979.56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109,143,999.32</w:t>
            </w:r>
          </w:p>
        </w:tc>
      </w:tr>
    </w:tbl>
    <w:p w:rsidR="00BF10C3" w:rsidRDefault="00BF10C3">
      <w:pPr>
        <w:pStyle w:val="neirong"/>
        <w:divId w:val="1476140041"/>
        <w:rPr>
          <w:rFonts w:hint="eastAsia"/>
        </w:rPr>
      </w:pPr>
      <w:r>
        <w:rPr>
          <w:rFonts w:hint="eastAsia"/>
        </w:rPr>
        <w:t>报告截止日2019年06月30日，基金份额净值1.0247元，基金份额总额194,096,208.13份。</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25" w:name="_Toc17722046"/>
      <w:r>
        <w:rPr>
          <w:rFonts w:hint="eastAsia"/>
          <w:b/>
          <w:bCs/>
        </w:rPr>
        <w:t>6.2 利润表</w:t>
      </w:r>
      <w:bookmarkEnd w:id="25"/>
    </w:p>
    <w:p w:rsidR="00BF10C3" w:rsidRDefault="00BF10C3">
      <w:pPr>
        <w:pStyle w:val="biaogeleft"/>
        <w:divId w:val="1476140041"/>
        <w:rPr>
          <w:rFonts w:hint="eastAsia"/>
        </w:rPr>
      </w:pPr>
      <w:r>
        <w:rPr>
          <w:rFonts w:hint="eastAsia"/>
        </w:rPr>
        <w:t>会计主体：富安达新兴成长灵活配置混合型证券投资基金</w:t>
      </w:r>
    </w:p>
    <w:p w:rsidR="00BF10C3" w:rsidRDefault="00BF10C3">
      <w:pPr>
        <w:pStyle w:val="biaogeleft"/>
        <w:divId w:val="1476140041"/>
        <w:rPr>
          <w:rFonts w:hint="eastAsia"/>
        </w:rPr>
      </w:pPr>
      <w:r>
        <w:rPr>
          <w:rFonts w:hint="eastAsia"/>
        </w:rPr>
        <w:t>本报告期：2019年01月01日至2019年06月30日</w:t>
      </w:r>
    </w:p>
    <w:p w:rsidR="00BF10C3" w:rsidRDefault="00BF10C3">
      <w:pPr>
        <w:widowControl/>
        <w:autoSpaceDE w:val="0"/>
        <w:autoSpaceDN w:val="0"/>
        <w:adjustRightInd w:val="0"/>
        <w:spacing w:line="288" w:lineRule="auto"/>
        <w:jc w:val="right"/>
        <w:divId w:val="1675382038"/>
        <w:rPr>
          <w:rFonts w:ascii="宋体" w:hAnsi="宋体" w:cs="宋体" w:hint="eastAsia"/>
          <w:kern w:val="0"/>
          <w:sz w:val="24"/>
          <w:szCs w:val="24"/>
        </w:rPr>
      </w:pPr>
      <w:r>
        <w:rPr>
          <w:rFonts w:ascii="宋体" w:cs="宋体" w:hint="eastAsia"/>
          <w:color w:val="000000"/>
          <w:kern w:val="0"/>
          <w:sz w:val="24"/>
          <w:szCs w:val="24"/>
        </w:rPr>
        <w:t>单位：人民币元</w:t>
      </w:r>
    </w:p>
    <w:tbl>
      <w:tblPr>
        <w:tblW w:w="7962" w:type="dxa"/>
        <w:tblInd w:w="108" w:type="dxa"/>
        <w:tblLook w:val="04A0"/>
      </w:tblPr>
      <w:tblGrid>
        <w:gridCol w:w="3249"/>
        <w:gridCol w:w="2168"/>
        <w:gridCol w:w="2545"/>
      </w:tblGrid>
      <w:tr w:rsidR="00E842B2" w:rsidRPr="00D55988" w:rsidTr="00E842B2">
        <w:trPr>
          <w:divId w:val="1476140041"/>
          <w:trHeight w:val="374"/>
        </w:trPr>
        <w:tc>
          <w:tcPr>
            <w:tcW w:w="3249" w:type="dxa"/>
            <w:vMerge w:val="restart"/>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int="eastAsia"/>
                <w:b/>
                <w:bCs/>
              </w:rPr>
              <w:t>项 目</w:t>
            </w:r>
          </w:p>
        </w:tc>
        <w:tc>
          <w:tcPr>
            <w:tcW w:w="2168" w:type="dxa"/>
            <w:vMerge w:val="restart"/>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int="eastAsia"/>
              </w:rPr>
              <w:t>本期2019年01月01日至2019年06月30日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center"/>
              <w:wordWrap w:val="0"/>
            </w:pPr>
            <w:r>
              <w:rPr>
                <w:rFonts w:hint="eastAsia"/>
              </w:rPr>
              <w:t>上年度可比期间 </w:t>
            </w:r>
          </w:p>
          <w:p w:rsidR="00E842B2" w:rsidRDefault="00E842B2">
            <w:pPr>
              <w:pStyle w:val="biaogecenter"/>
              <w:wordWrap w:val="0"/>
            </w:pPr>
            <w:r>
              <w:rPr>
                <w:rFonts w:hint="eastAsia"/>
              </w:rPr>
              <w:t>2018年01月01日至2018年06月30日 </w:t>
            </w:r>
          </w:p>
        </w:tc>
      </w:tr>
      <w:tr w:rsidR="00E842B2" w:rsidRPr="00D55988" w:rsidTr="00E842B2">
        <w:trPr>
          <w:divId w:val="1476140041"/>
          <w:trHeight w:val="3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842B2" w:rsidRDefault="00E842B2">
            <w:pPr>
              <w:widowControl/>
              <w:jc w:val="left"/>
              <w:rPr>
                <w:rFonts w:ascii="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842B2" w:rsidRDefault="00E842B2">
            <w:pPr>
              <w:widowControl/>
              <w:jc w:val="left"/>
              <w:rPr>
                <w:rFonts w:ascii="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842B2" w:rsidRDefault="00E842B2">
            <w:pPr>
              <w:widowControl/>
              <w:jc w:val="left"/>
              <w:rPr>
                <w:rFonts w:ascii="宋体" w:hAnsi="宋体" w:cs="宋体"/>
                <w:kern w:val="0"/>
                <w:sz w:val="24"/>
                <w:szCs w:val="24"/>
              </w:rPr>
            </w:pP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b/>
                <w:bCs/>
              </w:rPr>
              <w:t>一、收入</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35,221,549.23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-45,709,262.01</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1.利息收入</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125,002.59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85,160.42</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其中：存款利息收入</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125,002.59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85,160.42</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债券利息收入</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资产支持证券利息收入</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买入返售金融资产收入</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其他利息收入</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2.投资收益（损失以“-”填列）</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16,483,982.08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-49,066,595.05</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其中：股票投资收益</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15,044,735.72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-49,522,524.47</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基金投资收益</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债券投资收益</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资产支持证券投资收益</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贵金属投资收益</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衍生工具收益</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ind w:left="750"/>
            </w:pPr>
            <w:r>
              <w:rPr>
                <w:rFonts w:hint="eastAsia"/>
              </w:rPr>
              <w:t>股利收益</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1,439,246.36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455,929.42</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3.公允价值变动收益（损失以“-”号填列）</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17,558,167.84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2,815,399.84</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4.汇兑收益（损失以“－”号填列）</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5.其他收入（损失以“-”号填列）</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1,054,396.72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456,772.78</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b/>
                <w:bCs/>
              </w:rPr>
              <w:t>减：二、费用</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4,347,882.37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5,762,644.49</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1．管理人报酬</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1,251,160.47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1,278,184.05</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2．托管费</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208,526.72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213,030.72</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3．销售服务费</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4．交易费用</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2,778,181.45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4,148,653.35</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5．利息支出</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其中：卖出回购金融资产支出</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6．税金及附加</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7．其他费用</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110,013.73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122,776.37</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b/>
                <w:bCs/>
              </w:rPr>
              <w:t>三、利润总额（亏损总额以“-”号填列）</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30,873,666.86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-51,471,906.50</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rPr>
              <w:t>减：所得税费用</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w:t>
            </w:r>
          </w:p>
        </w:tc>
      </w:tr>
      <w:tr w:rsidR="00E842B2" w:rsidRPr="00D55988" w:rsidTr="00E842B2">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left"/>
              <w:wordWrap w:val="0"/>
            </w:pPr>
            <w:r>
              <w:rPr>
                <w:rFonts w:hint="eastAsia"/>
                <w:b/>
                <w:bCs/>
              </w:rPr>
              <w:t>四、净利润（净亏损以“-”号填列）</w:t>
            </w:r>
          </w:p>
        </w:tc>
        <w:tc>
          <w:tcPr>
            <w:tcW w:w="2168" w:type="dxa"/>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30,873,666.86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842B2" w:rsidRDefault="00E842B2">
            <w:pPr>
              <w:pStyle w:val="biaogeright"/>
              <w:wordWrap w:val="0"/>
            </w:pPr>
            <w:r>
              <w:rPr>
                <w:rFonts w:hint="eastAsia"/>
              </w:rPr>
              <w:t>-51,471,906.50</w:t>
            </w:r>
          </w:p>
        </w:tc>
      </w:tr>
    </w:tbl>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26" w:name="_Toc17722047"/>
      <w:r>
        <w:rPr>
          <w:rFonts w:hint="eastAsia"/>
          <w:b/>
          <w:bCs/>
        </w:rPr>
        <w:t>6.3 所有者权益（基金净值）变动表</w:t>
      </w:r>
      <w:bookmarkEnd w:id="26"/>
    </w:p>
    <w:p w:rsidR="00BF10C3" w:rsidRDefault="00BF10C3">
      <w:pPr>
        <w:pStyle w:val="biaogeleft"/>
        <w:divId w:val="1476140041"/>
        <w:rPr>
          <w:rFonts w:hint="eastAsia"/>
        </w:rPr>
      </w:pPr>
      <w:r>
        <w:rPr>
          <w:rFonts w:hint="eastAsia"/>
        </w:rPr>
        <w:t>会计主体：富安达新兴成长灵活配置混合型证券投资基金</w:t>
      </w:r>
    </w:p>
    <w:p w:rsidR="00BF10C3" w:rsidRDefault="00BF10C3">
      <w:pPr>
        <w:pStyle w:val="biaogeleft"/>
        <w:divId w:val="1476140041"/>
        <w:rPr>
          <w:rFonts w:hint="eastAsia"/>
        </w:rPr>
      </w:pPr>
      <w:r>
        <w:rPr>
          <w:rFonts w:hint="eastAsia"/>
        </w:rPr>
        <w:t>本报告期：2019年01月01日至2019年06月30日</w:t>
      </w:r>
    </w:p>
    <w:p w:rsidR="00BF10C3" w:rsidRDefault="00BF10C3">
      <w:pPr>
        <w:widowControl/>
        <w:autoSpaceDE w:val="0"/>
        <w:autoSpaceDN w:val="0"/>
        <w:adjustRightInd w:val="0"/>
        <w:spacing w:line="288" w:lineRule="auto"/>
        <w:jc w:val="right"/>
        <w:divId w:val="1471482875"/>
        <w:rPr>
          <w:rFonts w:ascii="宋体" w:hAnsi="宋体" w:cs="宋体" w:hint="eastAsia"/>
          <w:kern w:val="0"/>
          <w:sz w:val="24"/>
          <w:szCs w:val="24"/>
        </w:rPr>
      </w:pPr>
      <w:r>
        <w:rPr>
          <w:rFonts w:ascii="宋体" w:cs="宋体" w:hint="eastAsia"/>
          <w:color w:val="000000"/>
          <w:kern w:val="0"/>
          <w:sz w:val="24"/>
          <w:szCs w:val="24"/>
        </w:rPr>
        <w:t>单位：人民币元</w:t>
      </w:r>
    </w:p>
    <w:tbl>
      <w:tblPr>
        <w:tblW w:w="0" w:type="auto"/>
        <w:tblInd w:w="108" w:type="dxa"/>
        <w:tblLook w:val="04A0"/>
      </w:tblPr>
      <w:tblGrid>
        <w:gridCol w:w="2299"/>
        <w:gridCol w:w="2315"/>
        <w:gridCol w:w="2084"/>
        <w:gridCol w:w="2500"/>
      </w:tblGrid>
      <w:tr w:rsidR="00BF10C3" w:rsidRPr="00D55988">
        <w:trPr>
          <w:divId w:val="1476140041"/>
        </w:trPr>
        <w:tc>
          <w:tcPr>
            <w:tcW w:w="125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b/>
                <w:bCs/>
              </w:rPr>
              <w:t>项 目</w:t>
            </w:r>
          </w:p>
        </w:tc>
        <w:tc>
          <w:tcPr>
            <w:tcW w:w="5779" w:type="dxa"/>
            <w:gridSpan w:val="3"/>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本期 </w:t>
            </w:r>
          </w:p>
          <w:p w:rsidR="00BF10C3" w:rsidRDefault="00BF10C3">
            <w:pPr>
              <w:pStyle w:val="biaogecenter"/>
              <w:wordWrap w:val="0"/>
            </w:pPr>
            <w:r>
              <w:rPr>
                <w:rFonts w:hint="eastAsia"/>
              </w:rPr>
              <w:t>2019年01月01日至2019年06月30日</w:t>
            </w:r>
          </w:p>
        </w:tc>
      </w:tr>
      <w:tr w:rsidR="00BF10C3" w:rsidRPr="00D55988">
        <w:trPr>
          <w:divId w:val="14761400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20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实收基金 </w:t>
            </w:r>
          </w:p>
        </w:tc>
        <w:tc>
          <w:tcPr>
            <w:tcW w:w="16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未分配利润 </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所有者权益合计 </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一、期初所有者权益(基金净值)</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145,676,762.81</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-37,934,207.42</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107,742,555.39</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二、本期经营活动产生的基金净值变动数(本期利润)</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30,873,666.86</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30,873,666.86</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三、本期基金份额交易产生的基金净值变动数（净值减少以“-”号填列）</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48,419,445.32</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11,851,202.45</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60,270,647.77</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其中：1.基金申购款</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232,710,362.50</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17,540,689.57</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250,251,052.07</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ind w:left="750"/>
            </w:pPr>
            <w:r>
              <w:rPr>
                <w:rFonts w:hint="eastAsia"/>
              </w:rPr>
              <w:t>2.基金赎回款</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-184,290,917.18</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-5,689,487.12</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-189,980,404.30</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四、本期向基金份额持有人分配利润产生的基金净值变动（净值减少以“-”号填列）</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五、期末所有者权益（基金净值）</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194,096,208.13</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4,790,661.89</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198,886,870.02</w:t>
            </w:r>
          </w:p>
        </w:tc>
      </w:tr>
      <w:tr w:rsidR="00BF10C3" w:rsidRPr="00D55988">
        <w:trPr>
          <w:divId w:val="1476140041"/>
        </w:trPr>
        <w:tc>
          <w:tcPr>
            <w:tcW w:w="3249" w:type="dxa"/>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b/>
                <w:bCs/>
              </w:rPr>
              <w:t>项 目</w:t>
            </w:r>
          </w:p>
        </w:tc>
        <w:tc>
          <w:tcPr>
            <w:tcW w:w="5779" w:type="dxa"/>
            <w:gridSpan w:val="3"/>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上年度可比期间 </w:t>
            </w:r>
          </w:p>
          <w:p w:rsidR="00BF10C3" w:rsidRDefault="00BF10C3">
            <w:pPr>
              <w:pStyle w:val="biaogecenter"/>
              <w:wordWrap w:val="0"/>
            </w:pPr>
            <w:r>
              <w:rPr>
                <w:rFonts w:hint="eastAsia"/>
              </w:rPr>
              <w:t>2018年01月01日至2018年06月30日 </w:t>
            </w:r>
          </w:p>
        </w:tc>
      </w:tr>
      <w:tr w:rsidR="00BF10C3" w:rsidRPr="00D55988">
        <w:trPr>
          <w:divId w:val="14761400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实收基金 </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未分配利润 </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所有者权益合计 </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一、期初所有者权益(基金净值)</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195,184,713.08</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51,231,147.67</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246,415,860.75</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二、本期经营活动产生的基金净值变动数(本期利润)</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-51,471,906.50</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-51,471,906.50</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三、本期基金份额交易产生的基金净值变动数（净值减少以“-”号填列）</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-47,837,342.02</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-11,019,770.68</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-58,857,112.70</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其中：1.基金申购款</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67,537,570.51</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5,967,898.10</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73,505,468.61</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ind w:left="750"/>
            </w:pPr>
            <w:r>
              <w:rPr>
                <w:rFonts w:hint="eastAsia"/>
              </w:rPr>
              <w:t>2.基金赎回款</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-115,374,912.53</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-16,987,668.78</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-132,362,581.31</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四、本期向基金份额持有人分配利润产生的基金净值变动（净值减少以“-”号填列）</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324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五、期末所有者权益（基金净值）</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147,347,371.06</w:t>
            </w:r>
          </w:p>
        </w:tc>
        <w:tc>
          <w:tcPr>
            <w:tcW w:w="180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-11,260,529.51</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136,086,841.55</w:t>
            </w:r>
          </w:p>
        </w:tc>
      </w:tr>
    </w:tbl>
    <w:p w:rsidR="00BF10C3" w:rsidRDefault="00BF10C3">
      <w:pPr>
        <w:pStyle w:val="biaogeleft"/>
        <w:divId w:val="1476140041"/>
        <w:rPr>
          <w:rFonts w:hint="eastAsia"/>
        </w:rPr>
      </w:pPr>
      <w:r>
        <w:rPr>
          <w:rFonts w:hint="eastAsia"/>
        </w:rPr>
        <w:t>报表附注为财务报表的组成部分。</w:t>
      </w:r>
    </w:p>
    <w:p w:rsidR="00BF10C3" w:rsidRDefault="00BF10C3">
      <w:pPr>
        <w:pStyle w:val="biaogeleft"/>
        <w:divId w:val="1476140041"/>
        <w:rPr>
          <w:rFonts w:hint="eastAsia"/>
        </w:rPr>
      </w:pPr>
      <w:r>
        <w:rPr>
          <w:rFonts w:hint="eastAsia"/>
        </w:rPr>
        <w:t>本报告6.1至6.4财务报表由下列负责人签署:</w:t>
      </w:r>
    </w:p>
    <w:tbl>
      <w:tblPr>
        <w:tblW w:w="0" w:type="auto"/>
        <w:tblInd w:w="108" w:type="dxa"/>
        <w:tblLook w:val="04A0"/>
      </w:tblPr>
      <w:tblGrid>
        <w:gridCol w:w="3249"/>
        <w:gridCol w:w="2889"/>
        <w:gridCol w:w="2890"/>
      </w:tblGrid>
      <w:tr w:rsidR="00BF10C3" w:rsidRPr="00D55988">
        <w:trPr>
          <w:divId w:val="1476140041"/>
        </w:trPr>
        <w:tc>
          <w:tcPr>
            <w:tcW w:w="3249" w:type="dxa"/>
            <w:tcBorders>
              <w:top w:val="nil"/>
              <w:left w:val="nil"/>
              <w:bottom w:val="nil"/>
              <w:right w:val="nil"/>
            </w:tcBorders>
            <w:hideMark/>
          </w:tcPr>
          <w:p w:rsidR="00BF10C3" w:rsidRDefault="00BF10C3">
            <w:pPr>
              <w:pStyle w:val="biaogeleft"/>
              <w:wordWrap w:val="0"/>
              <w:rPr>
                <w:rFonts w:hint="eastAsia"/>
              </w:rPr>
            </w:pPr>
            <w:r>
              <w:rPr>
                <w:rFonts w:hAnsi="Calibri" w:hint="eastAsia"/>
                <w:color w:val="000000"/>
              </w:rPr>
              <w:t>蒋晓刚</w:t>
            </w:r>
          </w:p>
          <w:p w:rsidR="00BF10C3" w:rsidRDefault="00BF10C3">
            <w:pPr>
              <w:pStyle w:val="biaogeleft"/>
              <w:wordWrap w:val="0"/>
              <w:rPr>
                <w:rFonts w:hint="eastAsia"/>
              </w:rPr>
            </w:pPr>
            <w:r>
              <w:rPr>
                <w:rFonts w:hint="eastAsia"/>
              </w:rPr>
              <w:t>—————————</w:t>
            </w:r>
          </w:p>
          <w:p w:rsidR="00BF10C3" w:rsidRDefault="00BF10C3">
            <w:pPr>
              <w:pStyle w:val="biaogeleft"/>
              <w:wordWrap w:val="0"/>
            </w:pPr>
            <w:r>
              <w:rPr>
                <w:rFonts w:hint="eastAsia"/>
              </w:rPr>
              <w:t>基金管理人负责人</w:t>
            </w:r>
          </w:p>
        </w:tc>
        <w:tc>
          <w:tcPr>
            <w:tcW w:w="2889" w:type="dxa"/>
            <w:tcBorders>
              <w:top w:val="nil"/>
              <w:left w:val="nil"/>
              <w:bottom w:val="nil"/>
              <w:right w:val="nil"/>
            </w:tcBorders>
            <w:hideMark/>
          </w:tcPr>
          <w:p w:rsidR="00BF10C3" w:rsidRDefault="00BF10C3">
            <w:pPr>
              <w:pStyle w:val="biaogeleft"/>
              <w:wordWrap w:val="0"/>
            </w:pPr>
            <w:r>
              <w:rPr>
                <w:rFonts w:hint="eastAsia"/>
              </w:rPr>
              <w:t>孙爱民</w:t>
            </w:r>
          </w:p>
          <w:p w:rsidR="00BF10C3" w:rsidRDefault="00BF10C3">
            <w:pPr>
              <w:pStyle w:val="biaogeleft"/>
              <w:wordWrap w:val="0"/>
              <w:rPr>
                <w:rFonts w:hint="eastAsia"/>
              </w:rPr>
            </w:pPr>
            <w:r>
              <w:rPr>
                <w:rFonts w:hint="eastAsia"/>
              </w:rPr>
              <w:t>—————————</w:t>
            </w:r>
          </w:p>
          <w:p w:rsidR="00BF10C3" w:rsidRDefault="00BF10C3">
            <w:pPr>
              <w:pStyle w:val="biaogeleft"/>
              <w:wordWrap w:val="0"/>
            </w:pPr>
            <w:r>
              <w:rPr>
                <w:rFonts w:hint="eastAsia"/>
              </w:rPr>
              <w:t>主管会计工作负责人</w:t>
            </w:r>
          </w:p>
        </w:tc>
        <w:tc>
          <w:tcPr>
            <w:tcW w:w="2890" w:type="dxa"/>
            <w:tcBorders>
              <w:top w:val="nil"/>
              <w:left w:val="nil"/>
              <w:bottom w:val="nil"/>
              <w:right w:val="nil"/>
            </w:tcBorders>
            <w:hideMark/>
          </w:tcPr>
          <w:p w:rsidR="00BF10C3" w:rsidRDefault="00BF10C3">
            <w:pPr>
              <w:pStyle w:val="biaogeleft"/>
              <w:wordWrap w:val="0"/>
            </w:pPr>
            <w:r>
              <w:rPr>
                <w:rFonts w:hint="eastAsia"/>
              </w:rPr>
              <w:t>孙爱民</w:t>
            </w:r>
          </w:p>
          <w:p w:rsidR="00BF10C3" w:rsidRDefault="00BF10C3">
            <w:pPr>
              <w:pStyle w:val="biaogeleft"/>
              <w:wordWrap w:val="0"/>
              <w:rPr>
                <w:rFonts w:hint="eastAsia"/>
              </w:rPr>
            </w:pPr>
            <w:r>
              <w:rPr>
                <w:rFonts w:hint="eastAsia"/>
              </w:rPr>
              <w:t>—————————</w:t>
            </w:r>
          </w:p>
          <w:p w:rsidR="00BF10C3" w:rsidRDefault="00BF10C3">
            <w:pPr>
              <w:pStyle w:val="biaogeleft"/>
              <w:wordWrap w:val="0"/>
            </w:pPr>
            <w:r>
              <w:rPr>
                <w:rFonts w:hint="eastAsia"/>
              </w:rPr>
              <w:t>会计机构负责人</w:t>
            </w:r>
          </w:p>
        </w:tc>
      </w:tr>
    </w:tbl>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27" w:name="_Toc17722048"/>
      <w:r>
        <w:rPr>
          <w:rFonts w:hint="eastAsia"/>
          <w:b/>
          <w:bCs/>
        </w:rPr>
        <w:t>6.4 报表附注</w:t>
      </w:r>
      <w:bookmarkEnd w:id="27"/>
    </w:p>
    <w:p w:rsidR="00BF10C3" w:rsidRDefault="00BF10C3">
      <w:pPr>
        <w:pStyle w:val="zhangjiep2"/>
        <w:divId w:val="1476140041"/>
        <w:rPr>
          <w:rFonts w:hint="eastAsia"/>
        </w:rPr>
      </w:pPr>
      <w:r>
        <w:rPr>
          <w:rFonts w:hint="eastAsia"/>
          <w:b/>
          <w:bCs/>
        </w:rPr>
        <w:t>6.4.1 基金基本情况</w:t>
      </w:r>
    </w:p>
    <w:p w:rsidR="00BF10C3" w:rsidRDefault="00BF10C3">
      <w:pPr>
        <w:pStyle w:val="neirong"/>
        <w:spacing w:before="0"/>
        <w:ind w:left="0" w:firstLine="480"/>
        <w:divId w:val="1476140041"/>
        <w:rPr>
          <w:rFonts w:hint="eastAsia"/>
        </w:rPr>
      </w:pPr>
      <w:r>
        <w:rPr>
          <w:rFonts w:hint="eastAsia"/>
        </w:rPr>
        <w:t>富安达新兴成长灵活配置混合型证券投资基金(以下简称"本基金")经中国证券监督管理委员会(以下简称"中国证监会")证监许可[2014]697号《关于核准富安达新兴成长灵活配置混合型证券投资基金募集的批复》核准，由富安达基金管理有限公司依照《中华人民共和国证券投资基金法》和《富安达新兴成长灵活配置混合型证券投资基金基金合同》负责公开募集。本基金为契约型开放式，存续期限不定，首次设立募集不包括认购资金利息共募集人民币249,339,317.51元，业经普华永道中天会计师事务所（特殊普通合伙）普华永道中天验字(2014)第492号验资报告予以验证。经向中国证监会备案，《富安达新兴成长灵活配置混合型证券投资基金基金合同》于2014年9月11日正式生效，基金合同生效日的基金份额总额为249,422,328.18份基金份额，其中认购资金利息折合83,010.67份基金份额。本基金的基金管理人为富安达基金管理有限公司，基金托管人为交通银行股份有限公司。</w:t>
      </w:r>
    </w:p>
    <w:p w:rsidR="00BF10C3" w:rsidRDefault="00BF10C3">
      <w:pPr>
        <w:pStyle w:val="neirong"/>
        <w:spacing w:before="0"/>
        <w:ind w:left="0" w:firstLine="480"/>
        <w:divId w:val="1476140041"/>
        <w:rPr>
          <w:rFonts w:hint="eastAsia"/>
        </w:rPr>
      </w:pPr>
      <w:r>
        <w:rPr>
          <w:rFonts w:hint="eastAsia"/>
        </w:rPr>
        <w:t>根据《中华人民共和国证券投资基金法》和《富安达新兴成长灵活配置混合型证券投资基金基金合同》的有关规定，本基金的投资范围为具有良好流动性的金融工具，包括国内依法发行上市的股票(包括中小板、创业板及其他经中国证监会核准发行并上市的股票)、债券(包括国债、央票、金融债、企业债、公司债、中期票据、短期融资券、可转换债券(含可分离交易可转换债券)、中小企业私募债等)、资产支持证券、债券回购、银行存款、货币市场工具、权证，以及法律法规或中国证监会允许基金投资的其他金融工具。本基金的投资组合比例为：股票资产占基金资产的比例为0%-95%，非现金资产中不低于80%的资产将投资于新兴产业及其相关行业中成长型上市公司的股票，债券资产占基金资产的比例为0%-95%，现金或到期日在一年以内的政府债券的比例合计不低于基金资产净值的5%，其中，现金不包括结算备付金、存出保证金、应收申购款等 。本基金的业绩比较基准：中证新兴产业指数收益率×60%+中债总指数收益率×40%。</w:t>
      </w:r>
    </w:p>
    <w:p w:rsidR="00BF10C3" w:rsidRDefault="00BF10C3">
      <w:pPr>
        <w:pStyle w:val="neirong"/>
        <w:spacing w:before="0"/>
        <w:ind w:left="0" w:firstLine="480"/>
        <w:divId w:val="1476140041"/>
        <w:rPr>
          <w:rFonts w:hint="eastAsia"/>
        </w:rPr>
      </w:pPr>
      <w:r>
        <w:rPr>
          <w:rFonts w:hint="eastAsia"/>
        </w:rPr>
        <w:t>本财务报表由本基金的基金管理人富安达基金管理有限公司于2019年08月27日批准报出。</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6.4.2 会计报表的编制基础</w:t>
      </w:r>
    </w:p>
    <w:p w:rsidR="00BF10C3" w:rsidRDefault="00BF10C3">
      <w:pPr>
        <w:pStyle w:val="neirong"/>
        <w:spacing w:before="0"/>
        <w:ind w:left="0" w:firstLine="480"/>
        <w:divId w:val="1476140041"/>
        <w:rPr>
          <w:rFonts w:hint="eastAsia"/>
        </w:rPr>
      </w:pPr>
      <w:r>
        <w:rPr>
          <w:rFonts w:hint="eastAsia"/>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富安达新兴成长灵活配置混合型证券投资基金基金合同》和在财务报表附注6.4.4所列示的中国证监会、中国基金业协会发布的有关规定及允许的基金行业实务操作编制。</w:t>
      </w:r>
    </w:p>
    <w:p w:rsidR="00BF10C3" w:rsidRDefault="00BF10C3">
      <w:pPr>
        <w:pStyle w:val="neirong"/>
        <w:spacing w:before="0"/>
        <w:ind w:left="0" w:firstLine="480"/>
        <w:divId w:val="1476140041"/>
        <w:rPr>
          <w:rFonts w:hint="eastAsia"/>
        </w:rPr>
      </w:pPr>
      <w:r>
        <w:rPr>
          <w:rFonts w:hint="eastAsia"/>
        </w:rPr>
        <w:t>本财务报表以持续经营为基础编制 。</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6.4.3 遵循企业会计准则及其他有关规定的声明</w:t>
      </w:r>
    </w:p>
    <w:p w:rsidR="00BF10C3" w:rsidRDefault="00BF10C3">
      <w:pPr>
        <w:pStyle w:val="neirong"/>
        <w:spacing w:before="0"/>
        <w:ind w:left="0" w:firstLine="480"/>
        <w:divId w:val="1476140041"/>
        <w:rPr>
          <w:rFonts w:hint="eastAsia"/>
        </w:rPr>
      </w:pPr>
      <w:r>
        <w:rPr>
          <w:rFonts w:hint="eastAsia"/>
        </w:rPr>
        <w:t>本基金财务报表符合企业会计准则的要求，真实、完整地反映了本基金2019年06月30日的财务状况以及2019年上半年度的经营成果和基金净值变动情况等有关信息。</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6.4.4 本报告期所采用的会计政策、会计估计与最近一期年度报告相一致的说明</w:t>
      </w:r>
    </w:p>
    <w:p w:rsidR="00BF10C3" w:rsidRDefault="00BF10C3">
      <w:pPr>
        <w:pStyle w:val="neirong"/>
        <w:spacing w:before="0"/>
        <w:ind w:left="0" w:firstLine="480"/>
        <w:divId w:val="1476140041"/>
        <w:rPr>
          <w:rFonts w:hint="eastAsia"/>
        </w:rPr>
      </w:pPr>
      <w:r>
        <w:rPr>
          <w:rFonts w:hint="eastAsia"/>
        </w:rPr>
        <w:t>本基金本报告期所采用的会计政策、会计估计与最近一期年度报告相一致。</w:t>
      </w:r>
    </w:p>
    <w:p w:rsidR="00BF10C3" w:rsidRDefault="00BF10C3">
      <w:pPr>
        <w:widowControl/>
        <w:jc w:val="left"/>
        <w:divId w:val="81371547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6.4.5 会计政策和会计估计变更以及差错更正的说明</w:t>
      </w:r>
    </w:p>
    <w:p w:rsidR="00BF10C3" w:rsidRDefault="00BF10C3">
      <w:pPr>
        <w:pStyle w:val="zhangjiep2"/>
        <w:divId w:val="1476140041"/>
        <w:rPr>
          <w:rFonts w:hint="eastAsia"/>
        </w:rPr>
      </w:pPr>
      <w:r>
        <w:rPr>
          <w:rFonts w:hint="eastAsia"/>
          <w:b/>
          <w:bCs/>
        </w:rPr>
        <w:t>6.4.5.1 差错更正的说明</w:t>
      </w:r>
    </w:p>
    <w:p w:rsidR="00BF10C3" w:rsidRDefault="00BF10C3">
      <w:pPr>
        <w:pStyle w:val="neirong"/>
        <w:spacing w:before="0"/>
        <w:ind w:left="0" w:firstLine="480"/>
        <w:divId w:val="1476140041"/>
        <w:rPr>
          <w:rFonts w:hint="eastAsia"/>
        </w:rPr>
      </w:pPr>
      <w:r>
        <w:rPr>
          <w:rFonts w:hint="eastAsia"/>
        </w:rPr>
        <w:t>本基金在本报告期内无须说明的会计差错更正。</w:t>
      </w:r>
    </w:p>
    <w:p w:rsidR="00BF10C3" w:rsidRDefault="00BF10C3">
      <w:pPr>
        <w:widowControl/>
        <w:jc w:val="left"/>
        <w:divId w:val="2006275062"/>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6.4.6 税项</w:t>
      </w:r>
    </w:p>
    <w:p w:rsidR="00BF10C3" w:rsidRDefault="00BF10C3">
      <w:pPr>
        <w:pStyle w:val="neirong"/>
        <w:spacing w:before="0"/>
        <w:ind w:left="0" w:firstLine="480"/>
        <w:divId w:val="1476140041"/>
        <w:rPr>
          <w:rFonts w:hint="eastAsia"/>
        </w:rPr>
      </w:pPr>
      <w:r>
        <w:rPr>
          <w:rFonts w:hint="eastAsia"/>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BF10C3" w:rsidRDefault="00BF10C3">
      <w:pPr>
        <w:pStyle w:val="neirong"/>
        <w:spacing w:before="0"/>
        <w:ind w:left="0" w:firstLine="480"/>
        <w:divId w:val="1476140041"/>
        <w:rPr>
          <w:rFonts w:hint="eastAsia"/>
        </w:rPr>
      </w:pPr>
      <w:r>
        <w:rPr>
          <w:rFonts w:hint="eastAsia"/>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BF10C3" w:rsidRDefault="00BF10C3">
      <w:pPr>
        <w:pStyle w:val="neirong"/>
        <w:spacing w:before="0"/>
        <w:ind w:left="0" w:firstLine="480"/>
        <w:divId w:val="1476140041"/>
        <w:rPr>
          <w:rFonts w:hint="eastAsia"/>
        </w:rPr>
      </w:pPr>
      <w:r>
        <w:rPr>
          <w:rFonts w:hint="eastAsia"/>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w:t>
      </w:r>
    </w:p>
    <w:p w:rsidR="00BF10C3" w:rsidRDefault="00BF10C3">
      <w:pPr>
        <w:pStyle w:val="neirong"/>
        <w:spacing w:before="0"/>
        <w:ind w:left="0" w:firstLine="480"/>
        <w:divId w:val="1476140041"/>
        <w:rPr>
          <w:rFonts w:hint="eastAsia"/>
        </w:rPr>
      </w:pPr>
      <w:r>
        <w:rPr>
          <w:rFonts w:hint="eastAsia"/>
        </w:rPr>
        <w:t>(2) 对基金从证券市场中取得的收入，包括买卖股票、债券的差价收入，股票的股息、红利收入，债券的利息收入及其他收入，暂不征收企业所得税。</w:t>
      </w:r>
    </w:p>
    <w:p w:rsidR="00BF10C3" w:rsidRDefault="00BF10C3">
      <w:pPr>
        <w:pStyle w:val="neirong"/>
        <w:spacing w:before="0"/>
        <w:ind w:left="0" w:firstLine="480"/>
        <w:divId w:val="1476140041"/>
        <w:rPr>
          <w:rFonts w:hint="eastAsia"/>
        </w:rPr>
      </w:pPr>
      <w:r>
        <w:rPr>
          <w:rFonts w:hint="eastAsia"/>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BF10C3" w:rsidRDefault="00BF10C3">
      <w:pPr>
        <w:pStyle w:val="neirong"/>
        <w:spacing w:before="0"/>
        <w:ind w:left="0" w:firstLine="480"/>
        <w:divId w:val="1476140041"/>
        <w:rPr>
          <w:rFonts w:hint="eastAsia"/>
        </w:rPr>
      </w:pPr>
      <w:r>
        <w:rPr>
          <w:rFonts w:hint="eastAsia"/>
        </w:rPr>
        <w:t>(4) 基金卖出股票按0.1%的税率缴纳股票交易印花税，买入股票不征收股票交易印花税。</w:t>
      </w:r>
    </w:p>
    <w:p w:rsidR="00BF10C3" w:rsidRDefault="00BF10C3">
      <w:pPr>
        <w:pStyle w:val="neirong"/>
        <w:spacing w:before="0"/>
        <w:ind w:left="0" w:firstLine="480"/>
        <w:divId w:val="1476140041"/>
        <w:rPr>
          <w:rFonts w:hint="eastAsia"/>
        </w:rPr>
      </w:pPr>
      <w:r>
        <w:rPr>
          <w:rFonts w:hint="eastAsia"/>
        </w:rPr>
        <w:t>(5) 本基金的城市维护建设税、教育费附加和地方教育费附加等税费按照实际缴纳增值税额的适用比例计算缴纳。</w:t>
      </w:r>
    </w:p>
    <w:p w:rsidR="00BF10C3" w:rsidRDefault="00BF10C3">
      <w:pPr>
        <w:widowControl/>
        <w:jc w:val="left"/>
        <w:divId w:val="1476140041"/>
        <w:rPr>
          <w:rFonts w:ascii="宋体" w:hAnsi="宋体" w:cs="宋体" w:hint="eastAsia"/>
          <w:kern w:val="0"/>
          <w:sz w:val="24"/>
          <w:szCs w:val="24"/>
        </w:rPr>
      </w:pP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 xml:space="preserve">7 </w:t>
      </w:r>
      <w:r>
        <w:rPr>
          <w:rFonts w:hint="eastAsia"/>
          <w:b/>
          <w:bCs/>
        </w:rPr>
        <w:t>关联方关系</w:t>
      </w:r>
    </w:p>
    <w:p w:rsidR="00BF10C3" w:rsidRDefault="00BF10C3">
      <w:pPr>
        <w:pStyle w:val="zhangjiep2"/>
        <w:divId w:val="1476140041"/>
        <w:rPr>
          <w:rFonts w:hint="eastAsia"/>
        </w:rPr>
      </w:pPr>
      <w:r>
        <w:rPr>
          <w:rFonts w:hint="eastAsia"/>
          <w:b/>
          <w:bCs/>
        </w:rPr>
        <w:t>6.4.</w:t>
      </w:r>
      <w:r w:rsidR="00E842B2">
        <w:rPr>
          <w:rFonts w:hint="eastAsia"/>
          <w:b/>
          <w:bCs/>
        </w:rPr>
        <w:t>7</w:t>
      </w:r>
      <w:r>
        <w:rPr>
          <w:rFonts w:hint="eastAsia"/>
          <w:b/>
          <w:bCs/>
        </w:rPr>
        <w:t>.1 本报告期存在控制关系或其他重大利害关系的关联方发生变化的情况</w:t>
      </w:r>
    </w:p>
    <w:p w:rsidR="00BF10C3" w:rsidRDefault="00BF10C3">
      <w:pPr>
        <w:pStyle w:val="neirong"/>
        <w:spacing w:before="0"/>
        <w:ind w:left="0" w:firstLine="480"/>
        <w:divId w:val="1476140041"/>
        <w:rPr>
          <w:rFonts w:hint="eastAsia"/>
        </w:rPr>
      </w:pPr>
      <w:r>
        <w:rPr>
          <w:rFonts w:hint="eastAsia"/>
        </w:rPr>
        <w:t>本报告期内，关联方关系未发生变化。</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7</w:t>
      </w:r>
      <w:r>
        <w:rPr>
          <w:rFonts w:hint="eastAsia"/>
          <w:b/>
          <w:bCs/>
        </w:rPr>
        <w:t>.2 本报告期与基金发生关联交易的各关联方</w:t>
      </w:r>
    </w:p>
    <w:tbl>
      <w:tblPr>
        <w:tblW w:w="9045" w:type="dxa"/>
        <w:tblInd w:w="108" w:type="dxa"/>
        <w:tblLook w:val="04A0"/>
      </w:tblPr>
      <w:tblGrid>
        <w:gridCol w:w="5528"/>
        <w:gridCol w:w="3517"/>
      </w:tblGrid>
      <w:tr w:rsidR="00BF10C3" w:rsidRPr="00D55988">
        <w:trPr>
          <w:divId w:val="1476140041"/>
        </w:trPr>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关联方名称</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与本基金的关系</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富安达基金管理有限公司（“富安达基金”）</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基金管理人、基金注册登记机构、基金销售机构</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交通银行股份有限公司（“交通银行”）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基金托管人、基金销售机构</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南京证券股份有限公司（“南京证券”）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基金管理人的股东、基金销售机构</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江苏交通控股有限公司（“江苏交通”）</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基金管理人的股东</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南京市河西新城区国有资产经营控股（集团）有限责任公司（“南京河西”）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基金管理人的股东</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富安达资产管理（上海）有限公司（“富安达资管”）</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基金管理人的全资子公司</w:t>
            </w:r>
          </w:p>
        </w:tc>
      </w:tr>
    </w:tbl>
    <w:p w:rsidR="00BF10C3" w:rsidRDefault="00BF10C3">
      <w:pPr>
        <w:pStyle w:val="neirong"/>
        <w:divId w:val="1476140041"/>
        <w:rPr>
          <w:rFonts w:hint="eastAsia"/>
        </w:rPr>
      </w:pPr>
      <w:r>
        <w:rPr>
          <w:rFonts w:hint="eastAsia"/>
        </w:rPr>
        <w:t>注：下述关联交易均在正常业务范围内按一般商业条款订立。</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 xml:space="preserve">8 </w:t>
      </w:r>
      <w:r>
        <w:rPr>
          <w:rFonts w:hint="eastAsia"/>
          <w:b/>
          <w:bCs/>
        </w:rPr>
        <w:t>本报告期及上年度可比期间的关联方交易</w:t>
      </w: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.1 通过关联方交易单元进行的交易</w:t>
      </w: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.1.1 股票交易</w:t>
      </w:r>
    </w:p>
    <w:p w:rsidR="00BF10C3" w:rsidRDefault="00BF10C3">
      <w:pPr>
        <w:pStyle w:val="biaogeright"/>
        <w:divId w:val="1437671127"/>
        <w:rPr>
          <w:rFonts w:hint="eastAsia"/>
        </w:rPr>
      </w:pPr>
      <w:r>
        <w:rPr>
          <w:rFonts w:hAnsi="Calibri" w:hint="eastAsia"/>
          <w:color w:val="000000"/>
        </w:rPr>
        <w:t>金额单位：人民币元</w:t>
      </w:r>
    </w:p>
    <w:tbl>
      <w:tblPr>
        <w:tblW w:w="9045" w:type="dxa"/>
        <w:tblInd w:w="108" w:type="dxa"/>
        <w:tblLook w:val="04A0"/>
      </w:tblPr>
      <w:tblGrid>
        <w:gridCol w:w="1265"/>
        <w:gridCol w:w="2714"/>
        <w:gridCol w:w="1176"/>
        <w:gridCol w:w="2714"/>
        <w:gridCol w:w="1176"/>
      </w:tblGrid>
      <w:tr w:rsidR="00BF10C3" w:rsidRPr="00D55988">
        <w:trPr>
          <w:divId w:val="1476140041"/>
        </w:trPr>
        <w:tc>
          <w:tcPr>
            <w:tcW w:w="70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关联方名称</w:t>
            </w:r>
          </w:p>
        </w:tc>
        <w:tc>
          <w:tcPr>
            <w:tcW w:w="2150" w:type="pct"/>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本期</w:t>
            </w:r>
            <w:r>
              <w:rPr>
                <w:rFonts w:hint="eastAsia"/>
              </w:rPr>
              <w:br/>
              <w:t>2019年01月01日至2019年06月30日</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上年度可比期间</w:t>
            </w:r>
            <w:r>
              <w:rPr>
                <w:rFonts w:hint="eastAsia"/>
              </w:rPr>
              <w:br/>
              <w:t>2018年01月01日至2018年06月30日</w:t>
            </w:r>
          </w:p>
        </w:tc>
      </w:tr>
      <w:tr w:rsidR="00BF10C3" w:rsidRPr="00D55988">
        <w:trPr>
          <w:divId w:val="14761400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1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成交金额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占当期股票成交总额的比例</w:t>
            </w:r>
          </w:p>
        </w:tc>
        <w:tc>
          <w:tcPr>
            <w:tcW w:w="1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成交金额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占当期股票成交总额的比例</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南京证券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10,258,261.53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0.52%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772,570,221.05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27.55%</w:t>
            </w:r>
          </w:p>
        </w:tc>
      </w:tr>
    </w:tbl>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.1.2 权证交易</w:t>
      </w:r>
    </w:p>
    <w:p w:rsidR="00BF10C3" w:rsidRDefault="00BF10C3">
      <w:pPr>
        <w:pStyle w:val="neirong"/>
        <w:divId w:val="1476140041"/>
        <w:rPr>
          <w:rFonts w:hint="eastAsia"/>
        </w:rPr>
      </w:pPr>
      <w:r>
        <w:rPr>
          <w:rFonts w:hint="eastAsia"/>
        </w:rPr>
        <w:t>本基金本报告期及上年度可比期间未通过关联方交易单元进行权证交易。</w:t>
      </w:r>
    </w:p>
    <w:p w:rsidR="00BF10C3" w:rsidRDefault="00BF10C3">
      <w:pPr>
        <w:widowControl/>
        <w:jc w:val="left"/>
        <w:divId w:val="658273083"/>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.1.3 债券交易</w:t>
      </w:r>
    </w:p>
    <w:p w:rsidR="00BF10C3" w:rsidRDefault="00BF10C3">
      <w:pPr>
        <w:pStyle w:val="neirong"/>
        <w:divId w:val="1476140041"/>
        <w:rPr>
          <w:rFonts w:hint="eastAsia"/>
        </w:rPr>
      </w:pPr>
      <w:r>
        <w:rPr>
          <w:rFonts w:hint="eastAsia"/>
        </w:rPr>
        <w:t>本基金本报告期及上年度可比期间未通过关联方交易单元进行债券交易。</w:t>
      </w:r>
    </w:p>
    <w:p w:rsidR="00BF10C3" w:rsidRDefault="00BF10C3">
      <w:pPr>
        <w:widowControl/>
        <w:jc w:val="left"/>
        <w:divId w:val="1268536960"/>
        <w:rPr>
          <w:rFonts w:ascii="宋体" w:hAnsi="宋体" w:cs="宋体" w:hint="eastAsia"/>
          <w:kern w:val="0"/>
          <w:sz w:val="24"/>
          <w:szCs w:val="24"/>
        </w:rPr>
      </w:pPr>
    </w:p>
    <w:p w:rsidR="00BF10C3" w:rsidRDefault="00BF10C3">
      <w:pPr>
        <w:pStyle w:val="zhangjiep2"/>
        <w:divId w:val="525562931"/>
        <w:rPr>
          <w:rFonts w:hint="eastAsia"/>
        </w:rPr>
      </w:pPr>
      <w:r>
        <w:rPr>
          <w:rFonts w:hint="eastAsia"/>
          <w:b/>
          <w:bCs/>
        </w:rPr>
        <w:t>6.4.</w:t>
      </w:r>
      <w:r w:rsidR="00E842B2">
        <w:rPr>
          <w:rFonts w:hint="eastAsia"/>
          <w:b/>
          <w:bCs/>
        </w:rPr>
        <w:t>8</w:t>
      </w:r>
      <w:r>
        <w:rPr>
          <w:rFonts w:hint="eastAsia"/>
          <w:b/>
          <w:bCs/>
        </w:rPr>
        <w:t>.1.4 债券回购交易</w:t>
      </w:r>
    </w:p>
    <w:p w:rsidR="00BF10C3" w:rsidRDefault="00BF10C3">
      <w:pPr>
        <w:pStyle w:val="neirong"/>
        <w:divId w:val="1476140041"/>
        <w:rPr>
          <w:rFonts w:hint="eastAsia"/>
        </w:rPr>
      </w:pPr>
      <w:r>
        <w:rPr>
          <w:rFonts w:hint="eastAsia"/>
        </w:rPr>
        <w:t>本基金本报告期及上年度可比期间未通过关联方交易单元进行债券回购交易。</w:t>
      </w:r>
    </w:p>
    <w:p w:rsidR="00BF10C3" w:rsidRDefault="00BF10C3">
      <w:pPr>
        <w:widowControl/>
        <w:jc w:val="left"/>
        <w:divId w:val="174838177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.1.5应支付关联方的佣金</w:t>
      </w:r>
    </w:p>
    <w:p w:rsidR="00BF10C3" w:rsidRDefault="00BF10C3">
      <w:pPr>
        <w:pStyle w:val="biaogeright"/>
        <w:divId w:val="920017784"/>
        <w:rPr>
          <w:rFonts w:hint="eastAsia"/>
        </w:rPr>
      </w:pPr>
      <w:r>
        <w:rPr>
          <w:rFonts w:hAnsi="Calibri" w:hint="eastAsia"/>
          <w:color w:val="000000"/>
        </w:rPr>
        <w:t>金额单位：人民币元</w:t>
      </w:r>
    </w:p>
    <w:tbl>
      <w:tblPr>
        <w:tblW w:w="9045" w:type="dxa"/>
        <w:tblInd w:w="108" w:type="dxa"/>
        <w:tblLook w:val="04A0"/>
      </w:tblPr>
      <w:tblGrid>
        <w:gridCol w:w="1266"/>
        <w:gridCol w:w="2714"/>
        <w:gridCol w:w="1105"/>
        <w:gridCol w:w="2714"/>
        <w:gridCol w:w="1246"/>
      </w:tblGrid>
      <w:tr w:rsidR="00BF10C3" w:rsidRPr="00D55988">
        <w:trPr>
          <w:divId w:val="1476140041"/>
        </w:trPr>
        <w:tc>
          <w:tcPr>
            <w:tcW w:w="70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关联方名称</w:t>
            </w:r>
          </w:p>
        </w:tc>
        <w:tc>
          <w:tcPr>
            <w:tcW w:w="2150" w:type="pct"/>
            <w:gridSpan w:val="4"/>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本期</w:t>
            </w:r>
            <w:r>
              <w:rPr>
                <w:rFonts w:hint="eastAsia"/>
              </w:rPr>
              <w:br/>
              <w:t>2019年01月01日至2019年06月30日</w:t>
            </w:r>
          </w:p>
        </w:tc>
      </w:tr>
      <w:tr w:rsidR="00BF10C3" w:rsidRPr="00D55988">
        <w:trPr>
          <w:divId w:val="14761400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1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当期佣金</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占当期佣金总量的比例</w:t>
            </w:r>
          </w:p>
        </w:tc>
        <w:tc>
          <w:tcPr>
            <w:tcW w:w="1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期末应付佣金余额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占期末应付佣金总额的比例</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南京证券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9,553.67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0.58%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r>
      <w:tr w:rsidR="00BF10C3" w:rsidRPr="00D55988">
        <w:trPr>
          <w:divId w:val="1476140041"/>
        </w:trPr>
        <w:tc>
          <w:tcPr>
            <w:tcW w:w="70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关联方名称</w:t>
            </w:r>
          </w:p>
        </w:tc>
        <w:tc>
          <w:tcPr>
            <w:tcW w:w="2150" w:type="pct"/>
            <w:gridSpan w:val="4"/>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上年度可比期间</w:t>
            </w:r>
            <w:r>
              <w:rPr>
                <w:rFonts w:hint="eastAsia"/>
              </w:rPr>
              <w:br/>
              <w:t>2018年01月01日至2018年06月30日</w:t>
            </w:r>
          </w:p>
        </w:tc>
      </w:tr>
      <w:tr w:rsidR="00BF10C3" w:rsidRPr="00D55988">
        <w:trPr>
          <w:divId w:val="14761400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1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当期佣金</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占当期佣金总量的比例</w:t>
            </w:r>
          </w:p>
        </w:tc>
        <w:tc>
          <w:tcPr>
            <w:tcW w:w="1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期末应付佣金余额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占期末应付佣金总额的比例</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南京证券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719,494.45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29.24%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r>
    </w:tbl>
    <w:p w:rsidR="00BF10C3" w:rsidRDefault="00BF10C3">
      <w:pPr>
        <w:pStyle w:val="neirong"/>
        <w:divId w:val="1476140041"/>
        <w:rPr>
          <w:rFonts w:hint="eastAsia"/>
        </w:rPr>
      </w:pPr>
      <w:r>
        <w:rPr>
          <w:rFonts w:hint="eastAsia"/>
        </w:rPr>
        <w:t>注：</w:t>
      </w:r>
      <w:r>
        <w:rPr>
          <w:rFonts w:hint="eastAsia"/>
        </w:rPr>
        <w:br/>
        <w:t>①上述佣金参考市场价格经本基金的基金管理人与对方协商确定，以扣除由中国证券登记结算有限责任公司收取的证管费和经手费的净额列示。</w:t>
      </w:r>
      <w:r>
        <w:rPr>
          <w:rFonts w:hint="eastAsia"/>
        </w:rPr>
        <w:br/>
        <w:t>②该类佣金协议的服务范围还包括佣金收取方为本基金提供的证券投资研究成果和市场信息服务等。</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.2 关联方报酬</w:t>
      </w: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.2.1 基金管理费</w:t>
      </w:r>
    </w:p>
    <w:p w:rsidR="00BF10C3" w:rsidRDefault="00BF10C3">
      <w:pPr>
        <w:pStyle w:val="biaogeright"/>
        <w:divId w:val="751632415"/>
        <w:rPr>
          <w:rFonts w:hint="eastAsia"/>
        </w:rPr>
      </w:pPr>
      <w:r>
        <w:rPr>
          <w:rFonts w:hAnsi="Calibri" w:hint="eastAsia"/>
          <w:color w:val="000000"/>
        </w:rPr>
        <w:t>单位：人民币元</w:t>
      </w:r>
    </w:p>
    <w:tbl>
      <w:tblPr>
        <w:tblW w:w="9045" w:type="dxa"/>
        <w:tblInd w:w="108" w:type="dxa"/>
        <w:tblLook w:val="04A0"/>
      </w:tblPr>
      <w:tblGrid>
        <w:gridCol w:w="3831"/>
        <w:gridCol w:w="2607"/>
        <w:gridCol w:w="2607"/>
      </w:tblGrid>
      <w:tr w:rsidR="00BF10C3" w:rsidRPr="00D55988">
        <w:trPr>
          <w:divId w:val="751632415"/>
        </w:trPr>
        <w:tc>
          <w:tcPr>
            <w:tcW w:w="3255"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项目</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本期</w:t>
            </w:r>
          </w:p>
          <w:p w:rsidR="00BF10C3" w:rsidRDefault="00BF10C3">
            <w:pPr>
              <w:pStyle w:val="biaogecenter"/>
              <w:wordWrap w:val="0"/>
            </w:pPr>
            <w:r>
              <w:rPr>
                <w:rFonts w:hint="eastAsia"/>
              </w:rPr>
              <w:t>2019年01月01日至2019年06月30日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上年度可比期间</w:t>
            </w:r>
          </w:p>
          <w:p w:rsidR="00BF10C3" w:rsidRDefault="00BF10C3">
            <w:pPr>
              <w:pStyle w:val="biaogecenter"/>
              <w:wordWrap w:val="0"/>
            </w:pPr>
            <w:r>
              <w:rPr>
                <w:rFonts w:hint="eastAsia"/>
              </w:rPr>
              <w:t>2018年01月01日至2018年06月30日</w:t>
            </w:r>
          </w:p>
        </w:tc>
      </w:tr>
      <w:tr w:rsidR="00BF10C3" w:rsidRPr="00D55988">
        <w:trPr>
          <w:divId w:val="751632415"/>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当期发生的基金应支付的管理费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1,251,160.47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1,278,184.05</w:t>
            </w:r>
          </w:p>
        </w:tc>
      </w:tr>
      <w:tr w:rsidR="00BF10C3" w:rsidRPr="00D55988">
        <w:trPr>
          <w:divId w:val="751632415"/>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其中：支付销售机构的客户维护费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548,876.95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570,110.60</w:t>
            </w:r>
          </w:p>
        </w:tc>
      </w:tr>
    </w:tbl>
    <w:p w:rsidR="00BF10C3" w:rsidRDefault="00BF10C3">
      <w:pPr>
        <w:pStyle w:val="neirong"/>
        <w:divId w:val="1476140041"/>
        <w:rPr>
          <w:rFonts w:hint="eastAsia"/>
        </w:rPr>
      </w:pPr>
      <w:r>
        <w:rPr>
          <w:rFonts w:hint="eastAsia"/>
        </w:rPr>
        <w:t>注：</w:t>
      </w:r>
      <w:r>
        <w:rPr>
          <w:rFonts w:hint="eastAsia"/>
        </w:rPr>
        <w:br/>
        <w:t>①支付基金管理人的基金管理人报酬按前一日基金资产净值1.5%的年费率计提，逐日累计至每月月底，按月支付。其计算公式为：</w:t>
      </w:r>
      <w:r>
        <w:rPr>
          <w:rFonts w:hint="eastAsia"/>
        </w:rPr>
        <w:br/>
        <w:t>日基金管理人报酬＝前一日基金资产净值×1.5%/当年天数。</w:t>
      </w:r>
      <w:r>
        <w:rPr>
          <w:rFonts w:hint="eastAsia"/>
        </w:rPr>
        <w:br/>
        <w:t>②客户维护费是指基金管理人与基金销售机构约定的用以向基金销售机构支付客户服务及销售活动中产生的相关费用，该费用从基金管理人收取的基金管理费中列支，不属于从基金资产中列支的费用项目。</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.2.2 基金托管费</w:t>
      </w:r>
    </w:p>
    <w:p w:rsidR="00BF10C3" w:rsidRDefault="00BF10C3">
      <w:pPr>
        <w:pStyle w:val="biaogeright"/>
        <w:divId w:val="614365507"/>
        <w:rPr>
          <w:rFonts w:hint="eastAsia"/>
        </w:rPr>
      </w:pPr>
      <w:r>
        <w:rPr>
          <w:rFonts w:hAnsi="Calibri" w:hint="eastAsia"/>
          <w:color w:val="000000"/>
        </w:rPr>
        <w:t>单位：人民币元</w:t>
      </w:r>
    </w:p>
    <w:tbl>
      <w:tblPr>
        <w:tblW w:w="9045" w:type="dxa"/>
        <w:tblInd w:w="108" w:type="dxa"/>
        <w:tblLook w:val="04A0"/>
      </w:tblPr>
      <w:tblGrid>
        <w:gridCol w:w="3591"/>
        <w:gridCol w:w="2727"/>
        <w:gridCol w:w="2727"/>
      </w:tblGrid>
      <w:tr w:rsidR="00BF10C3" w:rsidRPr="00D55988">
        <w:trPr>
          <w:divId w:val="614365507"/>
        </w:trPr>
        <w:tc>
          <w:tcPr>
            <w:tcW w:w="3255"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项目</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本期</w:t>
            </w:r>
          </w:p>
          <w:p w:rsidR="00BF10C3" w:rsidRDefault="00BF10C3">
            <w:pPr>
              <w:pStyle w:val="biaogecenter"/>
              <w:wordWrap w:val="0"/>
            </w:pPr>
            <w:r>
              <w:rPr>
                <w:rFonts w:hint="eastAsia"/>
              </w:rPr>
              <w:t>2019年01月01日至2019年06月30日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上年度可比期间</w:t>
            </w:r>
          </w:p>
          <w:p w:rsidR="00BF10C3" w:rsidRDefault="00BF10C3">
            <w:pPr>
              <w:pStyle w:val="biaogecenter"/>
              <w:wordWrap w:val="0"/>
            </w:pPr>
            <w:r>
              <w:rPr>
                <w:rFonts w:hint="eastAsia"/>
              </w:rPr>
              <w:t>2018年01月01日至2018年06月30日</w:t>
            </w:r>
          </w:p>
        </w:tc>
      </w:tr>
      <w:tr w:rsidR="00BF10C3" w:rsidRPr="00D55988">
        <w:trPr>
          <w:divId w:val="614365507"/>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当期发生的基金应支付的托管费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208,526.72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213,030.72</w:t>
            </w:r>
          </w:p>
        </w:tc>
      </w:tr>
    </w:tbl>
    <w:p w:rsidR="00BF10C3" w:rsidRDefault="00BF10C3">
      <w:pPr>
        <w:pStyle w:val="neirong"/>
        <w:divId w:val="1476140041"/>
        <w:rPr>
          <w:rFonts w:hint="eastAsia"/>
        </w:rPr>
      </w:pPr>
      <w:r>
        <w:rPr>
          <w:rFonts w:hint="eastAsia"/>
        </w:rPr>
        <w:t>注：支付基金托管人的基金托管费按前一日基金资产净值0.25%的年费率计提，逐日累计至每月月底，按月支付。其计算公式为：</w:t>
      </w:r>
      <w:r>
        <w:rPr>
          <w:rFonts w:hint="eastAsia"/>
        </w:rPr>
        <w:br/>
        <w:t> 日基金托管费＝前一日基金资产净值×0.25%/当年天数。</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.3 与关联方进行银行间同业市场的债券(含回购)交易</w:t>
      </w:r>
    </w:p>
    <w:p w:rsidR="00BF10C3" w:rsidRDefault="00BF10C3">
      <w:pPr>
        <w:pStyle w:val="neirong"/>
        <w:divId w:val="1476140041"/>
        <w:rPr>
          <w:rFonts w:hint="eastAsia"/>
        </w:rPr>
      </w:pPr>
      <w:r>
        <w:rPr>
          <w:rFonts w:hint="eastAsia"/>
        </w:rPr>
        <w:t>本基金本报告内及上年度可比期间未与关联方进行银行间同业市场的债券（回购）交易。</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.4 各关联方投资本基金的情况</w:t>
      </w: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.4.1 报告期内基金管理人运用固有资金投资本基金的情况</w:t>
      </w:r>
    </w:p>
    <w:p w:rsidR="00BF10C3" w:rsidRDefault="00BF10C3">
      <w:pPr>
        <w:pStyle w:val="neirong"/>
        <w:divId w:val="1476140041"/>
        <w:rPr>
          <w:rFonts w:hint="eastAsia"/>
        </w:rPr>
      </w:pPr>
      <w:r>
        <w:rPr>
          <w:rFonts w:hint="eastAsia"/>
        </w:rPr>
        <w:t>本基金本报告期内及上年度可比期间基金管理人未运用固有资金投资本基金。</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.4.2 报告期末除基金管理人之外的其他关联方投资本基金的情况</w:t>
      </w:r>
    </w:p>
    <w:p w:rsidR="00BF10C3" w:rsidRDefault="00BF10C3">
      <w:pPr>
        <w:pStyle w:val="biaogeright"/>
        <w:divId w:val="1476140041"/>
        <w:rPr>
          <w:rFonts w:hint="eastAsia"/>
        </w:rPr>
      </w:pPr>
      <w:r>
        <w:rPr>
          <w:rFonts w:hAnsi="Calibri" w:hint="eastAsia"/>
          <w:color w:val="000000"/>
        </w:rPr>
        <w:t>份额单位：份</w:t>
      </w:r>
    </w:p>
    <w:tbl>
      <w:tblPr>
        <w:tblW w:w="9045" w:type="dxa"/>
        <w:tblInd w:w="108" w:type="dxa"/>
        <w:tblLook w:val="04A0"/>
      </w:tblPr>
      <w:tblGrid>
        <w:gridCol w:w="1267"/>
        <w:gridCol w:w="1313"/>
        <w:gridCol w:w="2576"/>
        <w:gridCol w:w="1313"/>
        <w:gridCol w:w="2576"/>
      </w:tblGrid>
      <w:tr w:rsidR="00BF10C3" w:rsidRPr="00D55988">
        <w:trPr>
          <w:divId w:val="602540878"/>
        </w:trPr>
        <w:tc>
          <w:tcPr>
            <w:tcW w:w="70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关联方名称</w:t>
            </w:r>
          </w:p>
        </w:tc>
        <w:tc>
          <w:tcPr>
            <w:tcW w:w="3612" w:type="dxa"/>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本期末</w:t>
            </w:r>
          </w:p>
          <w:p w:rsidR="00BF10C3" w:rsidRDefault="00BF10C3">
            <w:pPr>
              <w:pStyle w:val="biaogecenter"/>
              <w:wordWrap w:val="0"/>
            </w:pPr>
            <w:r>
              <w:rPr>
                <w:rFonts w:hint="eastAsia"/>
              </w:rPr>
              <w:t>2019年06月30日</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上年度末</w:t>
            </w:r>
          </w:p>
          <w:p w:rsidR="00BF10C3" w:rsidRDefault="00BF10C3">
            <w:pPr>
              <w:pStyle w:val="biaogecenter"/>
              <w:wordWrap w:val="0"/>
            </w:pPr>
            <w:r>
              <w:rPr>
                <w:rFonts w:hint="eastAsia"/>
              </w:rPr>
              <w:t>2018年12月31日</w:t>
            </w:r>
          </w:p>
        </w:tc>
      </w:tr>
      <w:tr w:rsidR="00BF10C3" w:rsidRPr="00D55988">
        <w:trPr>
          <w:divId w:val="6025408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持有的基金份额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持有的基金份额占基金总份额的比例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持有的基金份额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持有的基金份额占基金总份额的比例</w:t>
            </w:r>
          </w:p>
        </w:tc>
      </w:tr>
      <w:tr w:rsidR="00BF10C3" w:rsidRPr="00D55988">
        <w:trPr>
          <w:divId w:val="602540878"/>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富安达资管</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7,738,565.13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3.99%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7,738,565.13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5.31%</w:t>
            </w:r>
          </w:p>
        </w:tc>
      </w:tr>
    </w:tbl>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.5 由关联方保管的银行存款余额及当期产生的利息收入</w:t>
      </w:r>
    </w:p>
    <w:p w:rsidR="00BF10C3" w:rsidRDefault="00BF10C3">
      <w:pPr>
        <w:pStyle w:val="biaogeright"/>
        <w:divId w:val="733546712"/>
        <w:rPr>
          <w:rFonts w:hint="eastAsia"/>
        </w:rPr>
      </w:pPr>
      <w:r>
        <w:rPr>
          <w:rFonts w:hAnsi="Calibri" w:hint="eastAsia"/>
          <w:color w:val="000000"/>
        </w:rPr>
        <w:t>单位：人民币元</w:t>
      </w:r>
    </w:p>
    <w:tbl>
      <w:tblPr>
        <w:tblW w:w="9045" w:type="dxa"/>
        <w:tblInd w:w="108" w:type="dxa"/>
        <w:tblLook w:val="04A0"/>
      </w:tblPr>
      <w:tblGrid>
        <w:gridCol w:w="1357"/>
        <w:gridCol w:w="1926"/>
        <w:gridCol w:w="1798"/>
        <w:gridCol w:w="2051"/>
        <w:gridCol w:w="1913"/>
      </w:tblGrid>
      <w:tr w:rsidR="00BF10C3" w:rsidRPr="00D55988">
        <w:trPr>
          <w:divId w:val="733546712"/>
        </w:trPr>
        <w:tc>
          <w:tcPr>
            <w:tcW w:w="75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关联方名称</w:t>
            </w:r>
          </w:p>
        </w:tc>
        <w:tc>
          <w:tcPr>
            <w:tcW w:w="3600" w:type="dxa"/>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本期</w:t>
            </w:r>
          </w:p>
          <w:p w:rsidR="00BF10C3" w:rsidRDefault="00BF10C3">
            <w:pPr>
              <w:pStyle w:val="biaogecenter"/>
              <w:wordWrap w:val="0"/>
            </w:pPr>
            <w:r>
              <w:rPr>
                <w:rFonts w:hint="eastAsia"/>
              </w:rPr>
              <w:t>2019年01月01日至2019年06月30日</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上年度可比期间</w:t>
            </w:r>
          </w:p>
          <w:p w:rsidR="00BF10C3" w:rsidRDefault="00BF10C3">
            <w:pPr>
              <w:pStyle w:val="biaogecenter"/>
              <w:wordWrap w:val="0"/>
            </w:pPr>
            <w:r>
              <w:rPr>
                <w:rFonts w:hint="eastAsia"/>
              </w:rPr>
              <w:t>2018年01月01日至2018年06月30日</w:t>
            </w:r>
          </w:p>
        </w:tc>
      </w:tr>
      <w:tr w:rsidR="00BF10C3" w:rsidRPr="00D55988">
        <w:trPr>
          <w:divId w:val="7335467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期末余额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当期利息收入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期末余额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当期利息收入</w:t>
            </w:r>
          </w:p>
        </w:tc>
      </w:tr>
      <w:tr w:rsidR="00BF10C3" w:rsidRPr="00D55988">
        <w:trPr>
          <w:divId w:val="733546712"/>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交通银行股份有限公司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21,680,374.24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109,962.14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30,884,987.90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61,490.42</w:t>
            </w:r>
          </w:p>
        </w:tc>
      </w:tr>
    </w:tbl>
    <w:p w:rsidR="00BF10C3" w:rsidRDefault="00BF10C3">
      <w:pPr>
        <w:pStyle w:val="neirong"/>
        <w:divId w:val="1476140041"/>
        <w:rPr>
          <w:rFonts w:hint="eastAsia"/>
        </w:rPr>
      </w:pPr>
      <w:r>
        <w:rPr>
          <w:rFonts w:hint="eastAsia"/>
        </w:rPr>
        <w:t>注：本基金的银行存款由基金托管人交通银行保管，活期存款按银行同业利率计息。</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.6 本基金在承销期内参与关联方承销证券的情况</w:t>
      </w:r>
    </w:p>
    <w:p w:rsidR="00BF10C3" w:rsidRDefault="00BF10C3">
      <w:pPr>
        <w:pStyle w:val="neirong"/>
        <w:divId w:val="1476140041"/>
        <w:rPr>
          <w:rFonts w:hint="eastAsia"/>
        </w:rPr>
      </w:pPr>
      <w:r>
        <w:rPr>
          <w:rFonts w:hint="eastAsia"/>
        </w:rPr>
        <w:t>本基金本报告期内及上年度可比期间未在承销期内参与关联方承销的证券。</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8</w:t>
      </w:r>
      <w:r>
        <w:rPr>
          <w:rFonts w:hint="eastAsia"/>
          <w:b/>
          <w:bCs/>
        </w:rPr>
        <w:t>.7 其他关联交易事项的说明</w:t>
      </w:r>
    </w:p>
    <w:p w:rsidR="00BF10C3" w:rsidRDefault="00BF10C3">
      <w:pPr>
        <w:pStyle w:val="neirong"/>
        <w:spacing w:before="0"/>
        <w:ind w:left="0" w:firstLine="480"/>
        <w:divId w:val="1476140041"/>
        <w:rPr>
          <w:rFonts w:hint="eastAsia"/>
        </w:rPr>
      </w:pPr>
      <w:r>
        <w:rPr>
          <w:rFonts w:hint="eastAsia"/>
        </w:rPr>
        <w:t>本基金本报告期内及上年度可比期间均无须作说明的其他关联交易事项。</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 xml:space="preserve">9 </w:t>
      </w:r>
      <w:r>
        <w:rPr>
          <w:rFonts w:hint="eastAsia"/>
          <w:b/>
          <w:bCs/>
        </w:rPr>
        <w:t>期末（2019年06月30日）本基金持有的流通受限证券</w:t>
      </w:r>
    </w:p>
    <w:p w:rsidR="00BF10C3" w:rsidRDefault="00BF10C3">
      <w:pPr>
        <w:pStyle w:val="zhangjiep2"/>
        <w:divId w:val="1476140041"/>
        <w:rPr>
          <w:rFonts w:hint="eastAsia"/>
        </w:rPr>
      </w:pPr>
      <w:r>
        <w:rPr>
          <w:rFonts w:hint="eastAsia"/>
          <w:b/>
          <w:bCs/>
        </w:rPr>
        <w:t>6.4.</w:t>
      </w:r>
      <w:r w:rsidR="00E842B2">
        <w:rPr>
          <w:rFonts w:hint="eastAsia"/>
          <w:b/>
          <w:bCs/>
        </w:rPr>
        <w:t>9</w:t>
      </w:r>
      <w:r>
        <w:rPr>
          <w:rFonts w:hint="eastAsia"/>
          <w:b/>
          <w:bCs/>
        </w:rPr>
        <w:t>.1 因认购新发/增发证券而于期末持有的流通受限证券</w:t>
      </w:r>
    </w:p>
    <w:p w:rsidR="00BF10C3" w:rsidRDefault="00BF10C3">
      <w:pPr>
        <w:pStyle w:val="neirong"/>
        <w:divId w:val="1476140041"/>
        <w:rPr>
          <w:rFonts w:hint="eastAsia"/>
        </w:rPr>
      </w:pPr>
      <w:r>
        <w:rPr>
          <w:rFonts w:hint="eastAsia"/>
        </w:rPr>
        <w:t>本基金本期末未因认购新股/新债而持有流通受限证券。</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9</w:t>
      </w:r>
      <w:r>
        <w:rPr>
          <w:rFonts w:hint="eastAsia"/>
          <w:b/>
          <w:bCs/>
        </w:rPr>
        <w:t>.2 期末持有的暂时停牌等流通受限股票</w:t>
      </w:r>
    </w:p>
    <w:p w:rsidR="00BF10C3" w:rsidRDefault="00BF10C3">
      <w:pPr>
        <w:pStyle w:val="neirong"/>
        <w:divId w:val="1476140041"/>
        <w:rPr>
          <w:rFonts w:hint="eastAsia"/>
        </w:rPr>
      </w:pPr>
      <w:r>
        <w:rPr>
          <w:rFonts w:hint="eastAsia"/>
        </w:rPr>
        <w:t>本基金本期末未持有暂时停牌等流通受限股票。</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9</w:t>
      </w:r>
      <w:r>
        <w:rPr>
          <w:rFonts w:hint="eastAsia"/>
          <w:b/>
          <w:bCs/>
        </w:rPr>
        <w:t>.3 期末债券正回购交易中作为抵押的债券</w:t>
      </w:r>
    </w:p>
    <w:p w:rsidR="00BF10C3" w:rsidRDefault="00BF10C3">
      <w:pPr>
        <w:pStyle w:val="zhangjiep2"/>
        <w:divId w:val="1476140041"/>
        <w:rPr>
          <w:rFonts w:hint="eastAsia"/>
        </w:rPr>
      </w:pPr>
      <w:r>
        <w:rPr>
          <w:rFonts w:hint="eastAsia"/>
          <w:b/>
          <w:bCs/>
        </w:rPr>
        <w:t>6.4.</w:t>
      </w:r>
      <w:r w:rsidR="00E842B2">
        <w:rPr>
          <w:rFonts w:hint="eastAsia"/>
          <w:b/>
          <w:bCs/>
        </w:rPr>
        <w:t>9</w:t>
      </w:r>
      <w:r>
        <w:rPr>
          <w:rFonts w:hint="eastAsia"/>
          <w:b/>
          <w:bCs/>
        </w:rPr>
        <w:t>.3.1 银行间市场债券正回购</w:t>
      </w:r>
    </w:p>
    <w:tbl>
      <w:tblPr>
        <w:tblW w:w="0" w:type="auto"/>
        <w:tblInd w:w="108" w:type="dxa"/>
        <w:tblLook w:val="04A0"/>
      </w:tblPr>
      <w:tblGrid>
        <w:gridCol w:w="222"/>
      </w:tblGrid>
      <w:tr w:rsidR="00BF10C3" w:rsidRPr="00D55988">
        <w:trPr>
          <w:divId w:val="1476140041"/>
        </w:trPr>
        <w:tc>
          <w:tcPr>
            <w:tcW w:w="0" w:type="auto"/>
            <w:vAlign w:val="center"/>
            <w:hideMark/>
          </w:tcPr>
          <w:p w:rsidR="00BF10C3" w:rsidRDefault="00BF10C3">
            <w:pPr>
              <w:widowControl/>
              <w:jc w:val="left"/>
              <w:rPr>
                <w:rFonts w:ascii="宋体" w:hAnsi="宋体" w:cs="宋体"/>
                <w:kern w:val="0"/>
                <w:sz w:val="24"/>
                <w:szCs w:val="24"/>
              </w:rPr>
            </w:pPr>
          </w:p>
        </w:tc>
      </w:tr>
    </w:tbl>
    <w:p w:rsidR="00BF10C3" w:rsidRDefault="00BF10C3">
      <w:pPr>
        <w:pStyle w:val="neirong"/>
        <w:divId w:val="1476140041"/>
        <w:rPr>
          <w:rFonts w:hint="eastAsia"/>
        </w:rPr>
      </w:pPr>
      <w:r>
        <w:rPr>
          <w:rFonts w:hint="eastAsia"/>
        </w:rPr>
        <w:t>本基金本报告期末未持有银行间市场债券正回购交易中作为抵押的债券。</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9</w:t>
      </w:r>
      <w:r>
        <w:rPr>
          <w:rFonts w:hint="eastAsia"/>
          <w:b/>
          <w:bCs/>
        </w:rPr>
        <w:t>.3.2 交易所市场债券正回购</w:t>
      </w:r>
    </w:p>
    <w:p w:rsidR="00BF10C3" w:rsidRDefault="00BF10C3">
      <w:pPr>
        <w:pStyle w:val="neirong"/>
        <w:spacing w:before="0"/>
        <w:ind w:left="0" w:firstLine="480"/>
        <w:divId w:val="1476140041"/>
        <w:rPr>
          <w:rFonts w:hint="eastAsia"/>
        </w:rPr>
      </w:pPr>
      <w:r>
        <w:rPr>
          <w:rFonts w:hint="eastAsia"/>
        </w:rPr>
        <w:t>本基金本报告期末未持有交易所市场债券正回购交易中作为抵押的债券。</w:t>
      </w:r>
    </w:p>
    <w:p w:rsidR="00BF10C3" w:rsidRDefault="00BF10C3">
      <w:pPr>
        <w:widowControl/>
        <w:jc w:val="left"/>
        <w:divId w:val="1476140041"/>
        <w:rPr>
          <w:rFonts w:ascii="宋体" w:hAnsi="宋体" w:cs="宋体" w:hint="eastAsia"/>
          <w:kern w:val="0"/>
          <w:sz w:val="24"/>
          <w:szCs w:val="24"/>
        </w:rPr>
      </w:pPr>
    </w:p>
    <w:p w:rsidR="00BF10C3" w:rsidRDefault="00BF10C3">
      <w:pPr>
        <w:widowControl/>
        <w:jc w:val="left"/>
        <w:divId w:val="1693993428"/>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6.4.</w:t>
      </w:r>
      <w:r w:rsidR="00E842B2">
        <w:rPr>
          <w:rFonts w:hint="eastAsia"/>
          <w:b/>
          <w:bCs/>
        </w:rPr>
        <w:t xml:space="preserve">10 </w:t>
      </w:r>
      <w:r>
        <w:rPr>
          <w:rFonts w:hint="eastAsia"/>
          <w:b/>
          <w:bCs/>
        </w:rPr>
        <w:t>有助于理解和分析会计报表需要说明的其他事项</w:t>
      </w:r>
    </w:p>
    <w:p w:rsidR="00BF10C3" w:rsidRDefault="00BF10C3">
      <w:pPr>
        <w:pStyle w:val="neirong"/>
        <w:spacing w:before="0"/>
        <w:ind w:left="0" w:firstLine="480"/>
        <w:divId w:val="1476140041"/>
        <w:rPr>
          <w:rFonts w:hint="eastAsia"/>
        </w:rPr>
      </w:pPr>
      <w:r>
        <w:rPr>
          <w:rFonts w:hint="eastAsia"/>
        </w:rPr>
        <w:t>(1)公允价值</w:t>
      </w:r>
    </w:p>
    <w:p w:rsidR="00BF10C3" w:rsidRDefault="00BF10C3">
      <w:pPr>
        <w:pStyle w:val="neirong"/>
        <w:spacing w:before="0"/>
        <w:ind w:left="0" w:firstLine="480"/>
        <w:divId w:val="1476140041"/>
        <w:rPr>
          <w:rFonts w:hint="eastAsia"/>
        </w:rPr>
      </w:pPr>
      <w:r>
        <w:rPr>
          <w:rFonts w:hint="eastAsia"/>
        </w:rPr>
        <w:t>(a) 金融工具公允价值计量的方法</w:t>
      </w:r>
    </w:p>
    <w:p w:rsidR="00BF10C3" w:rsidRDefault="00BF10C3">
      <w:pPr>
        <w:pStyle w:val="neirong"/>
        <w:spacing w:before="0"/>
        <w:ind w:left="0" w:firstLine="480"/>
        <w:divId w:val="1476140041"/>
        <w:rPr>
          <w:rFonts w:hint="eastAsia"/>
        </w:rPr>
      </w:pPr>
      <w:r>
        <w:rPr>
          <w:rFonts w:hint="eastAsia"/>
        </w:rPr>
        <w:t>公允价值计量结果所属的层次，由对公允价值计量整体而言具有重要意义的输入值所属的最低层次决定：</w:t>
      </w:r>
    </w:p>
    <w:p w:rsidR="00BF10C3" w:rsidRDefault="00BF10C3">
      <w:pPr>
        <w:pStyle w:val="neirong"/>
        <w:spacing w:before="0"/>
        <w:ind w:left="0" w:firstLine="480"/>
        <w:divId w:val="1476140041"/>
        <w:rPr>
          <w:rFonts w:hint="eastAsia"/>
        </w:rPr>
      </w:pPr>
      <w:r>
        <w:rPr>
          <w:rFonts w:hint="eastAsia"/>
        </w:rPr>
        <w:t>第一层次：相同资产或负债在活跃市场上未经调整的报价。</w:t>
      </w:r>
    </w:p>
    <w:p w:rsidR="00BF10C3" w:rsidRDefault="00BF10C3">
      <w:pPr>
        <w:pStyle w:val="neirong"/>
        <w:spacing w:before="0"/>
        <w:ind w:left="0" w:firstLine="480"/>
        <w:divId w:val="1476140041"/>
        <w:rPr>
          <w:rFonts w:hint="eastAsia"/>
        </w:rPr>
      </w:pPr>
      <w:r>
        <w:rPr>
          <w:rFonts w:hint="eastAsia"/>
        </w:rPr>
        <w:t>第二层次：除第一层次输入值外相关资产或负债直接或间接可观察的输入值。</w:t>
      </w:r>
    </w:p>
    <w:p w:rsidR="00BF10C3" w:rsidRDefault="00BF10C3">
      <w:pPr>
        <w:pStyle w:val="neirong"/>
        <w:spacing w:before="0"/>
        <w:ind w:left="0" w:firstLine="480"/>
        <w:divId w:val="1476140041"/>
        <w:rPr>
          <w:rFonts w:hint="eastAsia"/>
        </w:rPr>
      </w:pPr>
      <w:r>
        <w:rPr>
          <w:rFonts w:hint="eastAsia"/>
        </w:rPr>
        <w:t>第三层次：相关资产或负债的不可观察输入值。</w:t>
      </w:r>
    </w:p>
    <w:p w:rsidR="00BF10C3" w:rsidRDefault="00BF10C3">
      <w:pPr>
        <w:pStyle w:val="neirong"/>
        <w:spacing w:before="0"/>
        <w:ind w:left="0" w:firstLine="480"/>
        <w:divId w:val="1476140041"/>
        <w:rPr>
          <w:rFonts w:hint="eastAsia"/>
        </w:rPr>
      </w:pPr>
      <w:r>
        <w:rPr>
          <w:rFonts w:hint="eastAsia"/>
        </w:rPr>
        <w:t>(b) 持续的以公允价值计量的金融工具</w:t>
      </w:r>
    </w:p>
    <w:p w:rsidR="00BF10C3" w:rsidRDefault="00BF10C3">
      <w:pPr>
        <w:pStyle w:val="neirong"/>
        <w:spacing w:before="0"/>
        <w:ind w:left="0" w:firstLine="480"/>
        <w:divId w:val="1476140041"/>
        <w:rPr>
          <w:rFonts w:hint="eastAsia"/>
        </w:rPr>
      </w:pPr>
      <w:r>
        <w:rPr>
          <w:rFonts w:hint="eastAsia"/>
        </w:rPr>
        <w:t>(i) 各层次金融工具公允价值</w:t>
      </w:r>
    </w:p>
    <w:p w:rsidR="00BF10C3" w:rsidRDefault="00BF10C3">
      <w:pPr>
        <w:pStyle w:val="neirong"/>
        <w:spacing w:before="0"/>
        <w:ind w:left="0" w:firstLine="480"/>
        <w:divId w:val="1476140041"/>
        <w:rPr>
          <w:rFonts w:hint="eastAsia"/>
        </w:rPr>
      </w:pPr>
      <w:r>
        <w:rPr>
          <w:rFonts w:hint="eastAsia"/>
        </w:rPr>
        <w:t>于2019年06月30日，本基金持有的以公允价值计量且其变动计入当期损益的金融资产中属于第一层次的余额为174,,998,489.34元，无属于第二层次及第三层次的余额(2018年12月31日：第一层次57,948,343.66元，无属于第二层次及第三层次)。</w:t>
      </w:r>
    </w:p>
    <w:p w:rsidR="00BF10C3" w:rsidRDefault="00BF10C3">
      <w:pPr>
        <w:pStyle w:val="neirong"/>
        <w:spacing w:before="0"/>
        <w:ind w:left="0" w:firstLine="480"/>
        <w:divId w:val="1476140041"/>
        <w:rPr>
          <w:rFonts w:hint="eastAsia"/>
        </w:rPr>
      </w:pPr>
      <w:r>
        <w:rPr>
          <w:rFonts w:hint="eastAsia"/>
        </w:rPr>
        <w:t>(ii) 公允价值所属层次间的重大变动</w:t>
      </w:r>
    </w:p>
    <w:p w:rsidR="00BF10C3" w:rsidRDefault="00BF10C3">
      <w:pPr>
        <w:pStyle w:val="neirong"/>
        <w:spacing w:before="0"/>
        <w:ind w:left="0" w:firstLine="480"/>
        <w:divId w:val="1476140041"/>
        <w:rPr>
          <w:rFonts w:hint="eastAsia"/>
        </w:rPr>
      </w:pPr>
      <w:r>
        <w:rPr>
          <w:rFonts w:hint="eastAsia"/>
        </w:rPr>
        <w:t>本基金以导致各层次之间转换的事项发生日为确认各层次之间转换的时点。</w:t>
      </w:r>
    </w:p>
    <w:p w:rsidR="00BF10C3" w:rsidRDefault="00BF10C3">
      <w:pPr>
        <w:pStyle w:val="neirong"/>
        <w:spacing w:before="0"/>
        <w:ind w:left="0" w:firstLine="480"/>
        <w:divId w:val="1476140041"/>
        <w:rPr>
          <w:rFonts w:hint="eastAsia"/>
        </w:rPr>
      </w:pPr>
      <w:r>
        <w:rPr>
          <w:rFonts w:hint="eastAsia"/>
        </w:rPr>
        <w:t>对于证券交易所上市的股票和债券，若出现重大事项停牌、交易不活跃(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BF10C3" w:rsidRDefault="00BF10C3">
      <w:pPr>
        <w:pStyle w:val="neirong"/>
        <w:spacing w:before="0"/>
        <w:ind w:left="0" w:firstLine="480"/>
        <w:divId w:val="1476140041"/>
        <w:rPr>
          <w:rFonts w:hint="eastAsia"/>
        </w:rPr>
      </w:pPr>
      <w:r>
        <w:rPr>
          <w:rFonts w:hint="eastAsia"/>
        </w:rPr>
        <w:t>(iii) 第三层次公允价值余额和本期变动金额</w:t>
      </w:r>
    </w:p>
    <w:p w:rsidR="00BF10C3" w:rsidRDefault="00BF10C3">
      <w:pPr>
        <w:pStyle w:val="neirong"/>
        <w:spacing w:before="0"/>
        <w:ind w:left="0" w:firstLine="480"/>
        <w:divId w:val="1476140041"/>
        <w:rPr>
          <w:rFonts w:hint="eastAsia"/>
        </w:rPr>
      </w:pPr>
      <w:r>
        <w:rPr>
          <w:rFonts w:hint="eastAsia"/>
        </w:rPr>
        <w:t>无。</w:t>
      </w:r>
    </w:p>
    <w:p w:rsidR="00BF10C3" w:rsidRDefault="00BF10C3">
      <w:pPr>
        <w:pStyle w:val="neirong"/>
        <w:spacing w:before="0"/>
        <w:ind w:left="0" w:firstLine="480"/>
        <w:divId w:val="1476140041"/>
        <w:rPr>
          <w:rFonts w:hint="eastAsia"/>
        </w:rPr>
      </w:pPr>
      <w:r>
        <w:rPr>
          <w:rFonts w:hint="eastAsia"/>
        </w:rPr>
        <w:t>(c) 非持续的以公允价值计量的金融工具</w:t>
      </w:r>
    </w:p>
    <w:p w:rsidR="00BF10C3" w:rsidRDefault="00BF10C3">
      <w:pPr>
        <w:pStyle w:val="neirong"/>
        <w:spacing w:before="0"/>
        <w:ind w:left="0" w:firstLine="480"/>
        <w:divId w:val="1476140041"/>
        <w:rPr>
          <w:rFonts w:hint="eastAsia"/>
        </w:rPr>
      </w:pPr>
      <w:r>
        <w:rPr>
          <w:rFonts w:hint="eastAsia"/>
        </w:rPr>
        <w:t>于2019年06月30日，本基金未持有非持续的以公允价值计量的金融资产(2018年12月31日：同)。</w:t>
      </w:r>
    </w:p>
    <w:p w:rsidR="00BF10C3" w:rsidRDefault="00BF10C3">
      <w:pPr>
        <w:pStyle w:val="neirong"/>
        <w:spacing w:before="0"/>
        <w:ind w:left="0" w:firstLine="480"/>
        <w:divId w:val="1476140041"/>
        <w:rPr>
          <w:rFonts w:hint="eastAsia"/>
        </w:rPr>
      </w:pPr>
      <w:r>
        <w:rPr>
          <w:rFonts w:hint="eastAsia"/>
        </w:rPr>
        <w:t>(d) 不以公允价值计量的金融工具</w:t>
      </w:r>
    </w:p>
    <w:p w:rsidR="00BF10C3" w:rsidRDefault="00BF10C3">
      <w:pPr>
        <w:pStyle w:val="neirong"/>
        <w:spacing w:before="0"/>
        <w:ind w:left="0" w:firstLine="480"/>
        <w:divId w:val="1476140041"/>
        <w:rPr>
          <w:rFonts w:hint="eastAsia"/>
        </w:rPr>
      </w:pPr>
      <w:r>
        <w:rPr>
          <w:rFonts w:hint="eastAsia"/>
        </w:rPr>
        <w:t>不以公允价值计量的金融资产和负债主要包括应收款项和其他金融负债，其账面价值与公允价值相差很小。</w:t>
      </w:r>
    </w:p>
    <w:p w:rsidR="00BF10C3" w:rsidRDefault="00BF10C3">
      <w:pPr>
        <w:pStyle w:val="neirong"/>
        <w:spacing w:before="0"/>
        <w:ind w:left="0" w:firstLine="480"/>
        <w:divId w:val="1476140041"/>
        <w:rPr>
          <w:rFonts w:hint="eastAsia"/>
        </w:rPr>
      </w:pPr>
      <w:r>
        <w:rPr>
          <w:rFonts w:hint="eastAsia"/>
        </w:rPr>
        <w:t>(2)除公允价值外，截至资产负债表日本基金无需要说明的其他重要事项。</w:t>
      </w:r>
    </w:p>
    <w:p w:rsidR="00BF10C3" w:rsidRDefault="00BF10C3">
      <w:pPr>
        <w:widowControl/>
        <w:jc w:val="left"/>
        <w:divId w:val="2025669870"/>
        <w:rPr>
          <w:rFonts w:ascii="宋体" w:hAnsi="宋体" w:cs="宋体" w:hint="eastAsia"/>
          <w:kern w:val="0"/>
          <w:sz w:val="24"/>
          <w:szCs w:val="24"/>
        </w:rPr>
      </w:pPr>
    </w:p>
    <w:p w:rsidR="00BF10C3" w:rsidRDefault="00BF10C3">
      <w:pPr>
        <w:pStyle w:val="dazhangjie"/>
        <w:divId w:val="1476140041"/>
        <w:rPr>
          <w:rFonts w:hint="eastAsia"/>
        </w:rPr>
      </w:pPr>
      <w:bookmarkStart w:id="28" w:name="_Toc17722049"/>
      <w:r>
        <w:rPr>
          <w:rFonts w:hAnsi="Calibri" w:hint="eastAsia"/>
          <w:b/>
          <w:color w:val="000000"/>
        </w:rPr>
        <w:t>§7</w:t>
      </w:r>
      <w:r>
        <w:rPr>
          <w:rFonts w:hAnsi="Calibri" w:hint="eastAsia"/>
          <w:b/>
          <w:color w:val="000000"/>
        </w:rPr>
        <w:t> </w:t>
      </w:r>
      <w:r>
        <w:rPr>
          <w:rFonts w:hAnsi="Calibri" w:hint="eastAsia"/>
          <w:b/>
          <w:color w:val="000000"/>
        </w:rPr>
        <w:t xml:space="preserve"> 投资组合报告</w:t>
      </w:r>
      <w:bookmarkEnd w:id="28"/>
    </w:p>
    <w:p w:rsidR="00BF10C3" w:rsidRDefault="00BF10C3">
      <w:pPr>
        <w:widowControl/>
        <w:jc w:val="left"/>
        <w:divId w:val="72089816"/>
        <w:rPr>
          <w:rFonts w:ascii="宋体" w:hAnsi="宋体" w:cs="宋体" w:hint="eastAsia"/>
          <w:kern w:val="0"/>
          <w:sz w:val="24"/>
          <w:szCs w:val="24"/>
        </w:rPr>
      </w:pPr>
    </w:p>
    <w:p w:rsidR="00BF10C3" w:rsidRDefault="00BF10C3">
      <w:pPr>
        <w:pStyle w:val="zhangjiep"/>
        <w:divId w:val="1476140041"/>
        <w:rPr>
          <w:rFonts w:hint="eastAsia"/>
        </w:rPr>
      </w:pPr>
      <w:bookmarkStart w:id="29" w:name="_Toc17722050"/>
      <w:r>
        <w:rPr>
          <w:rFonts w:hint="eastAsia"/>
          <w:b/>
          <w:bCs/>
        </w:rPr>
        <w:t>7.1 期末基金资产组合情况</w:t>
      </w:r>
      <w:bookmarkEnd w:id="29"/>
    </w:p>
    <w:p w:rsidR="00BF10C3" w:rsidRDefault="00BF10C3">
      <w:pPr>
        <w:pStyle w:val="biaogeright"/>
        <w:divId w:val="1878859281"/>
        <w:rPr>
          <w:rFonts w:hint="eastAsia"/>
        </w:rPr>
      </w:pPr>
      <w:r>
        <w:rPr>
          <w:rFonts w:hAnsi="Calibri" w:hint="eastAsia"/>
          <w:color w:val="000000"/>
        </w:rPr>
        <w:t>金额单位：人民币元</w:t>
      </w:r>
    </w:p>
    <w:tbl>
      <w:tblPr>
        <w:tblW w:w="0" w:type="auto"/>
        <w:tblInd w:w="108" w:type="dxa"/>
        <w:tblLook w:val="04A0"/>
      </w:tblPr>
      <w:tblGrid>
        <w:gridCol w:w="720"/>
        <w:gridCol w:w="3612"/>
        <w:gridCol w:w="2529"/>
        <w:gridCol w:w="2167"/>
      </w:tblGrid>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序号</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项目</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金额</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占基金总资产的比例(%)</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权益投资</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174,998,489.34</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86.16</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tcPr>
          <w:p w:rsidR="00BF10C3" w:rsidRDefault="00BF10C3">
            <w:pPr>
              <w:pStyle w:val="biaogecenter"/>
              <w:wordWrap w:val="0"/>
              <w:rPr>
                <w:rFonts w:hAnsi="Calibri"/>
                <w:color w:val="000000"/>
              </w:rPr>
            </w:pP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其中：股票</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174,998,489.34</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86.16</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2</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基金投资</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固定收益投资</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tcPr>
          <w:p w:rsidR="00BF10C3" w:rsidRDefault="00BF10C3">
            <w:pPr>
              <w:pStyle w:val="biaogecenter"/>
              <w:wordWrap w:val="0"/>
              <w:rPr>
                <w:rFonts w:hAnsi="Calibri"/>
                <w:color w:val="000000"/>
              </w:rPr>
            </w:pP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其中：债券</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tcPr>
          <w:p w:rsidR="00BF10C3" w:rsidRDefault="00BF10C3">
            <w:pPr>
              <w:pStyle w:val="biaogecenter"/>
              <w:wordWrap w:val="0"/>
              <w:rPr>
                <w:rFonts w:hAnsi="Calibri"/>
                <w:color w:val="000000"/>
              </w:rPr>
            </w:pP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ind w:left="750"/>
            </w:pPr>
            <w:r>
              <w:rPr>
                <w:rFonts w:hAnsi="Calibri" w:hint="eastAsia"/>
                <w:color w:val="000000"/>
              </w:rPr>
              <w:t>资产支持证券</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贵金属投资</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金融衍生品投资</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tcPr>
          <w:p w:rsidR="00BF10C3" w:rsidRDefault="00BF10C3">
            <w:pPr>
              <w:pStyle w:val="biaogecenter"/>
              <w:wordWrap w:val="0"/>
              <w:rPr>
                <w:rFonts w:hAnsi="Calibri"/>
                <w:color w:val="000000"/>
              </w:rPr>
            </w:pP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其中：买断式回购的买入返售金融资产</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银行存款和结算备付金合计</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23,924,001.82</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11.78</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其他各项资产</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4,195,488.40</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2.07</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9</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合计</w:t>
            </w:r>
          </w:p>
        </w:tc>
        <w:tc>
          <w:tcPr>
            <w:tcW w:w="252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203,117,979.56</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100.00</w:t>
            </w:r>
          </w:p>
        </w:tc>
      </w:tr>
    </w:tbl>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30" w:name="_Toc17722051"/>
      <w:r>
        <w:rPr>
          <w:rFonts w:hint="eastAsia"/>
          <w:b/>
          <w:bCs/>
        </w:rPr>
        <w:t>7.2 报告期末按行业分类的股票投资组合</w:t>
      </w:r>
      <w:bookmarkEnd w:id="30"/>
    </w:p>
    <w:p w:rsidR="00BF10C3" w:rsidRDefault="00BF10C3">
      <w:pPr>
        <w:pStyle w:val="zhangjiep2"/>
        <w:divId w:val="1476140041"/>
        <w:rPr>
          <w:rFonts w:hint="eastAsia"/>
        </w:rPr>
      </w:pPr>
      <w:r>
        <w:rPr>
          <w:rFonts w:hint="eastAsia"/>
          <w:b/>
          <w:bCs/>
        </w:rPr>
        <w:t>7.2.1 报告期末按行业分类的境内股票投资组合</w:t>
      </w:r>
    </w:p>
    <w:tbl>
      <w:tblPr>
        <w:tblW w:w="0" w:type="auto"/>
        <w:tblInd w:w="108" w:type="dxa"/>
        <w:tblLook w:val="04A0"/>
      </w:tblPr>
      <w:tblGrid>
        <w:gridCol w:w="720"/>
        <w:gridCol w:w="3974"/>
        <w:gridCol w:w="2167"/>
        <w:gridCol w:w="2167"/>
      </w:tblGrid>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代码</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行业类别</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公允价值（元）</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占基金资产净值比例(%)</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A</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农、林、牧、渔业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18,964,830.94</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9.54</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B</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采矿业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13,013,138.00</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6.54</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C</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制造业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107,369,379.92</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53.99</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D</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电力、热力、燃气及水生产和供应业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E</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建筑业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F</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批发和零售业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54,016.60</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0.03</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G</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交通运输、仓储和邮政业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H</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住宿和餐饮业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I</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信息传输、软件和信息技术服务业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25,488,813.88</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12.82</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J</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金融业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4,076,060.00</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2.05</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K</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房地产业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L</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租赁和商务服务业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4,875,750.00</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2.45</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M</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科学研究和技术服务业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N</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水利、环境和公共设施管理业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O</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居民服务、修理和其他服务业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P</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教育</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Q</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卫生和社会工作</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1,156,500.00</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0.58</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R</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文化、体育和娱乐业</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S</w:t>
            </w: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综合</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tcPr>
          <w:p w:rsidR="00BF10C3" w:rsidRDefault="00BF10C3">
            <w:pPr>
              <w:pStyle w:val="biaogecenter"/>
              <w:wordWrap w:val="0"/>
            </w:pPr>
          </w:p>
        </w:tc>
        <w:tc>
          <w:tcPr>
            <w:tcW w:w="397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合计</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174,998,489.34</w:t>
            </w:r>
          </w:p>
        </w:tc>
        <w:tc>
          <w:tcPr>
            <w:tcW w:w="216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87.99</w:t>
            </w:r>
          </w:p>
        </w:tc>
      </w:tr>
    </w:tbl>
    <w:p w:rsidR="00BF10C3" w:rsidRDefault="00BF10C3">
      <w:pPr>
        <w:widowControl/>
        <w:jc w:val="left"/>
        <w:divId w:val="149375192"/>
        <w:rPr>
          <w:rFonts w:ascii="宋体" w:hAnsi="宋体" w:cs="宋体" w:hint="eastAsia"/>
          <w:kern w:val="0"/>
          <w:sz w:val="24"/>
          <w:szCs w:val="24"/>
        </w:rPr>
      </w:pPr>
    </w:p>
    <w:tbl>
      <w:tblPr>
        <w:tblW w:w="0" w:type="dxa"/>
        <w:tblInd w:w="108" w:type="dxa"/>
        <w:tblCellMar>
          <w:left w:w="0" w:type="dxa"/>
          <w:right w:w="0" w:type="dxa"/>
        </w:tblCellMar>
        <w:tblLook w:val="04A0"/>
      </w:tblPr>
      <w:tblGrid>
        <w:gridCol w:w="6"/>
      </w:tblGrid>
      <w:tr w:rsidR="00BF10C3" w:rsidRPr="00D55988">
        <w:trPr>
          <w:divId w:val="1476140041"/>
          <w:hidden/>
        </w:trPr>
        <w:tc>
          <w:tcPr>
            <w:tcW w:w="0" w:type="auto"/>
            <w:vAlign w:val="center"/>
            <w:hideMark/>
          </w:tcPr>
          <w:p w:rsidR="00BF10C3" w:rsidRDefault="00BF10C3">
            <w:pPr>
              <w:widowControl/>
              <w:jc w:val="left"/>
              <w:rPr>
                <w:rFonts w:ascii="宋体" w:hAnsi="宋体" w:cs="宋体"/>
                <w:vanish/>
                <w:kern w:val="0"/>
                <w:sz w:val="24"/>
                <w:szCs w:val="24"/>
              </w:rPr>
            </w:pPr>
          </w:p>
        </w:tc>
      </w:tr>
    </w:tbl>
    <w:p w:rsidR="00BF10C3" w:rsidRDefault="00BF10C3">
      <w:pPr>
        <w:pStyle w:val="zhangjiep"/>
        <w:divId w:val="1476140041"/>
        <w:rPr>
          <w:rFonts w:hint="eastAsia"/>
        </w:rPr>
      </w:pPr>
      <w:bookmarkStart w:id="31" w:name="_Toc17722052"/>
      <w:r>
        <w:rPr>
          <w:rFonts w:hint="eastAsia"/>
          <w:b/>
          <w:bCs/>
        </w:rPr>
        <w:t>7.3 期末按公允价值占基金资产净值比例大小排序的</w:t>
      </w:r>
      <w:r w:rsidR="0081681F">
        <w:rPr>
          <w:rFonts w:hint="eastAsia"/>
          <w:b/>
          <w:bCs/>
        </w:rPr>
        <w:t>前十名</w:t>
      </w:r>
      <w:r>
        <w:rPr>
          <w:rFonts w:hint="eastAsia"/>
          <w:b/>
          <w:bCs/>
        </w:rPr>
        <w:t>股票投资明细</w:t>
      </w:r>
      <w:bookmarkEnd w:id="31"/>
    </w:p>
    <w:p w:rsidR="00BF10C3" w:rsidRDefault="00BF10C3">
      <w:pPr>
        <w:pStyle w:val="biaogeright"/>
        <w:divId w:val="1476140041"/>
        <w:rPr>
          <w:rFonts w:hint="eastAsia"/>
        </w:rPr>
      </w:pPr>
      <w:r>
        <w:rPr>
          <w:rFonts w:hAnsi="Calibri" w:hint="eastAsia"/>
          <w:color w:val="000000"/>
        </w:rPr>
        <w:t>金额单位：人民币元</w:t>
      </w:r>
    </w:p>
    <w:tbl>
      <w:tblPr>
        <w:tblW w:w="0" w:type="auto"/>
        <w:tblInd w:w="108" w:type="dxa"/>
        <w:tblLook w:val="04A0"/>
      </w:tblPr>
      <w:tblGrid>
        <w:gridCol w:w="817"/>
        <w:gridCol w:w="1616"/>
        <w:gridCol w:w="1616"/>
        <w:gridCol w:w="1702"/>
        <w:gridCol w:w="1788"/>
        <w:gridCol w:w="1659"/>
      </w:tblGrid>
      <w:tr w:rsidR="00BF10C3" w:rsidRPr="00D55988" w:rsidTr="0078434E">
        <w:trPr>
          <w:divId w:val="1476140041"/>
        </w:trPr>
        <w:tc>
          <w:tcPr>
            <w:tcW w:w="81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序号</w:t>
            </w:r>
          </w:p>
        </w:tc>
        <w:tc>
          <w:tcPr>
            <w:tcW w:w="161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股票代码</w:t>
            </w:r>
          </w:p>
        </w:tc>
        <w:tc>
          <w:tcPr>
            <w:tcW w:w="1619"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股票名称</w:t>
            </w:r>
          </w:p>
        </w:tc>
        <w:tc>
          <w:tcPr>
            <w:tcW w:w="1704"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数量(股)</w:t>
            </w:r>
          </w:p>
        </w:tc>
        <w:tc>
          <w:tcPr>
            <w:tcW w:w="177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公允价值(元)</w:t>
            </w:r>
          </w:p>
        </w:tc>
        <w:tc>
          <w:tcPr>
            <w:tcW w:w="166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占基金资产净值比例(%)</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000858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五 粮 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167,000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19,697,650.00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9.90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600519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贵州茅台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19,858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19,540,272.00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9.82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000568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泸州老窖</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237,100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19,164,793.00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9.64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牧原股份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322,586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18,964,830.94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9.54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603317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天味食品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302,700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12,698,265.00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6.38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600547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山东黄金</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300,000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12,351,000.00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6.21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天邦股份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710,000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9,258,400.00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4.66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同花顺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86,617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8,519,648.12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4.28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梦网集团</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560,000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7,918,400.00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3.98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300357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我武生物</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167,100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5,668,032.00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2.85</w:t>
            </w:r>
          </w:p>
        </w:tc>
      </w:tr>
    </w:tbl>
    <w:p w:rsidR="0078434E" w:rsidRDefault="0078434E" w:rsidP="0078434E">
      <w:pPr>
        <w:pStyle w:val="index0428isshow"/>
        <w:divId w:val="1476140041"/>
        <w:rPr>
          <w:rFonts w:hint="eastAsia"/>
        </w:rPr>
      </w:pPr>
      <w:r>
        <w:rPr>
          <w:rFonts w:hint="eastAsia"/>
        </w:rPr>
        <w:t>注：投资者欲了解本报告期末基金投资的所有股票明细，应阅读登载于富安达基金管理有限公司网站的半年度报告正文。</w:t>
      </w:r>
    </w:p>
    <w:p w:rsidR="00BF10C3" w:rsidRPr="0078434E"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32" w:name="_Toc17722053"/>
      <w:r>
        <w:rPr>
          <w:rFonts w:hint="eastAsia"/>
          <w:b/>
          <w:bCs/>
        </w:rPr>
        <w:t>7.4 报告期内股票投资组合的重大变动</w:t>
      </w:r>
      <w:bookmarkEnd w:id="32"/>
    </w:p>
    <w:p w:rsidR="00BF10C3" w:rsidRDefault="00BF10C3">
      <w:pPr>
        <w:pStyle w:val="zhangjiep2"/>
        <w:divId w:val="1476140041"/>
        <w:rPr>
          <w:rFonts w:hint="eastAsia"/>
        </w:rPr>
      </w:pPr>
      <w:r>
        <w:rPr>
          <w:rFonts w:hint="eastAsia"/>
          <w:b/>
          <w:bCs/>
        </w:rPr>
        <w:t>7.4.1 累计买入金额超出期初基金资产净值2%或前20名的股票明细</w:t>
      </w:r>
    </w:p>
    <w:p w:rsidR="00BF10C3" w:rsidRDefault="00BF10C3">
      <w:pPr>
        <w:pStyle w:val="biaogeright"/>
        <w:divId w:val="559559390"/>
        <w:rPr>
          <w:rFonts w:hint="eastAsia"/>
        </w:rPr>
      </w:pPr>
      <w:r>
        <w:rPr>
          <w:rFonts w:hAnsi="Calibri" w:hint="eastAsia"/>
          <w:color w:val="000000"/>
        </w:rPr>
        <w:t>金额单位：人民币元</w:t>
      </w:r>
    </w:p>
    <w:tbl>
      <w:tblPr>
        <w:tblW w:w="0" w:type="auto"/>
        <w:tblInd w:w="108" w:type="dxa"/>
        <w:tblLook w:val="04A0"/>
      </w:tblPr>
      <w:tblGrid>
        <w:gridCol w:w="925"/>
        <w:gridCol w:w="1985"/>
        <w:gridCol w:w="1985"/>
        <w:gridCol w:w="2300"/>
        <w:gridCol w:w="2003"/>
      </w:tblGrid>
      <w:tr w:rsidR="00BF10C3" w:rsidRPr="00D55988">
        <w:trPr>
          <w:divId w:val="1476140041"/>
        </w:trPr>
        <w:tc>
          <w:tcPr>
            <w:tcW w:w="1005"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序号</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股票代码</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股票名称</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本期累计买入金额</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占期初基金资产净值比例(%)</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正邦科技</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78,099,289.00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72.49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同花顺</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62,470,419.00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57.98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000876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新 希 望</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47,886,468.00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44.45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300663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科蓝软件</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38,471,901.69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35.71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天邦股份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33,164,569.84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30.78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300498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温氏股份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25,978,294.00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24.11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000568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泸州老窖</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23,373,559.00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21.69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000858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五 粮 液</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21,946,784.27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20.37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600547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山东黄金</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21,128,149.54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19.61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002299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圣农发展</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20,004,342.06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18.57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000975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银泰资源</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19,142,182.74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17.77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600741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华域汽车</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18,719,939.00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17.37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002384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东山精密</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18,298,808.20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16.98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600519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贵州茅台</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18,292,641.10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16.98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600446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金证股份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18,001,144.00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16.71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603383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顶点软件</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17,404,892.20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16.15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牧原股份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16,873,112.00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15.66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中光学</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16,635,566.00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15.44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603317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天味食品</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16,316,640.00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15.14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仙坛股份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15,534,176.86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14.42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601012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隆基股份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14,461,916.67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13.42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000651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格力电器</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14,184,167.00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13.16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湖南黄金</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14,076,910.00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13.07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600030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中信证券</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12,340,509.00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11.45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000338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潍柴动力</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11,836,766.00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10.99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002373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千方科技</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11,152,263.00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10.35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300450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先导智能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11,056,064.04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10.26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603881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数据港</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10,602,977.00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9.84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600031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三一重工</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10,442,600.00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9.69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002268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卫 士 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10,390,525.70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9.64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000063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中兴通讯</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10,205,910.00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9.47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603583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捷昌驱动</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10,022,298.60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9.30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000426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兴业矿业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9,907,276.00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9.20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000977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浪潮信息</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9,895,206.00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9.18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600570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恒生电子</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9,824,743.00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9.12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603369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今世缘</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9,547,779.00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8.86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300595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欧普康视</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9,494,156.60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8.81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002415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海康威视</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9,357,540.00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8.69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上汽集团</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8,810,850.00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8.18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601933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永辉超市</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8,743,600.00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8.12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梦网集团</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8,547,931.00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7.93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002456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欧菲光</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8,524,152.00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7.91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高新兴</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8,438,708.57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7.83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601688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华泰证券</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8,284,536.00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7.69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300357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我武生物</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7,752,226.00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7.20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600036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招商银行</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7,602,993.00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7.06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康弘药业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7,546,643.00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7.00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002405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四维图新</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7,245,668.00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6.72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000625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长安汽车</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6,953,060.00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6.45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300212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易华录</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6,940,494.62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6.44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600093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易见股份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6,873,269.00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6.38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603387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基蛋生物</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6,787,650.00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6.30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002675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东诚药业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6,680,410.00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6.20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600489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中金黄金</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6,677,805.00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6.20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东方财富</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6,467,031.00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6.00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601318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中国平安</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5,393,380.00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5.01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002507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涪陵榨菜</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5,349,060.00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4.96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600859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王府井</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5,180,846.00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4.81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000596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古井贡酒</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4,999,994.00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4.64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002262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恩华药业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4,910,000.00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4.56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天赐材料</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4,809,240.00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4.46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002920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德赛西威</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4,668,625.00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4.33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601888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中国国旅</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4,645,937.00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4.31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002311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海大集团</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4,631,098.00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4.30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广联达</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4,493,680.00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4.17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300496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中科创达</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4,287,142.00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3.98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600837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海通证券</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4,276,780.00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3.97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600038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中直股份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4,226,477.50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3.92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002371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北方华创</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4,043,000.00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3.75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601939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建设银行</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3,960,000.00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3.68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600383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金地集团</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3,947,900.00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3.66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600760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中航沈飞</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3,907,956.00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3.63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亿纬锂能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3,888,906.00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3.61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300349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金卡智能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3,868,160.00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3.59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000603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盛达矿业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3,760,567.00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3.49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002013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中航机电</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3,647,933.00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3.39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002841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视源股份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3,568,172.00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3.31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300188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美亚柏科</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3,180,843.00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2.95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002463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沪电股份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3,072,300.00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2.85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600438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通威股份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2,965,809.50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2.75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新宙邦</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2,891,960.00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2.68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002727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一心堂</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2,653,340.00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2.46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002792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通宇通讯</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2,589,600.00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2.40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600845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宝信软件</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2,568,514.29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002916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深南电路</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2,485,344.00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600588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用友网络</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2,393,031.00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2.22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603939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益丰药房</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2,334,744.00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2.17</w:t>
            </w:r>
          </w:p>
        </w:tc>
      </w:tr>
    </w:tbl>
    <w:p w:rsidR="00BF10C3" w:rsidRDefault="00BF10C3">
      <w:pPr>
        <w:pStyle w:val="neirong"/>
        <w:divId w:val="1476140041"/>
        <w:rPr>
          <w:rFonts w:hint="eastAsia"/>
        </w:rPr>
      </w:pPr>
      <w:r>
        <w:rPr>
          <w:rFonts w:hint="eastAsia"/>
        </w:rPr>
        <w:t>“买入金额”按买入成交金额（成交单价乘以成交数量）填列，不考虑相关交易费用。</w:t>
      </w:r>
    </w:p>
    <w:p w:rsidR="00BF10C3" w:rsidRDefault="00BF10C3">
      <w:pPr>
        <w:widowControl/>
        <w:jc w:val="left"/>
        <w:divId w:val="2133479119"/>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7.4.2 累计卖出金额超出期初基金资产净值2%或前20名的股票明细</w:t>
      </w:r>
    </w:p>
    <w:p w:rsidR="00BF10C3" w:rsidRDefault="00BF10C3">
      <w:pPr>
        <w:pStyle w:val="biaogeright"/>
        <w:divId w:val="155191685"/>
        <w:rPr>
          <w:rFonts w:hint="eastAsia"/>
        </w:rPr>
      </w:pPr>
      <w:r>
        <w:rPr>
          <w:rFonts w:hAnsi="Calibri" w:hint="eastAsia"/>
          <w:color w:val="000000"/>
        </w:rPr>
        <w:t>金额单位：人民币元</w:t>
      </w:r>
    </w:p>
    <w:tbl>
      <w:tblPr>
        <w:tblW w:w="0" w:type="auto"/>
        <w:tblInd w:w="108" w:type="dxa"/>
        <w:tblLook w:val="04A0"/>
      </w:tblPr>
      <w:tblGrid>
        <w:gridCol w:w="925"/>
        <w:gridCol w:w="1985"/>
        <w:gridCol w:w="1985"/>
        <w:gridCol w:w="2300"/>
        <w:gridCol w:w="2003"/>
      </w:tblGrid>
      <w:tr w:rsidR="00BF10C3" w:rsidRPr="00D55988">
        <w:trPr>
          <w:divId w:val="1476140041"/>
        </w:trPr>
        <w:tc>
          <w:tcPr>
            <w:tcW w:w="1005"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序号</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股票代码</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股票名称</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本期累计卖出金额</w:t>
            </w:r>
          </w:p>
        </w:tc>
        <w:tc>
          <w:tcPr>
            <w:tcW w:w="22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占期初基金资产净值比例(%)</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正邦科技</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76,780,360.10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71.26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同花顺</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53,065,350.90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49.25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000876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新 希 望</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47,811,560.55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44.38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300663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科蓝软件</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43,571,825.61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40.44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天邦股份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35,682,259.01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33.12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300498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温氏股份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35,360,422.78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32.82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000975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银泰资源</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25,096,363.24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23.29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002299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圣农发展</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20,087,323.71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18.64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002384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东山精密</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18,846,641.59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17.49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600547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山东黄金</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18,243,821.36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16.93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600446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金证股份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17,393,974.41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16.14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600741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华域汽车</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17,021,386.23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15.80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603383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顶点软件</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16,740,417.60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15.54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湖南黄金</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15,416,124.00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14.31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601012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隆基股份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15,014,812.05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13.94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002189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中光学</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14,536,411.00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13.49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仙坛股份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14,394,834.50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13.36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000651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格力电器</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13,898,052.80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12.90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601933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永辉超市</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12,764,582.24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11.85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600030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中信证券</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12,154,013.75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11.28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000338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潍柴动力</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11,641,837.80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10.81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002268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卫 士 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11,316,383.90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10.50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300450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先导智能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11,261,162.89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10.45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牧原股份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11,047,164.92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10.25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603583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捷昌驱动</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10,991,408.80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10.20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002373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千方科技</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10,963,754.00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10.18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600031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三一重工</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10,853,519.37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10.07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600489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中金黄金</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10,834,296.51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10.06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29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000063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中兴通讯</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10,227,167.00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9.49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600570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恒生电子</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9,919,674.78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9.21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603881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数据港</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9,800,745.40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9.10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002456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欧菲光</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9,728,058.12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9.03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000426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兴业矿业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9,553,108.00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8.87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002415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海康威视</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9,374,273.98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8.70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000858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五 粮 液</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8,632,592.00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8.01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上汽集团</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8,601,817.52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7.98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601688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华泰证券</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8,381,483.00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7.78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高新兴</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8,370,278.00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7.77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000977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浪潮信息</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8,352,512.80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7.75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603369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今世缘</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8,182,422.00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7.59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600093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易见股份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7,494,932.00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6.96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600036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招商银行</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7,317,112.04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6.79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000625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长安汽车</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7,254,235.00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6.73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000568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泸州老窖</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7,166,312.94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6.65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600038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中直股份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6,968,363.00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6.47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002405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四维图新</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6,913,422.00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6.42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603387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基蛋生物</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6,686,701.00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6.21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康弘药业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6,609,812.00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6.13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002675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东诚药业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6,575,190.00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6.10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东方财富</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6,491,969.00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6.03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300212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易华录</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5,766,286.00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5.35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002507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涪陵榨菜</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5,470,224.00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5.08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600859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王府井</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5,230,420.00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4.85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天赐材料</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5,044,026.02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4.68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002262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恩华药业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4,940,560.00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4.59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000603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盛达矿业</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4,879,392.60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4.53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300496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中科创达</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4,679,887.00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4.34</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002311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海大集团</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4,609,926.00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4.28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603317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天味食品</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4,374,733.00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4.06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300595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欧普康视</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4,272,000.00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3.97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600760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中航沈飞</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4,261,730.50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3.96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002920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德赛西威</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4,169,061.76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3.87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亿纬锂能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4,118,815.11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3.82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600837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海通证券</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4,107,500.00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3.81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002371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北方华创</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4,093,601.00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3.80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601939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建设银行</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4,002,000.00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3.71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600383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金地集团</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3,853,505.00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3.58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300349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金卡智能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3,839,394.00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3.56</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002013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中航机电</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3,566,497.00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3.31</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600438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通威股份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3,319,452.00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3.08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300188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美亚柏科</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3,205,342.04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2.98</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002463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沪电股份</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3,096,604.95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2.87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300037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新宙邦</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3,047,948.00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2.83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002792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通宇通讯</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2,858,027.00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2.65</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300413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芒果超媒</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2,713,091.08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2.52</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600519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贵州茅台</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2,557,128.00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2.37</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002916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深南电路</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2,476,293.00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2.30</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300357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我武生物</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2,465,526.20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2.29</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79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002727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一心堂</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2,403,160.00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2.23</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Ansi="Calibri" w:hint="eastAsia"/>
                <w:color w:val="000000"/>
              </w:rPr>
              <w:t>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603939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益丰药房</w:t>
            </w:r>
          </w:p>
        </w:tc>
        <w:tc>
          <w:tcPr>
            <w:tcW w:w="125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2,219,320.98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Ansi="Calibri" w:hint="eastAsia"/>
                <w:color w:val="000000"/>
              </w:rPr>
              <w:t>2.06</w:t>
            </w:r>
          </w:p>
        </w:tc>
      </w:tr>
    </w:tbl>
    <w:p w:rsidR="00BF10C3" w:rsidRDefault="00BF10C3">
      <w:pPr>
        <w:pStyle w:val="neirong"/>
        <w:divId w:val="1476140041"/>
        <w:rPr>
          <w:rFonts w:hint="eastAsia"/>
        </w:rPr>
      </w:pPr>
      <w:r>
        <w:rPr>
          <w:rFonts w:hint="eastAsia"/>
        </w:rPr>
        <w:t>“卖出金额”按买出成交金额（成交单价乘以成交数量）填列，不考虑相关交易费用。</w:t>
      </w:r>
    </w:p>
    <w:p w:rsidR="00BF10C3" w:rsidRDefault="00BF10C3">
      <w:pPr>
        <w:widowControl/>
        <w:jc w:val="left"/>
        <w:divId w:val="1348144057"/>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7.4.3 买入股票的成本总额及卖出股票的收入总额</w:t>
      </w:r>
    </w:p>
    <w:p w:rsidR="00BF10C3" w:rsidRDefault="00BF10C3">
      <w:pPr>
        <w:pStyle w:val="biaogeright"/>
        <w:divId w:val="1476140041"/>
        <w:rPr>
          <w:rFonts w:hint="eastAsia"/>
        </w:rPr>
      </w:pPr>
      <w:r>
        <w:rPr>
          <w:rFonts w:hAnsi="Calibri" w:hint="eastAsia"/>
          <w:color w:val="000000"/>
        </w:rPr>
        <w:t>单位：人民币元</w:t>
      </w:r>
    </w:p>
    <w:tbl>
      <w:tblPr>
        <w:tblW w:w="0" w:type="auto"/>
        <w:tblInd w:w="108" w:type="dxa"/>
        <w:tblLook w:val="04A0"/>
      </w:tblPr>
      <w:tblGrid>
        <w:gridCol w:w="3971"/>
        <w:gridCol w:w="5057"/>
      </w:tblGrid>
      <w:tr w:rsidR="00BF10C3" w:rsidRPr="00D55988">
        <w:trPr>
          <w:divId w:val="1476140041"/>
        </w:trPr>
        <w:tc>
          <w:tcPr>
            <w:tcW w:w="397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买入股票成本（成交）总额</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1,027,650,786.85</w:t>
            </w:r>
          </w:p>
        </w:tc>
      </w:tr>
      <w:tr w:rsidR="00BF10C3" w:rsidRPr="00D55988">
        <w:trPr>
          <w:divId w:val="1476140041"/>
        </w:trPr>
        <w:tc>
          <w:tcPr>
            <w:tcW w:w="3971"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卖出股票收入（成交）总额</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943,203,544.73</w:t>
            </w:r>
          </w:p>
        </w:tc>
      </w:tr>
    </w:tbl>
    <w:p w:rsidR="00BF10C3" w:rsidRDefault="00BF10C3">
      <w:pPr>
        <w:pStyle w:val="neirong"/>
        <w:divId w:val="1476140041"/>
        <w:rPr>
          <w:rFonts w:hint="eastAsia"/>
        </w:rPr>
      </w:pPr>
      <w:r>
        <w:rPr>
          <w:rFonts w:hint="eastAsia"/>
        </w:rPr>
        <w:t>“买入股票成本”、“卖出股票收入”均按买卖成交金额（成交单价乘以成交数量）填列，不考虑相关交易费用。</w:t>
      </w:r>
    </w:p>
    <w:p w:rsidR="00BF10C3" w:rsidRDefault="00BF10C3">
      <w:pPr>
        <w:widowControl/>
        <w:jc w:val="left"/>
        <w:divId w:val="1113134725"/>
        <w:rPr>
          <w:rFonts w:ascii="宋体" w:hAnsi="宋体" w:cs="宋体" w:hint="eastAsia"/>
          <w:kern w:val="0"/>
          <w:sz w:val="24"/>
          <w:szCs w:val="24"/>
        </w:rPr>
      </w:pPr>
    </w:p>
    <w:p w:rsidR="00BF10C3" w:rsidRDefault="00BF10C3">
      <w:pPr>
        <w:pStyle w:val="zhangjiep"/>
        <w:divId w:val="1953046184"/>
        <w:rPr>
          <w:rFonts w:hint="eastAsia"/>
        </w:rPr>
      </w:pPr>
      <w:bookmarkStart w:id="33" w:name="_Toc17722054"/>
      <w:r>
        <w:rPr>
          <w:rFonts w:hint="eastAsia"/>
          <w:b/>
          <w:bCs/>
        </w:rPr>
        <w:t>7.5 期末按债券品种分类的债券投资组合</w:t>
      </w:r>
      <w:bookmarkEnd w:id="33"/>
    </w:p>
    <w:p w:rsidR="00BF10C3" w:rsidRDefault="00BF10C3">
      <w:pPr>
        <w:pStyle w:val="neirong"/>
        <w:divId w:val="1476140041"/>
        <w:rPr>
          <w:rFonts w:hint="eastAsia"/>
        </w:rPr>
      </w:pPr>
      <w:r>
        <w:rPr>
          <w:rFonts w:hint="eastAsia"/>
        </w:rPr>
        <w:t>本基金本报告期末未持有债券。</w:t>
      </w:r>
    </w:p>
    <w:p w:rsidR="00BF10C3" w:rsidRDefault="00BF10C3">
      <w:pPr>
        <w:widowControl/>
        <w:jc w:val="left"/>
        <w:divId w:val="787705759"/>
        <w:rPr>
          <w:rFonts w:ascii="宋体" w:hAnsi="宋体" w:cs="宋体" w:hint="eastAsia"/>
          <w:kern w:val="0"/>
          <w:sz w:val="24"/>
          <w:szCs w:val="24"/>
        </w:rPr>
      </w:pPr>
    </w:p>
    <w:p w:rsidR="00BF10C3" w:rsidRDefault="00BF10C3">
      <w:pPr>
        <w:pStyle w:val="zhangjiep"/>
        <w:divId w:val="1483304632"/>
        <w:rPr>
          <w:rFonts w:hint="eastAsia"/>
        </w:rPr>
      </w:pPr>
      <w:bookmarkStart w:id="34" w:name="_Toc17722055"/>
      <w:r>
        <w:rPr>
          <w:rFonts w:hint="eastAsia"/>
          <w:b/>
          <w:bCs/>
        </w:rPr>
        <w:t>7.6 期末按公允价值占基金资产净值比例大小排序的前五名债券投资明细</w:t>
      </w:r>
      <w:bookmarkEnd w:id="34"/>
    </w:p>
    <w:tbl>
      <w:tblPr>
        <w:tblW w:w="0" w:type="auto"/>
        <w:tblInd w:w="108" w:type="dxa"/>
        <w:tblLook w:val="04A0"/>
      </w:tblPr>
      <w:tblGrid>
        <w:gridCol w:w="222"/>
      </w:tblGrid>
      <w:tr w:rsidR="00BF10C3" w:rsidRPr="00D55988">
        <w:trPr>
          <w:divId w:val="1476140041"/>
        </w:trPr>
        <w:tc>
          <w:tcPr>
            <w:tcW w:w="0" w:type="auto"/>
            <w:vAlign w:val="center"/>
            <w:hideMark/>
          </w:tcPr>
          <w:p w:rsidR="00BF10C3" w:rsidRDefault="00BF10C3">
            <w:pPr>
              <w:widowControl/>
              <w:jc w:val="left"/>
              <w:rPr>
                <w:rFonts w:ascii="宋体" w:hAnsi="宋体" w:cs="宋体"/>
                <w:kern w:val="0"/>
                <w:sz w:val="24"/>
                <w:szCs w:val="24"/>
              </w:rPr>
            </w:pPr>
          </w:p>
        </w:tc>
      </w:tr>
    </w:tbl>
    <w:p w:rsidR="00BF10C3" w:rsidRDefault="00BF10C3">
      <w:pPr>
        <w:pStyle w:val="neirong"/>
        <w:divId w:val="1476140041"/>
        <w:rPr>
          <w:rFonts w:hint="eastAsia"/>
        </w:rPr>
      </w:pPr>
      <w:r>
        <w:rPr>
          <w:rFonts w:hint="eastAsia"/>
        </w:rPr>
        <w:t>本基金本报告期末未持有债券。</w:t>
      </w:r>
    </w:p>
    <w:p w:rsidR="00BF10C3" w:rsidRDefault="00BF10C3">
      <w:pPr>
        <w:widowControl/>
        <w:jc w:val="left"/>
        <w:divId w:val="963846979"/>
        <w:rPr>
          <w:rFonts w:ascii="宋体" w:hAnsi="宋体" w:cs="宋体" w:hint="eastAsia"/>
          <w:kern w:val="0"/>
          <w:sz w:val="24"/>
          <w:szCs w:val="24"/>
        </w:rPr>
      </w:pPr>
    </w:p>
    <w:p w:rsidR="00BF10C3" w:rsidRDefault="00BF10C3">
      <w:pPr>
        <w:pStyle w:val="zhangjiep"/>
        <w:divId w:val="1476140041"/>
        <w:rPr>
          <w:rFonts w:hint="eastAsia"/>
        </w:rPr>
      </w:pPr>
      <w:bookmarkStart w:id="35" w:name="_Toc17722056"/>
      <w:r>
        <w:rPr>
          <w:rFonts w:hint="eastAsia"/>
          <w:b/>
          <w:bCs/>
        </w:rPr>
        <w:t>7.7 期末按公允价值占基金资产净值比例大小排序的</w:t>
      </w:r>
      <w:r w:rsidR="008B2D6F">
        <w:rPr>
          <w:rFonts w:hint="eastAsia"/>
          <w:b/>
          <w:bCs/>
        </w:rPr>
        <w:t>前十名</w:t>
      </w:r>
      <w:r>
        <w:rPr>
          <w:rFonts w:hint="eastAsia"/>
          <w:b/>
          <w:bCs/>
        </w:rPr>
        <w:t>资产支持证券投资明细</w:t>
      </w:r>
      <w:bookmarkEnd w:id="35"/>
    </w:p>
    <w:tbl>
      <w:tblPr>
        <w:tblW w:w="0" w:type="auto"/>
        <w:tblInd w:w="108" w:type="dxa"/>
        <w:tblLook w:val="04A0"/>
      </w:tblPr>
      <w:tblGrid>
        <w:gridCol w:w="222"/>
      </w:tblGrid>
      <w:tr w:rsidR="00BF10C3" w:rsidRPr="00D55988">
        <w:trPr>
          <w:divId w:val="1476140041"/>
        </w:trPr>
        <w:tc>
          <w:tcPr>
            <w:tcW w:w="0" w:type="auto"/>
            <w:vAlign w:val="center"/>
            <w:hideMark/>
          </w:tcPr>
          <w:p w:rsidR="00BF10C3" w:rsidRDefault="00BF10C3">
            <w:pPr>
              <w:widowControl/>
              <w:jc w:val="left"/>
              <w:rPr>
                <w:rFonts w:ascii="宋体" w:hAnsi="宋体" w:cs="宋体"/>
                <w:kern w:val="0"/>
                <w:sz w:val="24"/>
                <w:szCs w:val="24"/>
              </w:rPr>
            </w:pPr>
          </w:p>
        </w:tc>
      </w:tr>
    </w:tbl>
    <w:p w:rsidR="00BF10C3" w:rsidRDefault="00BF10C3">
      <w:pPr>
        <w:pStyle w:val="neirong"/>
        <w:divId w:val="1476140041"/>
        <w:rPr>
          <w:rFonts w:hint="eastAsia"/>
        </w:rPr>
      </w:pPr>
      <w:r>
        <w:rPr>
          <w:rFonts w:hint="eastAsia"/>
        </w:rPr>
        <w:t>本基金本报告期末未持有资产支持证券。</w:t>
      </w:r>
    </w:p>
    <w:p w:rsidR="00BF10C3" w:rsidRDefault="00BF10C3">
      <w:pPr>
        <w:widowControl/>
        <w:jc w:val="left"/>
        <w:divId w:val="1480148533"/>
        <w:rPr>
          <w:rFonts w:ascii="宋体" w:hAnsi="宋体" w:cs="宋体" w:hint="eastAsia"/>
          <w:kern w:val="0"/>
          <w:sz w:val="24"/>
          <w:szCs w:val="24"/>
        </w:rPr>
      </w:pPr>
    </w:p>
    <w:p w:rsidR="00BF10C3" w:rsidRDefault="00BF10C3">
      <w:pPr>
        <w:pStyle w:val="zhangjiep"/>
        <w:divId w:val="1765564995"/>
        <w:rPr>
          <w:rFonts w:hint="eastAsia"/>
        </w:rPr>
      </w:pPr>
      <w:bookmarkStart w:id="36" w:name="_Toc17722057"/>
      <w:r>
        <w:rPr>
          <w:rFonts w:hint="eastAsia"/>
          <w:b/>
          <w:bCs/>
        </w:rPr>
        <w:t>7.8 报告期末按公允价值占基金资产净值比例大小排序的前五名贵金属投资明细</w:t>
      </w:r>
      <w:bookmarkEnd w:id="36"/>
    </w:p>
    <w:tbl>
      <w:tblPr>
        <w:tblW w:w="0" w:type="auto"/>
        <w:tblInd w:w="108" w:type="dxa"/>
        <w:tblLook w:val="04A0"/>
      </w:tblPr>
      <w:tblGrid>
        <w:gridCol w:w="222"/>
      </w:tblGrid>
      <w:tr w:rsidR="00BF10C3" w:rsidRPr="00D55988">
        <w:trPr>
          <w:divId w:val="1765564995"/>
        </w:trPr>
        <w:tc>
          <w:tcPr>
            <w:tcW w:w="0" w:type="auto"/>
            <w:vAlign w:val="center"/>
            <w:hideMark/>
          </w:tcPr>
          <w:p w:rsidR="00BF10C3" w:rsidRDefault="00BF10C3">
            <w:pPr>
              <w:widowControl/>
              <w:jc w:val="left"/>
              <w:rPr>
                <w:rFonts w:ascii="宋体" w:hAnsi="宋体" w:cs="宋体"/>
                <w:kern w:val="0"/>
                <w:sz w:val="24"/>
                <w:szCs w:val="24"/>
              </w:rPr>
            </w:pPr>
          </w:p>
        </w:tc>
      </w:tr>
    </w:tbl>
    <w:p w:rsidR="00BF10C3" w:rsidRDefault="00BF10C3">
      <w:pPr>
        <w:pStyle w:val="neirong"/>
        <w:divId w:val="1765564995"/>
        <w:rPr>
          <w:rFonts w:hint="eastAsia"/>
        </w:rPr>
      </w:pPr>
      <w:r>
        <w:rPr>
          <w:rFonts w:hint="eastAsia"/>
        </w:rPr>
        <w:t>本基金本报告期末未持有贵金属。</w:t>
      </w:r>
    </w:p>
    <w:p w:rsidR="00BF10C3" w:rsidRDefault="00BF10C3">
      <w:pPr>
        <w:widowControl/>
        <w:jc w:val="left"/>
        <w:divId w:val="1765564995"/>
        <w:rPr>
          <w:rFonts w:ascii="宋体" w:hAnsi="宋体" w:cs="宋体" w:hint="eastAsia"/>
          <w:kern w:val="0"/>
          <w:sz w:val="24"/>
          <w:szCs w:val="24"/>
        </w:rPr>
      </w:pPr>
    </w:p>
    <w:p w:rsidR="00BF10C3" w:rsidRDefault="00BF10C3">
      <w:pPr>
        <w:pStyle w:val="zhangjiep"/>
        <w:divId w:val="1476140041"/>
        <w:rPr>
          <w:rFonts w:hint="eastAsia"/>
        </w:rPr>
      </w:pPr>
      <w:bookmarkStart w:id="37" w:name="_Toc17722058"/>
      <w:r>
        <w:rPr>
          <w:rFonts w:hint="eastAsia"/>
          <w:b/>
          <w:bCs/>
        </w:rPr>
        <w:t>7.9 期末按公允价值占基金资产净值比例大小排序的前五名权证投资明细</w:t>
      </w:r>
      <w:bookmarkEnd w:id="37"/>
    </w:p>
    <w:tbl>
      <w:tblPr>
        <w:tblW w:w="0" w:type="auto"/>
        <w:tblInd w:w="108" w:type="dxa"/>
        <w:tblLook w:val="04A0"/>
      </w:tblPr>
      <w:tblGrid>
        <w:gridCol w:w="222"/>
      </w:tblGrid>
      <w:tr w:rsidR="00BF10C3" w:rsidRPr="00D55988">
        <w:trPr>
          <w:divId w:val="1476140041"/>
        </w:trPr>
        <w:tc>
          <w:tcPr>
            <w:tcW w:w="0" w:type="auto"/>
            <w:vAlign w:val="center"/>
            <w:hideMark/>
          </w:tcPr>
          <w:p w:rsidR="00BF10C3" w:rsidRDefault="00BF10C3">
            <w:pPr>
              <w:widowControl/>
              <w:jc w:val="left"/>
              <w:rPr>
                <w:rFonts w:ascii="宋体" w:hAnsi="宋体" w:cs="宋体"/>
                <w:kern w:val="0"/>
                <w:sz w:val="24"/>
                <w:szCs w:val="24"/>
              </w:rPr>
            </w:pPr>
          </w:p>
        </w:tc>
      </w:tr>
    </w:tbl>
    <w:p w:rsidR="00BF10C3" w:rsidRDefault="00BF10C3">
      <w:pPr>
        <w:pStyle w:val="neirong"/>
        <w:divId w:val="1476140041"/>
        <w:rPr>
          <w:rFonts w:hint="eastAsia"/>
        </w:rPr>
      </w:pPr>
      <w:r>
        <w:rPr>
          <w:rFonts w:hint="eastAsia"/>
        </w:rPr>
        <w:t>本基金本报告期末未持有权证。</w:t>
      </w:r>
    </w:p>
    <w:p w:rsidR="00BF10C3" w:rsidRDefault="00BF10C3">
      <w:pPr>
        <w:widowControl/>
        <w:jc w:val="left"/>
        <w:divId w:val="1352490150"/>
        <w:rPr>
          <w:rFonts w:ascii="宋体" w:hAnsi="宋体" w:cs="宋体" w:hint="eastAsia"/>
          <w:kern w:val="0"/>
          <w:sz w:val="24"/>
          <w:szCs w:val="24"/>
        </w:rPr>
      </w:pPr>
    </w:p>
    <w:p w:rsidR="00BF10C3" w:rsidRDefault="00BF10C3">
      <w:pPr>
        <w:pStyle w:val="zhangjiep"/>
        <w:divId w:val="1476140041"/>
        <w:rPr>
          <w:rFonts w:hint="eastAsia"/>
        </w:rPr>
      </w:pPr>
      <w:bookmarkStart w:id="38" w:name="_Toc17722059"/>
      <w:r>
        <w:rPr>
          <w:rFonts w:hint="eastAsia"/>
          <w:b/>
          <w:bCs/>
        </w:rPr>
        <w:t>7.10 报告期末本基金投资的股指期货交易情况说明</w:t>
      </w:r>
      <w:bookmarkEnd w:id="38"/>
    </w:p>
    <w:tbl>
      <w:tblPr>
        <w:tblW w:w="0" w:type="auto"/>
        <w:tblInd w:w="108" w:type="dxa"/>
        <w:tblLook w:val="04A0"/>
      </w:tblPr>
      <w:tblGrid>
        <w:gridCol w:w="222"/>
      </w:tblGrid>
      <w:tr w:rsidR="00BF10C3" w:rsidRPr="00D55988">
        <w:trPr>
          <w:divId w:val="1476140041"/>
        </w:trPr>
        <w:tc>
          <w:tcPr>
            <w:tcW w:w="0" w:type="auto"/>
            <w:vAlign w:val="center"/>
            <w:hideMark/>
          </w:tcPr>
          <w:p w:rsidR="00BF10C3" w:rsidRDefault="00BF10C3">
            <w:pPr>
              <w:widowControl/>
              <w:jc w:val="left"/>
              <w:rPr>
                <w:rFonts w:ascii="宋体" w:hAnsi="宋体" w:cs="宋体"/>
                <w:kern w:val="0"/>
                <w:sz w:val="24"/>
                <w:szCs w:val="24"/>
              </w:rPr>
            </w:pPr>
          </w:p>
        </w:tc>
      </w:tr>
    </w:tbl>
    <w:p w:rsidR="00BF10C3" w:rsidRDefault="00BF10C3">
      <w:pPr>
        <w:pStyle w:val="neirong"/>
        <w:divId w:val="1476140041"/>
        <w:rPr>
          <w:rFonts w:hint="eastAsia"/>
        </w:rPr>
      </w:pPr>
      <w:r>
        <w:rPr>
          <w:rFonts w:hint="eastAsia"/>
        </w:rPr>
        <w:t>本基金本报告期末未持有股指期货。</w:t>
      </w:r>
    </w:p>
    <w:p w:rsidR="00BF10C3" w:rsidRDefault="00BF10C3">
      <w:pPr>
        <w:widowControl/>
        <w:jc w:val="left"/>
        <w:divId w:val="1997564498"/>
        <w:rPr>
          <w:rFonts w:ascii="宋体" w:hAnsi="宋体" w:cs="宋体" w:hint="eastAsia"/>
          <w:kern w:val="0"/>
          <w:sz w:val="24"/>
          <w:szCs w:val="24"/>
        </w:rPr>
      </w:pPr>
    </w:p>
    <w:p w:rsidR="00BF10C3" w:rsidRDefault="00BF10C3">
      <w:pPr>
        <w:pStyle w:val="zhangjiep"/>
        <w:divId w:val="1476140041"/>
        <w:rPr>
          <w:rFonts w:hint="eastAsia"/>
        </w:rPr>
      </w:pPr>
      <w:bookmarkStart w:id="39" w:name="_Toc17722060"/>
      <w:r>
        <w:rPr>
          <w:rFonts w:hint="eastAsia"/>
          <w:b/>
          <w:bCs/>
        </w:rPr>
        <w:t>7.11 报告期末本基金投资的国债期货交易情况说明</w:t>
      </w:r>
      <w:bookmarkEnd w:id="39"/>
    </w:p>
    <w:tbl>
      <w:tblPr>
        <w:tblW w:w="0" w:type="auto"/>
        <w:tblInd w:w="108" w:type="dxa"/>
        <w:tblLook w:val="04A0"/>
      </w:tblPr>
      <w:tblGrid>
        <w:gridCol w:w="222"/>
      </w:tblGrid>
      <w:tr w:rsidR="00BF10C3" w:rsidRPr="00D55988">
        <w:trPr>
          <w:divId w:val="1476140041"/>
        </w:trPr>
        <w:tc>
          <w:tcPr>
            <w:tcW w:w="0" w:type="auto"/>
            <w:vAlign w:val="center"/>
            <w:hideMark/>
          </w:tcPr>
          <w:p w:rsidR="00BF10C3" w:rsidRDefault="00BF10C3">
            <w:pPr>
              <w:widowControl/>
              <w:jc w:val="left"/>
              <w:rPr>
                <w:rFonts w:ascii="宋体" w:hAnsi="宋体" w:cs="宋体"/>
                <w:kern w:val="0"/>
                <w:sz w:val="24"/>
                <w:szCs w:val="24"/>
              </w:rPr>
            </w:pPr>
          </w:p>
        </w:tc>
      </w:tr>
    </w:tbl>
    <w:p w:rsidR="00BF10C3" w:rsidRDefault="00BF10C3">
      <w:pPr>
        <w:pStyle w:val="neirong"/>
        <w:divId w:val="1476140041"/>
        <w:rPr>
          <w:rFonts w:hint="eastAsia"/>
        </w:rPr>
      </w:pPr>
      <w:r>
        <w:rPr>
          <w:rFonts w:hint="eastAsia"/>
        </w:rPr>
        <w:t>本基金本报告期末未持有国债期货。</w:t>
      </w:r>
    </w:p>
    <w:p w:rsidR="00BF10C3" w:rsidRDefault="00BF10C3">
      <w:pPr>
        <w:widowControl/>
        <w:jc w:val="left"/>
        <w:divId w:val="9380765"/>
        <w:rPr>
          <w:rFonts w:ascii="宋体" w:hAnsi="宋体" w:cs="宋体" w:hint="eastAsia"/>
          <w:kern w:val="0"/>
          <w:sz w:val="24"/>
          <w:szCs w:val="24"/>
        </w:rPr>
      </w:pPr>
    </w:p>
    <w:p w:rsidR="00BF10C3" w:rsidRDefault="00BF10C3">
      <w:pPr>
        <w:pStyle w:val="zhangjiep"/>
        <w:divId w:val="1476140041"/>
        <w:rPr>
          <w:rFonts w:hint="eastAsia"/>
        </w:rPr>
      </w:pPr>
      <w:bookmarkStart w:id="40" w:name="_Toc17722061"/>
      <w:r>
        <w:rPr>
          <w:rFonts w:hint="eastAsia"/>
          <w:b/>
          <w:bCs/>
        </w:rPr>
        <w:t>7.12 投资组合报告附注</w:t>
      </w:r>
      <w:bookmarkEnd w:id="40"/>
    </w:p>
    <w:p w:rsidR="00BF10C3" w:rsidRDefault="00BF10C3">
      <w:pPr>
        <w:pStyle w:val="zhangjiep2"/>
        <w:divId w:val="1476140041"/>
        <w:rPr>
          <w:rFonts w:hint="eastAsia"/>
        </w:rPr>
      </w:pPr>
      <w:r>
        <w:rPr>
          <w:rFonts w:hint="eastAsia"/>
          <w:b/>
          <w:bCs/>
        </w:rPr>
        <w:t>7.12.1 报告期内，本基金投资决策程序符合相关法律法规的要求，未发现本基金投资的前十名证券的发行主体本期出现被监管部门立案调查，或在报告编制日前一年内受到公开谴责、处罚的情形。</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7.12.2 本基金投资前十名股票未超出基金合同规定备选库。</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7.12.3 期末其他各项资产构成</w:t>
      </w:r>
    </w:p>
    <w:p w:rsidR="00BF10C3" w:rsidRDefault="00BF10C3">
      <w:pPr>
        <w:pStyle w:val="biaogeright"/>
        <w:divId w:val="1148592827"/>
        <w:rPr>
          <w:rFonts w:hint="eastAsia"/>
        </w:rPr>
      </w:pPr>
      <w:r>
        <w:rPr>
          <w:rFonts w:hAnsi="Calibri" w:hint="eastAsia"/>
          <w:color w:val="000000"/>
        </w:rPr>
        <w:t>单位：人民币元</w:t>
      </w:r>
    </w:p>
    <w:tbl>
      <w:tblPr>
        <w:tblW w:w="0" w:type="auto"/>
        <w:tblInd w:w="108" w:type="dxa"/>
        <w:tblLook w:val="04A0"/>
      </w:tblPr>
      <w:tblGrid>
        <w:gridCol w:w="720"/>
        <w:gridCol w:w="3612"/>
        <w:gridCol w:w="4696"/>
      </w:tblGrid>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序号</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名称</w:t>
            </w:r>
          </w:p>
        </w:tc>
        <w:tc>
          <w:tcPr>
            <w:tcW w:w="469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金额</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1</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存出保证金</w:t>
            </w:r>
          </w:p>
        </w:tc>
        <w:tc>
          <w:tcPr>
            <w:tcW w:w="469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336,502.90</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2</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应收证券清算款</w:t>
            </w:r>
          </w:p>
        </w:tc>
        <w:tc>
          <w:tcPr>
            <w:tcW w:w="469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3,725,136.30</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3</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应收股利</w:t>
            </w:r>
          </w:p>
        </w:tc>
        <w:tc>
          <w:tcPr>
            <w:tcW w:w="469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4</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应收利息</w:t>
            </w:r>
          </w:p>
        </w:tc>
        <w:tc>
          <w:tcPr>
            <w:tcW w:w="469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6,118.59</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5</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应收申购款</w:t>
            </w:r>
          </w:p>
        </w:tc>
        <w:tc>
          <w:tcPr>
            <w:tcW w:w="469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127,730.61</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6</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其他应收款</w:t>
            </w:r>
          </w:p>
        </w:tc>
        <w:tc>
          <w:tcPr>
            <w:tcW w:w="469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7</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待摊费用</w:t>
            </w:r>
          </w:p>
        </w:tc>
        <w:tc>
          <w:tcPr>
            <w:tcW w:w="469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8</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其他</w:t>
            </w:r>
          </w:p>
        </w:tc>
        <w:tc>
          <w:tcPr>
            <w:tcW w:w="469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72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9</w:t>
            </w:r>
          </w:p>
        </w:tc>
        <w:tc>
          <w:tcPr>
            <w:tcW w:w="3612"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合计</w:t>
            </w:r>
          </w:p>
        </w:tc>
        <w:tc>
          <w:tcPr>
            <w:tcW w:w="4696"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4,195,488.40</w:t>
            </w:r>
          </w:p>
        </w:tc>
      </w:tr>
    </w:tbl>
    <w:p w:rsidR="00BF10C3" w:rsidRDefault="00BF10C3">
      <w:pPr>
        <w:widowControl/>
        <w:jc w:val="left"/>
        <w:divId w:val="1476140041"/>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7.12.4 期末持有的处于转股期的可转换债券明细</w:t>
      </w:r>
    </w:p>
    <w:tbl>
      <w:tblPr>
        <w:tblW w:w="0" w:type="auto"/>
        <w:tblInd w:w="108" w:type="dxa"/>
        <w:tblLook w:val="04A0"/>
      </w:tblPr>
      <w:tblGrid>
        <w:gridCol w:w="222"/>
      </w:tblGrid>
      <w:tr w:rsidR="00BF10C3" w:rsidRPr="00D55988">
        <w:trPr>
          <w:divId w:val="1476140041"/>
        </w:trPr>
        <w:tc>
          <w:tcPr>
            <w:tcW w:w="0" w:type="auto"/>
            <w:vAlign w:val="center"/>
            <w:hideMark/>
          </w:tcPr>
          <w:p w:rsidR="00BF10C3" w:rsidRDefault="00BF10C3">
            <w:pPr>
              <w:widowControl/>
              <w:jc w:val="left"/>
              <w:rPr>
                <w:rFonts w:ascii="宋体" w:hAnsi="宋体" w:cs="宋体"/>
                <w:kern w:val="0"/>
                <w:sz w:val="24"/>
                <w:szCs w:val="24"/>
              </w:rPr>
            </w:pPr>
          </w:p>
        </w:tc>
      </w:tr>
    </w:tbl>
    <w:p w:rsidR="00BF10C3" w:rsidRDefault="00BF10C3">
      <w:pPr>
        <w:pStyle w:val="neirong"/>
        <w:divId w:val="1476140041"/>
        <w:rPr>
          <w:rFonts w:hint="eastAsia"/>
        </w:rPr>
      </w:pPr>
      <w:r>
        <w:rPr>
          <w:rFonts w:hint="eastAsia"/>
        </w:rPr>
        <w:t>本基金本报告期末未持有处于转股期的可转换债券。</w:t>
      </w:r>
    </w:p>
    <w:p w:rsidR="00BF10C3" w:rsidRDefault="00BF10C3">
      <w:pPr>
        <w:widowControl/>
        <w:jc w:val="left"/>
        <w:divId w:val="2067680882"/>
        <w:rPr>
          <w:rFonts w:ascii="宋体" w:hAnsi="宋体" w:cs="宋体" w:hint="eastAsia"/>
          <w:kern w:val="0"/>
          <w:sz w:val="24"/>
          <w:szCs w:val="24"/>
        </w:rPr>
      </w:pPr>
    </w:p>
    <w:p w:rsidR="00BF10C3" w:rsidRDefault="00BF10C3">
      <w:pPr>
        <w:pStyle w:val="zhangjiep2"/>
        <w:divId w:val="1476140041"/>
        <w:rPr>
          <w:rFonts w:hint="eastAsia"/>
        </w:rPr>
      </w:pPr>
      <w:r>
        <w:rPr>
          <w:rFonts w:hint="eastAsia"/>
          <w:b/>
          <w:bCs/>
        </w:rPr>
        <w:t>7.12.5 期末前十名股票中存在流通受限情况的说明</w:t>
      </w:r>
    </w:p>
    <w:tbl>
      <w:tblPr>
        <w:tblW w:w="0" w:type="auto"/>
        <w:tblInd w:w="108" w:type="dxa"/>
        <w:tblLook w:val="04A0"/>
      </w:tblPr>
      <w:tblGrid>
        <w:gridCol w:w="222"/>
      </w:tblGrid>
      <w:tr w:rsidR="00BF10C3" w:rsidRPr="00D55988">
        <w:trPr>
          <w:divId w:val="1476140041"/>
        </w:trPr>
        <w:tc>
          <w:tcPr>
            <w:tcW w:w="0" w:type="auto"/>
            <w:vAlign w:val="center"/>
            <w:hideMark/>
          </w:tcPr>
          <w:p w:rsidR="00BF10C3" w:rsidRDefault="00BF10C3">
            <w:pPr>
              <w:widowControl/>
              <w:jc w:val="left"/>
              <w:rPr>
                <w:rFonts w:ascii="宋体" w:hAnsi="宋体" w:cs="宋体"/>
                <w:kern w:val="0"/>
                <w:sz w:val="24"/>
                <w:szCs w:val="24"/>
              </w:rPr>
            </w:pPr>
          </w:p>
        </w:tc>
      </w:tr>
    </w:tbl>
    <w:p w:rsidR="00BF10C3" w:rsidRDefault="00BF10C3">
      <w:pPr>
        <w:pStyle w:val="neirong"/>
        <w:divId w:val="1476140041"/>
        <w:rPr>
          <w:rFonts w:hint="eastAsia"/>
        </w:rPr>
      </w:pPr>
      <w:r>
        <w:rPr>
          <w:rFonts w:hint="eastAsia"/>
        </w:rPr>
        <w:t>本基金本报告期期末前十名股票中不存在流通受限的情况。</w:t>
      </w:r>
    </w:p>
    <w:p w:rsidR="00BF10C3" w:rsidRDefault="00BF10C3">
      <w:pPr>
        <w:widowControl/>
        <w:jc w:val="left"/>
        <w:divId w:val="249049273"/>
        <w:rPr>
          <w:rFonts w:ascii="宋体" w:hAnsi="宋体" w:cs="宋体" w:hint="eastAsia"/>
          <w:kern w:val="0"/>
          <w:sz w:val="24"/>
          <w:szCs w:val="24"/>
        </w:rPr>
      </w:pPr>
    </w:p>
    <w:p w:rsidR="00BF10C3" w:rsidRDefault="00BF10C3">
      <w:pPr>
        <w:pStyle w:val="zhangjiep2"/>
        <w:divId w:val="893583701"/>
        <w:rPr>
          <w:rFonts w:hint="eastAsia"/>
        </w:rPr>
      </w:pPr>
      <w:r>
        <w:rPr>
          <w:rFonts w:hint="eastAsia"/>
          <w:b/>
          <w:bCs/>
        </w:rPr>
        <w:t>7.12.6 投资组合报告附注的其他文字描述部分</w:t>
      </w:r>
    </w:p>
    <w:p w:rsidR="00BF10C3" w:rsidRDefault="00BF10C3">
      <w:pPr>
        <w:pStyle w:val="neirong"/>
        <w:spacing w:before="0"/>
        <w:ind w:left="0" w:firstLine="480"/>
        <w:divId w:val="893583701"/>
        <w:rPr>
          <w:rFonts w:hint="eastAsia"/>
        </w:rPr>
      </w:pPr>
      <w:r>
        <w:rPr>
          <w:rFonts w:hint="eastAsia"/>
        </w:rPr>
        <w:t>由于四舍五入的原因，分项之和与合计之间可能存在尾差。</w:t>
      </w:r>
    </w:p>
    <w:p w:rsidR="00BF10C3" w:rsidRDefault="00BF10C3">
      <w:pPr>
        <w:widowControl/>
        <w:jc w:val="left"/>
        <w:divId w:val="893583701"/>
        <w:rPr>
          <w:rFonts w:ascii="宋体" w:hAnsi="宋体" w:cs="宋体" w:hint="eastAsia"/>
          <w:kern w:val="0"/>
          <w:sz w:val="24"/>
          <w:szCs w:val="24"/>
        </w:rPr>
      </w:pPr>
    </w:p>
    <w:p w:rsidR="00BF10C3" w:rsidRDefault="00BF10C3">
      <w:pPr>
        <w:pStyle w:val="dazhangjie"/>
        <w:divId w:val="1476140041"/>
        <w:rPr>
          <w:rFonts w:hint="eastAsia"/>
        </w:rPr>
      </w:pPr>
      <w:bookmarkStart w:id="41" w:name="_Toc17722062"/>
      <w:r>
        <w:rPr>
          <w:rFonts w:hAnsi="Calibri" w:hint="eastAsia"/>
          <w:b/>
          <w:color w:val="000000"/>
        </w:rPr>
        <w:t>§8</w:t>
      </w:r>
      <w:r>
        <w:rPr>
          <w:rFonts w:hAnsi="Calibri" w:hint="eastAsia"/>
          <w:b/>
          <w:color w:val="000000"/>
        </w:rPr>
        <w:t> </w:t>
      </w:r>
      <w:r>
        <w:rPr>
          <w:rFonts w:hAnsi="Calibri" w:hint="eastAsia"/>
          <w:b/>
          <w:color w:val="000000"/>
        </w:rPr>
        <w:t xml:space="preserve"> 基金份额持有人信息</w:t>
      </w:r>
      <w:bookmarkEnd w:id="41"/>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42" w:name="_Toc17722063"/>
      <w:r>
        <w:rPr>
          <w:rFonts w:hint="eastAsia"/>
          <w:b/>
          <w:bCs/>
        </w:rPr>
        <w:t>8.1 期末基金份额持有人户数及持有人结构</w:t>
      </w:r>
      <w:bookmarkEnd w:id="42"/>
    </w:p>
    <w:p w:rsidR="00BF10C3" w:rsidRDefault="00BF10C3">
      <w:pPr>
        <w:pStyle w:val="biaogeright"/>
        <w:divId w:val="1476140041"/>
        <w:rPr>
          <w:rFonts w:hint="eastAsia"/>
        </w:rPr>
      </w:pPr>
      <w:r>
        <w:rPr>
          <w:rFonts w:hAnsi="Calibri" w:hint="eastAsia"/>
          <w:color w:val="000000"/>
        </w:rPr>
        <w:t>份额单位：份</w:t>
      </w:r>
    </w:p>
    <w:tbl>
      <w:tblPr>
        <w:tblW w:w="9045" w:type="dxa"/>
        <w:jc w:val="center"/>
        <w:tblLook w:val="04A0"/>
      </w:tblPr>
      <w:tblGrid>
        <w:gridCol w:w="904"/>
        <w:gridCol w:w="2261"/>
        <w:gridCol w:w="1809"/>
        <w:gridCol w:w="1131"/>
        <w:gridCol w:w="1809"/>
        <w:gridCol w:w="1131"/>
      </w:tblGrid>
      <w:tr w:rsidR="00BF10C3" w:rsidRPr="00D55988">
        <w:trPr>
          <w:divId w:val="1476140041"/>
          <w:jc w:val="center"/>
        </w:trPr>
        <w:tc>
          <w:tcPr>
            <w:tcW w:w="40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持有人户数(户)</w:t>
            </w:r>
          </w:p>
        </w:tc>
        <w:tc>
          <w:tcPr>
            <w:tcW w:w="100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户均持有的基金份额</w:t>
            </w:r>
          </w:p>
        </w:tc>
        <w:tc>
          <w:tcPr>
            <w:tcW w:w="0" w:type="auto"/>
            <w:gridSpan w:val="4"/>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持有人结构</w:t>
            </w:r>
          </w:p>
        </w:tc>
      </w:tr>
      <w:tr w:rsidR="00BF10C3" w:rsidRPr="00D55988">
        <w:trPr>
          <w:divId w:val="147614004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1300" w:type="pct"/>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机构投资者</w:t>
            </w:r>
          </w:p>
        </w:tc>
        <w:tc>
          <w:tcPr>
            <w:tcW w:w="1300" w:type="pct"/>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个人投资者</w:t>
            </w:r>
          </w:p>
        </w:tc>
      </w:tr>
      <w:tr w:rsidR="00BF10C3" w:rsidRPr="00D55988">
        <w:trPr>
          <w:divId w:val="147614004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8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持有份额</w:t>
            </w:r>
          </w:p>
        </w:tc>
        <w:tc>
          <w:tcPr>
            <w:tcW w:w="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占总份额比例</w:t>
            </w:r>
          </w:p>
        </w:tc>
        <w:tc>
          <w:tcPr>
            <w:tcW w:w="8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持有份额</w:t>
            </w:r>
          </w:p>
        </w:tc>
        <w:tc>
          <w:tcPr>
            <w:tcW w:w="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占总份额比例</w:t>
            </w:r>
          </w:p>
        </w:tc>
      </w:tr>
      <w:tr w:rsidR="00BF10C3" w:rsidRPr="00D55988">
        <w:trPr>
          <w:divId w:val="1476140041"/>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24,002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8,086.67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7,738,565.13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3.99%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186,357,643.00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96.01%</w:t>
            </w:r>
          </w:p>
        </w:tc>
      </w:tr>
    </w:tbl>
    <w:p w:rsidR="00BF10C3" w:rsidRDefault="00BF10C3">
      <w:pPr>
        <w:widowControl/>
        <w:jc w:val="left"/>
        <w:divId w:val="885945121"/>
        <w:rPr>
          <w:rFonts w:ascii="宋体" w:hAnsi="宋体" w:cs="宋体" w:hint="eastAsia"/>
          <w:kern w:val="0"/>
          <w:sz w:val="24"/>
          <w:szCs w:val="24"/>
        </w:rPr>
      </w:pPr>
    </w:p>
    <w:p w:rsidR="00BF10C3" w:rsidRDefault="00BF10C3">
      <w:pPr>
        <w:pStyle w:val="zhangjiep"/>
        <w:divId w:val="1499347260"/>
        <w:rPr>
          <w:rFonts w:hint="eastAsia"/>
        </w:rPr>
      </w:pPr>
      <w:bookmarkStart w:id="43" w:name="_Toc17722064"/>
      <w:r>
        <w:rPr>
          <w:rFonts w:hAnsi="Calibri" w:hint="eastAsia"/>
          <w:b/>
          <w:color w:val="000000"/>
        </w:rPr>
        <w:t>8.2 期末基金管理人的从业人员持有本基金的情况</w:t>
      </w:r>
      <w:bookmarkEnd w:id="43"/>
    </w:p>
    <w:tbl>
      <w:tblPr>
        <w:tblW w:w="9045" w:type="dxa"/>
        <w:jc w:val="center"/>
        <w:tblLook w:val="04A0"/>
      </w:tblPr>
      <w:tblGrid>
        <w:gridCol w:w="4116"/>
        <w:gridCol w:w="2336"/>
        <w:gridCol w:w="2593"/>
      </w:tblGrid>
      <w:tr w:rsidR="00BF10C3" w:rsidRPr="00D55988">
        <w:trPr>
          <w:divId w:val="1476140041"/>
          <w:jc w:val="center"/>
        </w:trPr>
        <w:tc>
          <w:tcPr>
            <w:tcW w:w="2175"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项目</w:t>
            </w:r>
          </w:p>
        </w:tc>
        <w:tc>
          <w:tcPr>
            <w:tcW w:w="231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持有份额总数（份）</w:t>
            </w:r>
          </w:p>
        </w:tc>
        <w:tc>
          <w:tcPr>
            <w:tcW w:w="2565"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占基金总份额比例</w:t>
            </w:r>
          </w:p>
        </w:tc>
      </w:tr>
      <w:tr w:rsidR="00BF10C3" w:rsidRPr="00D55988">
        <w:trPr>
          <w:divId w:val="1476140041"/>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基金管理人所有从业人员持有本基金</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258,836.94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0.13%</w:t>
            </w:r>
          </w:p>
        </w:tc>
      </w:tr>
    </w:tbl>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44" w:name="_Toc17722065"/>
      <w:r>
        <w:rPr>
          <w:rFonts w:hint="eastAsia"/>
          <w:b/>
          <w:bCs/>
        </w:rPr>
        <w:t>8.3 期末基金管理人的从业人员持有本开放式基金份额总量区间情况</w:t>
      </w:r>
      <w:bookmarkEnd w:id="44"/>
    </w:p>
    <w:tbl>
      <w:tblPr>
        <w:tblW w:w="9045" w:type="dxa"/>
        <w:jc w:val="center"/>
        <w:tblLook w:val="04A0"/>
      </w:tblPr>
      <w:tblGrid>
        <w:gridCol w:w="4522"/>
        <w:gridCol w:w="4523"/>
      </w:tblGrid>
      <w:tr w:rsidR="00BF10C3" w:rsidRPr="00D55988">
        <w:trPr>
          <w:divId w:val="1476140041"/>
          <w:jc w:val="center"/>
        </w:trPr>
        <w:tc>
          <w:tcPr>
            <w:tcW w:w="2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项目</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持有基金份额总量的数量区间（万份）</w:t>
            </w:r>
          </w:p>
        </w:tc>
      </w:tr>
      <w:tr w:rsidR="00BF10C3" w:rsidRPr="00D55988">
        <w:trPr>
          <w:divId w:val="1476140041"/>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本公司高级管理人员、基金投资和研究部门负责人持有本开放式基金</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0</w:t>
            </w:r>
          </w:p>
        </w:tc>
      </w:tr>
      <w:tr w:rsidR="00BF10C3" w:rsidRPr="00D55988">
        <w:trPr>
          <w:divId w:val="1476140041"/>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本基金基金经理持有本开放式基金</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10~50</w:t>
            </w:r>
          </w:p>
        </w:tc>
      </w:tr>
    </w:tbl>
    <w:p w:rsidR="00BF10C3" w:rsidRDefault="00BF10C3">
      <w:pPr>
        <w:pStyle w:val="neirong"/>
        <w:divId w:val="1476140041"/>
        <w:rPr>
          <w:rFonts w:hint="eastAsia"/>
        </w:rPr>
      </w:pPr>
      <w:r>
        <w:rPr>
          <w:rFonts w:hint="eastAsia"/>
        </w:rPr>
        <w:t>1、基金管理人高级管理人员、基金投资和研究部门负责人持有本基金的份额总量数量区间为0。</w:t>
      </w:r>
      <w:r>
        <w:rPr>
          <w:rFonts w:hint="eastAsia"/>
        </w:rPr>
        <w:br/>
        <w:t>2、本基金的基金经理持有本基金的份额总量数量区间为10万份至50万份（含）。</w:t>
      </w:r>
    </w:p>
    <w:p w:rsidR="00BF10C3" w:rsidRDefault="00BF10C3">
      <w:pPr>
        <w:widowControl/>
        <w:jc w:val="left"/>
        <w:divId w:val="1545479744"/>
        <w:rPr>
          <w:rFonts w:ascii="宋体" w:hAnsi="宋体" w:cs="宋体" w:hint="eastAsia"/>
          <w:kern w:val="0"/>
          <w:sz w:val="24"/>
          <w:szCs w:val="24"/>
        </w:rPr>
      </w:pPr>
    </w:p>
    <w:p w:rsidR="00BF10C3" w:rsidRDefault="00BF10C3">
      <w:pPr>
        <w:pStyle w:val="dazhangjie"/>
        <w:divId w:val="1476140041"/>
        <w:rPr>
          <w:rFonts w:hint="eastAsia"/>
        </w:rPr>
      </w:pPr>
      <w:bookmarkStart w:id="45" w:name="_Toc17722066"/>
      <w:r>
        <w:rPr>
          <w:rFonts w:hAnsi="Calibri" w:hint="eastAsia"/>
          <w:b/>
          <w:color w:val="000000"/>
        </w:rPr>
        <w:t>§9</w:t>
      </w:r>
      <w:r>
        <w:rPr>
          <w:rFonts w:hAnsi="Calibri" w:hint="eastAsia"/>
          <w:b/>
          <w:color w:val="000000"/>
        </w:rPr>
        <w:t> </w:t>
      </w:r>
      <w:r>
        <w:rPr>
          <w:rFonts w:hAnsi="Calibri" w:hint="eastAsia"/>
          <w:b/>
          <w:color w:val="000000"/>
        </w:rPr>
        <w:t xml:space="preserve"> 开放式基金份额变动</w:t>
      </w:r>
      <w:bookmarkEnd w:id="45"/>
    </w:p>
    <w:p w:rsidR="00BF10C3" w:rsidRDefault="00BF10C3">
      <w:pPr>
        <w:widowControl/>
        <w:jc w:val="left"/>
        <w:divId w:val="1476140041"/>
        <w:rPr>
          <w:rFonts w:ascii="宋体" w:hAnsi="宋体" w:cs="宋体" w:hint="eastAsia"/>
          <w:kern w:val="0"/>
          <w:sz w:val="24"/>
          <w:szCs w:val="24"/>
        </w:rPr>
      </w:pPr>
    </w:p>
    <w:p w:rsidR="00BF10C3" w:rsidRDefault="00BF10C3">
      <w:pPr>
        <w:widowControl/>
        <w:autoSpaceDE w:val="0"/>
        <w:autoSpaceDN w:val="0"/>
        <w:adjustRightInd w:val="0"/>
        <w:spacing w:line="288" w:lineRule="auto"/>
        <w:jc w:val="right"/>
        <w:divId w:val="1974676444"/>
        <w:rPr>
          <w:rFonts w:ascii="宋体" w:hAnsi="宋体" w:cs="宋体" w:hint="eastAsia"/>
          <w:kern w:val="0"/>
          <w:sz w:val="24"/>
          <w:szCs w:val="24"/>
        </w:rPr>
      </w:pPr>
      <w:r>
        <w:rPr>
          <w:rFonts w:ascii="宋体" w:cs="宋体" w:hint="eastAsia"/>
          <w:color w:val="000000"/>
          <w:kern w:val="0"/>
          <w:sz w:val="24"/>
          <w:szCs w:val="24"/>
        </w:rPr>
        <w:t>单位：份</w:t>
      </w:r>
    </w:p>
    <w:tbl>
      <w:tblPr>
        <w:tblW w:w="0" w:type="auto"/>
        <w:tblInd w:w="108" w:type="dxa"/>
        <w:tblLook w:val="04A0"/>
      </w:tblPr>
      <w:tblGrid>
        <w:gridCol w:w="6138"/>
        <w:gridCol w:w="2890"/>
      </w:tblGrid>
      <w:tr w:rsidR="00BF10C3" w:rsidRPr="00D55988">
        <w:trPr>
          <w:divId w:val="1476140041"/>
        </w:trPr>
        <w:tc>
          <w:tcPr>
            <w:tcW w:w="6138"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基金合同生效日(2014年09月11日)基金份额总额</w:t>
            </w:r>
          </w:p>
        </w:tc>
        <w:tc>
          <w:tcPr>
            <w:tcW w:w="289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249,422,328.18</w:t>
            </w:r>
          </w:p>
        </w:tc>
      </w:tr>
      <w:tr w:rsidR="00BF10C3" w:rsidRPr="00D55988">
        <w:trPr>
          <w:divId w:val="1476140041"/>
        </w:trPr>
        <w:tc>
          <w:tcPr>
            <w:tcW w:w="6138"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本报告期期初基金份额总额</w:t>
            </w:r>
          </w:p>
        </w:tc>
        <w:tc>
          <w:tcPr>
            <w:tcW w:w="289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145,676,762.81</w:t>
            </w:r>
          </w:p>
        </w:tc>
      </w:tr>
      <w:tr w:rsidR="00BF10C3" w:rsidRPr="00D55988">
        <w:trPr>
          <w:divId w:val="1476140041"/>
        </w:trPr>
        <w:tc>
          <w:tcPr>
            <w:tcW w:w="6138"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本报告期基金总申购份额</w:t>
            </w:r>
          </w:p>
        </w:tc>
        <w:tc>
          <w:tcPr>
            <w:tcW w:w="289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232,710,362.50</w:t>
            </w:r>
          </w:p>
        </w:tc>
      </w:tr>
      <w:tr w:rsidR="00BF10C3" w:rsidRPr="00D55988">
        <w:trPr>
          <w:divId w:val="1476140041"/>
        </w:trPr>
        <w:tc>
          <w:tcPr>
            <w:tcW w:w="6138"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减：本报告期基金总赎回份额</w:t>
            </w:r>
          </w:p>
        </w:tc>
        <w:tc>
          <w:tcPr>
            <w:tcW w:w="289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184,290,917.18</w:t>
            </w:r>
          </w:p>
        </w:tc>
      </w:tr>
      <w:tr w:rsidR="00BF10C3" w:rsidRPr="00D55988">
        <w:trPr>
          <w:divId w:val="1476140041"/>
        </w:trPr>
        <w:tc>
          <w:tcPr>
            <w:tcW w:w="6138"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本报告期基金拆分变动份额</w:t>
            </w:r>
          </w:p>
        </w:tc>
        <w:tc>
          <w:tcPr>
            <w:tcW w:w="289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w:t>
            </w:r>
          </w:p>
        </w:tc>
      </w:tr>
      <w:tr w:rsidR="00BF10C3" w:rsidRPr="00D55988">
        <w:trPr>
          <w:divId w:val="1476140041"/>
        </w:trPr>
        <w:tc>
          <w:tcPr>
            <w:tcW w:w="6138"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int="eastAsia"/>
              </w:rPr>
              <w:t>本报告期期末基金份额总额</w:t>
            </w:r>
          </w:p>
        </w:tc>
        <w:tc>
          <w:tcPr>
            <w:tcW w:w="289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right"/>
              <w:wordWrap w:val="0"/>
            </w:pPr>
            <w:r>
              <w:rPr>
                <w:rFonts w:hint="eastAsia"/>
              </w:rPr>
              <w:t>194,096,208.13</w:t>
            </w:r>
          </w:p>
        </w:tc>
      </w:tr>
    </w:tbl>
    <w:p w:rsidR="00BF10C3" w:rsidRDefault="00BF10C3">
      <w:pPr>
        <w:widowControl/>
        <w:jc w:val="left"/>
        <w:divId w:val="1476140041"/>
        <w:rPr>
          <w:rFonts w:ascii="宋体" w:hAnsi="宋体" w:cs="宋体" w:hint="eastAsia"/>
          <w:kern w:val="0"/>
          <w:sz w:val="24"/>
          <w:szCs w:val="24"/>
        </w:rPr>
      </w:pPr>
    </w:p>
    <w:p w:rsidR="00BF10C3" w:rsidRDefault="00BF10C3">
      <w:pPr>
        <w:pStyle w:val="dazhangjie"/>
        <w:divId w:val="1476140041"/>
        <w:rPr>
          <w:rFonts w:hint="eastAsia"/>
        </w:rPr>
      </w:pPr>
      <w:bookmarkStart w:id="46" w:name="_Toc17722067"/>
      <w:r>
        <w:rPr>
          <w:rFonts w:hAnsi="Calibri" w:hint="eastAsia"/>
          <w:b/>
          <w:color w:val="000000"/>
        </w:rPr>
        <w:t>§10</w:t>
      </w:r>
      <w:r>
        <w:rPr>
          <w:rFonts w:hAnsi="Calibri" w:hint="eastAsia"/>
          <w:b/>
          <w:color w:val="000000"/>
        </w:rPr>
        <w:t> </w:t>
      </w:r>
      <w:r>
        <w:rPr>
          <w:rFonts w:hAnsi="Calibri" w:hint="eastAsia"/>
          <w:b/>
          <w:color w:val="000000"/>
        </w:rPr>
        <w:t xml:space="preserve"> 重大事件揭示</w:t>
      </w:r>
      <w:bookmarkEnd w:id="46"/>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47" w:name="_Toc17722068"/>
      <w:r>
        <w:rPr>
          <w:rFonts w:hint="eastAsia"/>
          <w:b/>
          <w:bCs/>
        </w:rPr>
        <w:t>10.1 基金份额持有人大会决议</w:t>
      </w:r>
      <w:bookmarkEnd w:id="47"/>
    </w:p>
    <w:p w:rsidR="00BF10C3" w:rsidRDefault="00BF10C3">
      <w:pPr>
        <w:pStyle w:val="neirong"/>
        <w:spacing w:before="0"/>
        <w:ind w:left="0" w:firstLine="480"/>
        <w:divId w:val="1476140041"/>
        <w:rPr>
          <w:rFonts w:hint="eastAsia"/>
        </w:rPr>
      </w:pPr>
      <w:r>
        <w:rPr>
          <w:rFonts w:hint="eastAsia"/>
        </w:rPr>
        <w:t>本报告期内，本基金未召开基金份额持有人大会。</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48" w:name="_Toc17722069"/>
      <w:r>
        <w:rPr>
          <w:rFonts w:hint="eastAsia"/>
          <w:b/>
          <w:bCs/>
        </w:rPr>
        <w:t>10.2 基金管理人、基金托管人的专门基金托管部门的重大人事变动</w:t>
      </w:r>
      <w:bookmarkEnd w:id="48"/>
    </w:p>
    <w:p w:rsidR="00BF10C3" w:rsidRDefault="00BF10C3">
      <w:pPr>
        <w:pStyle w:val="neirong"/>
        <w:spacing w:before="0"/>
        <w:ind w:left="0" w:firstLine="480"/>
        <w:divId w:val="1476140041"/>
        <w:rPr>
          <w:rFonts w:hint="eastAsia"/>
        </w:rPr>
      </w:pPr>
      <w:r>
        <w:rPr>
          <w:rFonts w:hint="eastAsia"/>
        </w:rPr>
        <w:t>本报告期内，本基金管理人的重大人事变动：</w:t>
      </w:r>
    </w:p>
    <w:p w:rsidR="00BF10C3" w:rsidRDefault="00BF10C3">
      <w:pPr>
        <w:pStyle w:val="neirong"/>
        <w:spacing w:before="0"/>
        <w:ind w:left="0" w:firstLine="480"/>
        <w:divId w:val="1476140041"/>
        <w:rPr>
          <w:rFonts w:hint="eastAsia"/>
        </w:rPr>
      </w:pPr>
      <w:r>
        <w:rPr>
          <w:rFonts w:hint="eastAsia"/>
        </w:rPr>
        <w:t>2019年1月4日,公司股东会解除靳向东同志公司董事会职务，同时聘任杜文毅同志担任公司股东董事；解除杜文毅同志公司监事会职务，同时聘任孙玮同志担任公司股东监事。</w:t>
      </w:r>
    </w:p>
    <w:p w:rsidR="00BF10C3" w:rsidRDefault="00BF10C3">
      <w:pPr>
        <w:pStyle w:val="neirong"/>
        <w:spacing w:before="0"/>
        <w:ind w:left="0" w:firstLine="480"/>
        <w:divId w:val="1476140041"/>
        <w:rPr>
          <w:rFonts w:hint="eastAsia"/>
        </w:rPr>
      </w:pPr>
      <w:r>
        <w:rPr>
          <w:rFonts w:hint="eastAsia"/>
        </w:rPr>
        <w:t>2019年5月29日，公司召开全体职工大会免去孙爱民先生职工监事职务。</w:t>
      </w:r>
    </w:p>
    <w:p w:rsidR="00BF10C3" w:rsidRDefault="00BF10C3">
      <w:pPr>
        <w:pStyle w:val="neirong"/>
        <w:spacing w:before="0"/>
        <w:ind w:left="0" w:firstLine="480"/>
        <w:divId w:val="1476140041"/>
        <w:rPr>
          <w:rFonts w:hint="eastAsia"/>
        </w:rPr>
      </w:pPr>
      <w:r>
        <w:rPr>
          <w:rFonts w:hint="eastAsia"/>
        </w:rPr>
        <w:t>2019年5月30日，公司发布《富安达基金管理有限公司关于高级管理人员变更的公告》，聘任孙爱民先生担任公司首席信息官。</w:t>
      </w:r>
    </w:p>
    <w:p w:rsidR="00BF10C3" w:rsidRDefault="00BF10C3">
      <w:pPr>
        <w:pStyle w:val="neirong"/>
        <w:spacing w:before="0"/>
        <w:ind w:left="0" w:firstLine="480"/>
        <w:divId w:val="1476140041"/>
        <w:rPr>
          <w:rFonts w:hint="eastAsia"/>
        </w:rPr>
      </w:pPr>
      <w:r>
        <w:rPr>
          <w:rFonts w:hint="eastAsia"/>
        </w:rPr>
        <w:t>上述变动中的高级管理人员变更事项已按规定报中国证监会上海监管局及中国基金业协会备案。</w:t>
      </w:r>
    </w:p>
    <w:p w:rsidR="00BF10C3" w:rsidRDefault="00BF10C3">
      <w:pPr>
        <w:pStyle w:val="neirong"/>
        <w:spacing w:before="0"/>
        <w:ind w:left="0" w:firstLine="480"/>
        <w:divId w:val="1476140041"/>
        <w:rPr>
          <w:rFonts w:hint="eastAsia"/>
        </w:rPr>
      </w:pPr>
      <w:r>
        <w:rPr>
          <w:rFonts w:hint="eastAsia"/>
        </w:rPr>
        <w:t>本报告期内基金托管人的专门基金托管部门无重大人事变动。</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49" w:name="_Toc17722070"/>
      <w:r>
        <w:rPr>
          <w:rFonts w:hint="eastAsia"/>
          <w:b/>
          <w:bCs/>
        </w:rPr>
        <w:t>10.3 涉及基金管理人、基金财产、基金托管业务的诉讼</w:t>
      </w:r>
      <w:bookmarkEnd w:id="49"/>
    </w:p>
    <w:p w:rsidR="00BF10C3" w:rsidRDefault="00BF10C3">
      <w:pPr>
        <w:pStyle w:val="neirong"/>
        <w:spacing w:before="0"/>
        <w:ind w:left="0" w:firstLine="480"/>
        <w:divId w:val="1476140041"/>
        <w:rPr>
          <w:rFonts w:hint="eastAsia"/>
        </w:rPr>
      </w:pPr>
      <w:r>
        <w:rPr>
          <w:rFonts w:hint="eastAsia"/>
        </w:rPr>
        <w:t>本报告期内无涉及基金管理人、基金财产的诉讼事项。</w:t>
      </w:r>
    </w:p>
    <w:p w:rsidR="00BF10C3" w:rsidRDefault="00BF10C3">
      <w:pPr>
        <w:pStyle w:val="neirong"/>
        <w:spacing w:before="0"/>
        <w:ind w:left="0" w:firstLine="480"/>
        <w:divId w:val="1476140041"/>
        <w:rPr>
          <w:rFonts w:hint="eastAsia"/>
        </w:rPr>
      </w:pPr>
      <w:r>
        <w:rPr>
          <w:rFonts w:hint="eastAsia"/>
        </w:rPr>
        <w:t>本报告期内无涉及基金托管业务的诉讼事项。</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50" w:name="_Toc17722071"/>
      <w:r>
        <w:rPr>
          <w:rFonts w:hint="eastAsia"/>
          <w:b/>
          <w:bCs/>
        </w:rPr>
        <w:t>10.4 基金投资策略的改变</w:t>
      </w:r>
      <w:bookmarkEnd w:id="50"/>
    </w:p>
    <w:p w:rsidR="00BF10C3" w:rsidRDefault="00BF10C3">
      <w:pPr>
        <w:pStyle w:val="neirong"/>
        <w:spacing w:before="0"/>
        <w:ind w:left="0" w:firstLine="480"/>
        <w:divId w:val="1476140041"/>
        <w:rPr>
          <w:rFonts w:hint="eastAsia"/>
        </w:rPr>
      </w:pPr>
      <w:r>
        <w:rPr>
          <w:rFonts w:hint="eastAsia"/>
        </w:rPr>
        <w:t>本基金本报告期投资策略未发生改变。</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51" w:name="_Toc17722072"/>
      <w:r>
        <w:rPr>
          <w:rFonts w:hint="eastAsia"/>
          <w:b/>
          <w:bCs/>
        </w:rPr>
        <w:t>10.5 为基金进行审计的会计师事务所情况</w:t>
      </w:r>
      <w:bookmarkEnd w:id="51"/>
    </w:p>
    <w:p w:rsidR="00BF10C3" w:rsidRDefault="00BF10C3">
      <w:pPr>
        <w:pStyle w:val="neirong"/>
        <w:spacing w:before="0"/>
        <w:ind w:left="0" w:firstLine="480"/>
        <w:divId w:val="1476140041"/>
        <w:rPr>
          <w:rFonts w:hint="eastAsia"/>
        </w:rPr>
      </w:pPr>
      <w:r>
        <w:rPr>
          <w:rFonts w:hint="eastAsia"/>
        </w:rPr>
        <w:t>本报告期内，为本基金进行审计的机构未发生变化，为普华永道中天会计师事务所（特殊普通合伙）。</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52" w:name="_Toc17722073"/>
      <w:r>
        <w:rPr>
          <w:rFonts w:hint="eastAsia"/>
          <w:b/>
          <w:bCs/>
        </w:rPr>
        <w:t>10.6 管理人、托管人及其高级管理人员受稽查或处罚等情况</w:t>
      </w:r>
      <w:bookmarkEnd w:id="52"/>
    </w:p>
    <w:p w:rsidR="00BF10C3" w:rsidRDefault="00BF10C3">
      <w:pPr>
        <w:pStyle w:val="neirong"/>
        <w:spacing w:before="0"/>
        <w:ind w:left="0" w:firstLine="480"/>
        <w:divId w:val="1476140041"/>
        <w:rPr>
          <w:rFonts w:hint="eastAsia"/>
        </w:rPr>
      </w:pPr>
      <w:r>
        <w:rPr>
          <w:rFonts w:hint="eastAsia"/>
        </w:rPr>
        <w:t>本报告期内本基金管理人及其相关高级管理人员未受到任何稽查或处罚。</w:t>
      </w:r>
    </w:p>
    <w:p w:rsidR="00BF10C3" w:rsidRDefault="00BF10C3">
      <w:pPr>
        <w:pStyle w:val="neirong"/>
        <w:spacing w:before="0"/>
        <w:ind w:left="0" w:firstLine="480"/>
        <w:divId w:val="1476140041"/>
        <w:rPr>
          <w:rFonts w:hint="eastAsia"/>
        </w:rPr>
      </w:pPr>
      <w:r>
        <w:rPr>
          <w:rFonts w:hint="eastAsia"/>
        </w:rPr>
        <w:t>本报告期内托管人的托管业务部门及其相关高级管理人员未受到任何稽查或处罚。</w:t>
      </w:r>
    </w:p>
    <w:p w:rsidR="00BF10C3" w:rsidRDefault="00BF10C3">
      <w:pPr>
        <w:widowControl/>
        <w:jc w:val="left"/>
        <w:divId w:val="1476140041"/>
        <w:rPr>
          <w:rFonts w:ascii="宋体" w:hAnsi="宋体" w:cs="宋体" w:hint="eastAsia"/>
          <w:kern w:val="0"/>
          <w:sz w:val="24"/>
          <w:szCs w:val="24"/>
        </w:rPr>
      </w:pPr>
    </w:p>
    <w:p w:rsidR="00BF10C3" w:rsidRDefault="00BF10C3">
      <w:pPr>
        <w:pStyle w:val="zhangjiep"/>
        <w:divId w:val="1476140041"/>
        <w:rPr>
          <w:rFonts w:hint="eastAsia"/>
        </w:rPr>
      </w:pPr>
      <w:bookmarkStart w:id="53" w:name="_Toc17722074"/>
      <w:r>
        <w:rPr>
          <w:rFonts w:hint="eastAsia"/>
          <w:b/>
          <w:bCs/>
        </w:rPr>
        <w:t>10.7 基金租用证券公司交易单元的有关情况</w:t>
      </w:r>
      <w:bookmarkEnd w:id="53"/>
    </w:p>
    <w:p w:rsidR="00BF10C3" w:rsidRDefault="00BF10C3">
      <w:pPr>
        <w:pStyle w:val="zhangjiep2"/>
        <w:divId w:val="583950264"/>
        <w:rPr>
          <w:rFonts w:hint="eastAsia"/>
        </w:rPr>
      </w:pPr>
      <w:r>
        <w:rPr>
          <w:rFonts w:hint="eastAsia"/>
          <w:b/>
          <w:bCs/>
        </w:rPr>
        <w:t>10.7.1 基金租用证券公司交易单元进行股票投资及佣金支付情况</w:t>
      </w:r>
    </w:p>
    <w:p w:rsidR="00BF10C3" w:rsidRDefault="00BF10C3">
      <w:pPr>
        <w:widowControl/>
        <w:jc w:val="right"/>
        <w:divId w:val="1476140041"/>
        <w:rPr>
          <w:rFonts w:ascii="宋体" w:hAnsi="宋体" w:cs="宋体" w:hint="eastAsia"/>
          <w:kern w:val="0"/>
          <w:sz w:val="24"/>
          <w:szCs w:val="24"/>
        </w:rPr>
      </w:pPr>
      <w:r>
        <w:rPr>
          <w:rFonts w:ascii="宋体" w:hAnsi="宋体" w:cs="宋体" w:hint="eastAsia"/>
          <w:kern w:val="0"/>
          <w:sz w:val="24"/>
          <w:szCs w:val="24"/>
        </w:rPr>
        <w:t>金额单位：人民币元</w:t>
      </w:r>
    </w:p>
    <w:tbl>
      <w:tblPr>
        <w:tblW w:w="9045" w:type="dxa"/>
        <w:tblInd w:w="108" w:type="dxa"/>
        <w:tblLook w:val="04A0"/>
      </w:tblPr>
      <w:tblGrid>
        <w:gridCol w:w="871"/>
        <w:gridCol w:w="471"/>
        <w:gridCol w:w="2499"/>
        <w:gridCol w:w="1052"/>
        <w:gridCol w:w="2500"/>
        <w:gridCol w:w="1052"/>
        <w:gridCol w:w="600"/>
      </w:tblGrid>
      <w:tr w:rsidR="00BF10C3" w:rsidRPr="00D55988">
        <w:trPr>
          <w:divId w:val="1476140041"/>
        </w:trPr>
        <w:tc>
          <w:tcPr>
            <w:tcW w:w="50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券商名称</w:t>
            </w:r>
          </w:p>
        </w:tc>
        <w:tc>
          <w:tcPr>
            <w:tcW w:w="15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交易单元数量</w:t>
            </w:r>
          </w:p>
        </w:tc>
        <w:tc>
          <w:tcPr>
            <w:tcW w:w="2000" w:type="pct"/>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股票交易</w:t>
            </w:r>
          </w:p>
        </w:tc>
        <w:tc>
          <w:tcPr>
            <w:tcW w:w="2000" w:type="pct"/>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应支付该券商的佣金</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备注</w:t>
            </w:r>
          </w:p>
        </w:tc>
      </w:tr>
      <w:tr w:rsidR="00BF10C3" w:rsidRPr="00D55988">
        <w:trPr>
          <w:divId w:val="14761400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c>
          <w:tcPr>
            <w:tcW w:w="14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成交金额</w:t>
            </w:r>
          </w:p>
        </w:tc>
        <w:tc>
          <w:tcPr>
            <w:tcW w:w="6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占当期股票成交总额的比例</w:t>
            </w:r>
          </w:p>
        </w:tc>
        <w:tc>
          <w:tcPr>
            <w:tcW w:w="14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佣金</w:t>
            </w:r>
          </w:p>
        </w:tc>
        <w:tc>
          <w:tcPr>
            <w:tcW w:w="6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center"/>
              <w:wordWrap w:val="0"/>
            </w:pPr>
            <w:r>
              <w:rPr>
                <w:rFonts w:hint="eastAsia"/>
              </w:rPr>
              <w:t>占当期佣金总量的比例</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24"/>
                <w:szCs w:val="24"/>
              </w:rPr>
            </w:pP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西南证券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浙商证券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海通证券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华创证券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西部证券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27,884,741.88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20,392.04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安信证券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新时代证券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东北证券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49,408,979.18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36,133.09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光大证券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146,121,955.96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7.42%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136,083.21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8.20%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中金公司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银河证券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151,901,682.75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7.71%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141,465.66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8.52%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信达证券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国泰君安</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中泰证券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62,799,896.62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58,485.85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招商证券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中信证券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广发证券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242,489,724.70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12.31%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225,831.37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13.60%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中信建投</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132,375,159.26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96,805.21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5.83%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申万宏源</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中投证券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华龙证券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南京证券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10,258,261.53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9,553.67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0.58%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东兴证券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华宝证券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西藏东财</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天风证券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国盛证券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146,650,335.90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7.44%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107,245.51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6.46%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兴业证券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249,380,763.74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12.65%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232,248.49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13.99%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太平洋证券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国信证券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436,152,419.23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22.13%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318,958.50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19.21%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国海证券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东方证券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232,323,670.71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11.79%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216,362.93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13.03%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国金证券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方正证券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长江证券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82,870,726.36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4.21%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60,603.45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华金证券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华泰证券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wordWrap w:val="0"/>
              <w:jc w:val="left"/>
              <w:rPr>
                <w:rFonts w:ascii="宋体" w:hAnsi="宋体" w:cs="宋体"/>
                <w:kern w:val="0"/>
                <w:sz w:val="24"/>
                <w:szCs w:val="24"/>
              </w:rPr>
            </w:pPr>
            <w:r>
              <w:rPr>
                <w:rFonts w:ascii="宋体" w:hAnsi="宋体" w:cs="宋体" w:hint="eastAsia"/>
                <w:kern w:val="0"/>
                <w:sz w:val="24"/>
                <w:szCs w:val="2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biaogeleft"/>
              <w:wordWrap w:val="0"/>
            </w:pPr>
            <w:r>
              <w:rPr>
                <w:rFonts w:hAnsi="Calibri" w:hint="eastAsia"/>
                <w:color w:val="000000"/>
              </w:rPr>
              <w:t>-</w:t>
            </w:r>
          </w:p>
        </w:tc>
      </w:tr>
    </w:tbl>
    <w:p w:rsidR="00BF10C3" w:rsidRDefault="00BF10C3">
      <w:pPr>
        <w:pStyle w:val="neirong"/>
        <w:divId w:val="1476140041"/>
        <w:rPr>
          <w:rFonts w:hint="eastAsia"/>
        </w:rPr>
      </w:pPr>
      <w:r>
        <w:rPr>
          <w:rFonts w:hint="eastAsia"/>
        </w:rPr>
        <w:t>①为了贯彻中国证监会的有关规定，我公司制定了选择券商的标准，即：</w:t>
      </w:r>
      <w:r>
        <w:rPr>
          <w:rFonts w:hint="eastAsia"/>
        </w:rPr>
        <w:br/>
        <w:t>（一）财务状况良好、经营行为规范、风险管理先进、投资风格与公司具有互补性、最近一年内无重大违法违规行为发生；</w:t>
      </w:r>
      <w:r>
        <w:rPr>
          <w:rFonts w:hint="eastAsia"/>
        </w:rPr>
        <w:br/>
        <w:t>（二）内部管理规范、严格，具备健全的内控制度，并能满足基金运作高度保密的要求；</w:t>
      </w:r>
      <w:r>
        <w:rPr>
          <w:rFonts w:hint="eastAsia"/>
        </w:rPr>
        <w:br/>
        <w:t>（三）能及时、全面、定期提供高质量的关于宏观、行业、资本市场、个股分析的报告及其他信息咨询服务；</w:t>
      </w:r>
      <w:r>
        <w:rPr>
          <w:rFonts w:hint="eastAsia"/>
        </w:rPr>
        <w:br/>
        <w:t>（四）能根据公司特定要求，提供专门研究报告；</w:t>
      </w:r>
      <w:r>
        <w:rPr>
          <w:rFonts w:hint="eastAsia"/>
        </w:rPr>
        <w:br/>
        <w:t>（五）具备基金运作所需的高效、安全的通讯条件，交易设施符合代理基金进行证券交易的需要，并能为基金提供全面的信息服务；能够提供很好的交易执行。 </w:t>
      </w:r>
      <w:r>
        <w:rPr>
          <w:rFonts w:hint="eastAsia"/>
        </w:rPr>
        <w:br/>
        <w:t>②券商专用交易单元选择程序：</w:t>
      </w:r>
      <w:r>
        <w:rPr>
          <w:rFonts w:hint="eastAsia"/>
        </w:rPr>
        <w:br/>
        <w:t>（一）券商席位由投资管理部与研究发展部业务人员推荐，经投资管理部、研究发展部部门会议讨论，形成重点评估的券商备选池，从中进行甄选。原则上，备选池中的券商个数不得少于最后选择个数的二倍。</w:t>
      </w:r>
      <w:r>
        <w:rPr>
          <w:rFonts w:hint="eastAsia"/>
        </w:rPr>
        <w:br/>
        <w:t>（二）投资管理部、研究发展部全体业务人员遵照券商选择标准的规定，进行主观性评议，独立的评分，形成券商排名及专用席位租用意见，报公司总经理批准。 </w:t>
      </w:r>
      <w:r>
        <w:rPr>
          <w:rFonts w:hint="eastAsia"/>
        </w:rPr>
        <w:br/>
        <w:t>（三）公司应与被选择的券商签订书面委托代理协议，明确双方公司名称、委托代理期限、佣金率、双方的权利义务等，经签章有效。</w:t>
      </w:r>
      <w:r>
        <w:rPr>
          <w:rFonts w:hint="eastAsia"/>
        </w:rPr>
        <w:br/>
        <w:t>（四）若签约券商的服务不能满足要求，或签约券商违法违规受到国家有关部门的处罚，公司可以提前终止签署的协议，并撤销租用的席位。</w:t>
      </w:r>
      <w:r>
        <w:rPr>
          <w:rFonts w:hint="eastAsia"/>
        </w:rPr>
        <w:br/>
        <w:t>③本基金本报告期内新增交易单元：（006119）东北证券、（40533）东北证券，剔除交易单元：（004602）华宝证券、（39241）华宝证券。</w:t>
      </w:r>
    </w:p>
    <w:p w:rsidR="00BF10C3" w:rsidRDefault="00BF10C3">
      <w:pPr>
        <w:widowControl/>
        <w:jc w:val="left"/>
        <w:divId w:val="1476140041"/>
        <w:rPr>
          <w:rFonts w:ascii="宋体" w:hAnsi="宋体" w:cs="宋体" w:hint="eastAsia"/>
          <w:kern w:val="0"/>
          <w:sz w:val="24"/>
          <w:szCs w:val="24"/>
        </w:rPr>
      </w:pPr>
      <w:r>
        <w:rPr>
          <w:rFonts w:ascii="宋体" w:hAnsi="宋体" w:cs="宋体" w:hint="eastAsia"/>
          <w:kern w:val="0"/>
          <w:sz w:val="24"/>
          <w:szCs w:val="24"/>
        </w:rPr>
        <w:br/>
      </w:r>
    </w:p>
    <w:p w:rsidR="00BF10C3" w:rsidRDefault="00BF10C3">
      <w:pPr>
        <w:pStyle w:val="zhangjiep2"/>
        <w:divId w:val="1476140041"/>
        <w:rPr>
          <w:rFonts w:hint="eastAsia"/>
        </w:rPr>
      </w:pPr>
      <w:r>
        <w:rPr>
          <w:rFonts w:hint="eastAsia"/>
          <w:b/>
          <w:bCs/>
        </w:rPr>
        <w:t>10.7.2 基金租用证券公司交易单元进行其他证券投资的情况</w:t>
      </w:r>
    </w:p>
    <w:p w:rsidR="00BF10C3" w:rsidRDefault="00BF10C3">
      <w:pPr>
        <w:widowControl/>
        <w:jc w:val="right"/>
        <w:divId w:val="1476140041"/>
        <w:rPr>
          <w:rFonts w:ascii="宋体" w:hAnsi="宋体" w:cs="宋体" w:hint="eastAsia"/>
          <w:kern w:val="0"/>
          <w:sz w:val="24"/>
          <w:szCs w:val="24"/>
        </w:rPr>
      </w:pPr>
      <w:r>
        <w:rPr>
          <w:rFonts w:ascii="宋体" w:hAnsi="宋体" w:cs="宋体" w:hint="eastAsia"/>
          <w:kern w:val="0"/>
          <w:sz w:val="24"/>
          <w:szCs w:val="24"/>
        </w:rPr>
        <w:t>金额单位：人民币元</w:t>
      </w:r>
    </w:p>
    <w:tbl>
      <w:tblPr>
        <w:tblW w:w="9045" w:type="dxa"/>
        <w:tblInd w:w="108" w:type="dxa"/>
        <w:tblLook w:val="04A0"/>
      </w:tblPr>
      <w:tblGrid>
        <w:gridCol w:w="904"/>
        <w:gridCol w:w="1808"/>
        <w:gridCol w:w="905"/>
        <w:gridCol w:w="1809"/>
        <w:gridCol w:w="905"/>
        <w:gridCol w:w="396"/>
        <w:gridCol w:w="961"/>
        <w:gridCol w:w="396"/>
        <w:gridCol w:w="961"/>
      </w:tblGrid>
      <w:tr w:rsidR="00BF10C3" w:rsidRPr="00D55988">
        <w:trPr>
          <w:divId w:val="1476140041"/>
        </w:trPr>
        <w:tc>
          <w:tcPr>
            <w:tcW w:w="500" w:type="pct"/>
            <w:vMerge w:val="restar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券商名称</w:t>
            </w:r>
          </w:p>
        </w:tc>
        <w:tc>
          <w:tcPr>
            <w:tcW w:w="1500" w:type="pct"/>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债券交易</w:t>
            </w:r>
          </w:p>
        </w:tc>
        <w:tc>
          <w:tcPr>
            <w:tcW w:w="1500" w:type="pct"/>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债券回购交易</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权证交易</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基金交易</w:t>
            </w:r>
          </w:p>
        </w:tc>
      </w:tr>
      <w:tr w:rsidR="00BF10C3" w:rsidRPr="00D55988">
        <w:trPr>
          <w:divId w:val="14761400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F10C3" w:rsidRDefault="00BF10C3">
            <w:pPr>
              <w:widowControl/>
              <w:jc w:val="left"/>
              <w:rPr>
                <w:rFonts w:ascii="宋体" w:hAnsi="宋体" w:cs="宋体"/>
                <w:kern w:val="0"/>
                <w:sz w:val="18"/>
                <w:szCs w:val="18"/>
              </w:rPr>
            </w:pP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成交金额</w:t>
            </w:r>
          </w:p>
        </w:tc>
        <w:tc>
          <w:tcPr>
            <w:tcW w:w="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占当期债券成交总额的比例</w:t>
            </w:r>
          </w:p>
        </w:tc>
        <w:tc>
          <w:tcPr>
            <w:tcW w:w="10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成交金额</w:t>
            </w:r>
          </w:p>
        </w:tc>
        <w:tc>
          <w:tcPr>
            <w:tcW w:w="500" w:type="pct"/>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占当期债券回购成交总额的比例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成交金额</w:t>
            </w:r>
          </w:p>
        </w:tc>
        <w:tc>
          <w:tcPr>
            <w:tcW w:w="10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占当期权证成交总额的比例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成交金额</w:t>
            </w:r>
          </w:p>
        </w:tc>
        <w:tc>
          <w:tcPr>
            <w:tcW w:w="1050" w:type="dxa"/>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jc w:val="center"/>
              <w:rPr>
                <w:sz w:val="18"/>
                <w:szCs w:val="18"/>
              </w:rPr>
            </w:pPr>
            <w:r>
              <w:rPr>
                <w:rFonts w:hint="eastAsia"/>
                <w:sz w:val="18"/>
                <w:szCs w:val="18"/>
              </w:rPr>
              <w:t>占当期基金成交总额的比例</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西南证券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浙商证券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海通证券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华创证券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西部证券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安信证券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新时代证券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东北证券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光大证券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中金公司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银河证券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信达证券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国泰君安</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中泰证券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招商证券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中信证券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广发证券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中信建投</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申万宏源</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中投证券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华龙证券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南京证券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东兴证券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华宝证券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西藏东财</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天风证券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国盛证券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兴业证券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太平洋证券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国信证券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国海证券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东方证券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国金证券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方正证券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长江证券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华金证券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r w:rsidR="00BF10C3" w:rsidRPr="00D55988">
        <w:trPr>
          <w:divId w:val="1476140041"/>
        </w:trPr>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华泰证券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F10C3" w:rsidRDefault="00BF10C3">
            <w:pPr>
              <w:pStyle w:val="a5"/>
              <w:wordWrap w:val="0"/>
              <w:rPr>
                <w:sz w:val="18"/>
                <w:szCs w:val="18"/>
              </w:rPr>
            </w:pPr>
            <w:r>
              <w:rPr>
                <w:rFonts w:hint="eastAsia"/>
                <w:sz w:val="18"/>
                <w:szCs w:val="18"/>
              </w:rPr>
              <w:t>-</w:t>
            </w:r>
          </w:p>
        </w:tc>
      </w:tr>
    </w:tbl>
    <w:p w:rsidR="00BF10C3" w:rsidRDefault="00BF10C3">
      <w:pPr>
        <w:widowControl/>
        <w:jc w:val="left"/>
        <w:divId w:val="897744197"/>
        <w:rPr>
          <w:rFonts w:ascii="宋体" w:hAnsi="宋体" w:cs="宋体" w:hint="eastAsia"/>
          <w:kern w:val="0"/>
          <w:sz w:val="24"/>
          <w:szCs w:val="24"/>
        </w:rPr>
      </w:pPr>
    </w:p>
    <w:p w:rsidR="00BF10C3" w:rsidRDefault="00BF10C3">
      <w:pPr>
        <w:pStyle w:val="dazhangjie"/>
        <w:divId w:val="1476140041"/>
        <w:rPr>
          <w:rFonts w:hint="eastAsia"/>
        </w:rPr>
      </w:pPr>
      <w:bookmarkStart w:id="54" w:name="_Toc17722076"/>
      <w:r>
        <w:rPr>
          <w:rFonts w:hAnsi="Calibri" w:hint="eastAsia"/>
          <w:b/>
          <w:color w:val="000000"/>
        </w:rPr>
        <w:t>§11  影响投资者决策的其他重要信息</w:t>
      </w:r>
      <w:bookmarkEnd w:id="54"/>
    </w:p>
    <w:p w:rsidR="00BF10C3" w:rsidRDefault="00BF10C3">
      <w:pPr>
        <w:widowControl/>
        <w:jc w:val="left"/>
        <w:divId w:val="156963428"/>
        <w:rPr>
          <w:rFonts w:ascii="宋体" w:hAnsi="宋体" w:cs="宋体" w:hint="eastAsia"/>
          <w:kern w:val="0"/>
          <w:sz w:val="24"/>
          <w:szCs w:val="24"/>
        </w:rPr>
      </w:pPr>
    </w:p>
    <w:p w:rsidR="00BF10C3" w:rsidRDefault="00BF10C3">
      <w:pPr>
        <w:pStyle w:val="zhangjiep"/>
        <w:divId w:val="1476140041"/>
        <w:rPr>
          <w:rFonts w:hint="eastAsia"/>
        </w:rPr>
      </w:pPr>
      <w:bookmarkStart w:id="55" w:name="_Toc17722077"/>
      <w:r>
        <w:rPr>
          <w:rFonts w:hint="eastAsia"/>
          <w:b/>
          <w:bCs/>
        </w:rPr>
        <w:t>11.1 报告期内单一投资者持有基金份额比例达到或超过20%的情况</w:t>
      </w:r>
      <w:bookmarkEnd w:id="55"/>
    </w:p>
    <w:p w:rsidR="00BF10C3" w:rsidRDefault="00BF10C3">
      <w:pPr>
        <w:pStyle w:val="neirong"/>
        <w:divId w:val="1476140041"/>
        <w:rPr>
          <w:rFonts w:hint="eastAsia"/>
        </w:rPr>
      </w:pPr>
      <w:r>
        <w:rPr>
          <w:rFonts w:hint="eastAsia"/>
        </w:rPr>
        <w:t>报告期内无单一投资者持有基金份额比例达到或超过20%的情况。</w:t>
      </w:r>
    </w:p>
    <w:p w:rsidR="00BF10C3" w:rsidRDefault="00BF10C3">
      <w:pPr>
        <w:widowControl/>
        <w:jc w:val="left"/>
        <w:divId w:val="38556228"/>
        <w:rPr>
          <w:rFonts w:ascii="宋体" w:hAnsi="宋体" w:cs="宋体" w:hint="eastAsia"/>
          <w:kern w:val="0"/>
          <w:sz w:val="24"/>
          <w:szCs w:val="24"/>
        </w:rPr>
      </w:pPr>
    </w:p>
    <w:p w:rsidR="00BF10C3" w:rsidRDefault="00BF10C3">
      <w:pPr>
        <w:pStyle w:val="zhangjiep"/>
        <w:divId w:val="1476140041"/>
        <w:rPr>
          <w:rFonts w:hint="eastAsia"/>
        </w:rPr>
      </w:pPr>
      <w:bookmarkStart w:id="56" w:name="_Toc17722078"/>
      <w:r>
        <w:rPr>
          <w:rFonts w:hint="eastAsia"/>
          <w:b/>
          <w:bCs/>
        </w:rPr>
        <w:t>11.2 影响投资者决策的其他重要信息</w:t>
      </w:r>
      <w:bookmarkEnd w:id="56"/>
    </w:p>
    <w:p w:rsidR="00BF10C3" w:rsidRDefault="00BF10C3">
      <w:pPr>
        <w:pStyle w:val="biaogeleft"/>
        <w:spacing w:before="0"/>
        <w:ind w:left="0" w:firstLine="480"/>
        <w:divId w:val="1476140041"/>
        <w:rPr>
          <w:rFonts w:hint="eastAsia"/>
        </w:rPr>
      </w:pPr>
      <w:r>
        <w:rPr>
          <w:rFonts w:hint="eastAsia"/>
        </w:rPr>
        <w:t>无</w:t>
      </w:r>
    </w:p>
    <w:p w:rsidR="00BF10C3" w:rsidRDefault="00BF10C3">
      <w:pPr>
        <w:widowControl/>
        <w:jc w:val="left"/>
        <w:divId w:val="738526554"/>
        <w:rPr>
          <w:rFonts w:ascii="宋体" w:hAnsi="宋体" w:cs="宋体" w:hint="eastAsia"/>
          <w:kern w:val="0"/>
          <w:sz w:val="24"/>
          <w:szCs w:val="24"/>
        </w:rPr>
      </w:pPr>
    </w:p>
    <w:p w:rsidR="00BF10C3" w:rsidRDefault="00BF10C3">
      <w:pPr>
        <w:widowControl/>
        <w:spacing w:after="240"/>
        <w:jc w:val="left"/>
        <w:divId w:val="1476140041"/>
        <w:rPr>
          <w:rFonts w:ascii="宋体" w:hAnsi="宋体" w:cs="宋体" w:hint="eastAsia"/>
          <w:kern w:val="0"/>
          <w:sz w:val="24"/>
          <w:szCs w:val="24"/>
        </w:rPr>
      </w:pPr>
      <w:r>
        <w:rPr>
          <w:rFonts w:ascii="宋体" w:hAnsi="宋体" w:cs="宋体" w:hint="eastAsia"/>
          <w:kern w:val="0"/>
          <w:sz w:val="24"/>
          <w:szCs w:val="24"/>
        </w:rPr>
        <w:br/>
      </w:r>
    </w:p>
    <w:p w:rsidR="00BF10C3" w:rsidRDefault="00BF10C3">
      <w:pPr>
        <w:pStyle w:val="biaogeright"/>
        <w:divId w:val="1476140041"/>
        <w:rPr>
          <w:rFonts w:hint="eastAsia"/>
        </w:rPr>
      </w:pPr>
      <w:r>
        <w:rPr>
          <w:rFonts w:hAnsi="Calibri" w:hint="eastAsia"/>
          <w:b/>
          <w:bCs/>
          <w:color w:val="000000"/>
        </w:rPr>
        <w:t>富安达基金管理有限公司</w:t>
      </w:r>
    </w:p>
    <w:p w:rsidR="00BF10C3" w:rsidRDefault="00BF10C3">
      <w:pPr>
        <w:pStyle w:val="biaogeright"/>
        <w:divId w:val="1476140041"/>
        <w:rPr>
          <w:rFonts w:hint="eastAsia"/>
        </w:rPr>
      </w:pPr>
      <w:r>
        <w:rPr>
          <w:rFonts w:hAnsi="Calibri" w:hint="eastAsia"/>
          <w:b/>
          <w:bCs/>
          <w:color w:val="000000"/>
        </w:rPr>
        <w:t>二〇一九年八月二十七日</w:t>
      </w:r>
    </w:p>
    <w:p w:rsidR="00BF10C3" w:rsidRDefault="00BF10C3">
      <w:pPr>
        <w:pStyle w:val="alignright"/>
        <w:autoSpaceDE w:val="0"/>
        <w:autoSpaceDN w:val="0"/>
        <w:adjustRightInd w:val="0"/>
        <w:spacing w:before="145" w:beforeAutospacing="0" w:after="0" w:afterAutospacing="0" w:line="288" w:lineRule="auto"/>
        <w:ind w:left="15"/>
        <w:jc w:val="right"/>
        <w:divId w:val="1476140041"/>
        <w:rPr>
          <w:rFonts w:hint="eastAsia"/>
          <w:b/>
        </w:rPr>
      </w:pPr>
    </w:p>
    <w:sectPr w:rsidR="00BF10C3" w:rsidSect="00D55988">
      <w:headerReference w:type="default" r:id="rId7"/>
      <w:footerReference w:type="even" r:id="rId8"/>
      <w:footerReference w:type="default" r:id="rId9"/>
      <w:pgSz w:w="11926" w:h="15840"/>
      <w:pgMar w:top="1418" w:right="1418" w:bottom="853" w:left="1418"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8C" w:rsidRDefault="00430F8C" w:rsidP="00D55988">
      <w:r>
        <w:separator/>
      </w:r>
    </w:p>
  </w:endnote>
  <w:endnote w:type="continuationSeparator" w:id="1">
    <w:p w:rsidR="00430F8C" w:rsidRDefault="00430F8C" w:rsidP="00D559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88" w:rsidRDefault="00D55988" w:rsidP="00BF10C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5988" w:rsidRDefault="00D559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88" w:rsidRDefault="00D55988" w:rsidP="00BF10C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B54FB">
      <w:rPr>
        <w:rStyle w:val="a7"/>
        <w:noProof/>
      </w:rPr>
      <w:t>2</w:t>
    </w:r>
    <w:r>
      <w:rPr>
        <w:rStyle w:val="a7"/>
      </w:rPr>
      <w:fldChar w:fldCharType="end"/>
    </w:r>
  </w:p>
  <w:p w:rsidR="00D55988" w:rsidRDefault="00D55988" w:rsidP="00D55988">
    <w:pPr>
      <w:pStyle w:val="a4"/>
      <w:jc w:val="center"/>
    </w:pPr>
    <w:r>
      <w:rPr>
        <w:rFonts w:hint="eastAsia"/>
      </w:rPr>
      <w:t xml:space="preserve">                   </w:t>
    </w:r>
    <w:r>
      <w:rPr>
        <w:rFonts w:hint="eastAsia"/>
      </w:rPr>
      <w:t>第</w:t>
    </w:r>
    <w:r>
      <w:rPr>
        <w:rFonts w:hint="eastAsia"/>
      </w:rPr>
      <w:t xml:space="preserve">       </w:t>
    </w:r>
    <w:r>
      <w:rPr>
        <w:rFonts w:hint="eastAsia"/>
      </w:rPr>
      <w:t>页，共</w:t>
    </w:r>
    <w:r>
      <w:rPr>
        <w:rFonts w:hint="eastAsia"/>
      </w:rPr>
      <w:t>57</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8C" w:rsidRDefault="00430F8C" w:rsidP="00D55988">
      <w:r>
        <w:separator/>
      </w:r>
    </w:p>
  </w:footnote>
  <w:footnote w:type="continuationSeparator" w:id="1">
    <w:p w:rsidR="00430F8C" w:rsidRDefault="00430F8C" w:rsidP="00D55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88" w:rsidRDefault="00D55988" w:rsidP="00D55988">
    <w:pPr>
      <w:pStyle w:val="a3"/>
      <w:jc w:val="right"/>
    </w:pPr>
    <w:r>
      <w:rPr>
        <w:rFonts w:hint="eastAsia"/>
      </w:rPr>
      <w:t>富安达新兴成长灵活配置混合型证券投资基金</w:t>
    </w:r>
    <w:r>
      <w:rPr>
        <w:rFonts w:hint="eastAsia"/>
      </w:rPr>
      <w:t>2019</w:t>
    </w:r>
    <w:r>
      <w:rPr>
        <w:rFonts w:hint="eastAsia"/>
      </w:rPr>
      <w:t>年半年度报告</w:t>
    </w:r>
    <w:r w:rsidR="00480224">
      <w:rPr>
        <w:rFonts w:hint="eastAsia"/>
      </w:rPr>
      <w:t>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720"/>
  <w:noPunctuationKerning/>
  <w:characterSpacingControl w:val="compressPunctuation"/>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297C"/>
    <w:rsid w:val="00053DC8"/>
    <w:rsid w:val="00144FB9"/>
    <w:rsid w:val="003921EE"/>
    <w:rsid w:val="003F297C"/>
    <w:rsid w:val="00430F8C"/>
    <w:rsid w:val="00480224"/>
    <w:rsid w:val="004B6162"/>
    <w:rsid w:val="00756637"/>
    <w:rsid w:val="0078434E"/>
    <w:rsid w:val="0079053B"/>
    <w:rsid w:val="007B5CB5"/>
    <w:rsid w:val="0081681F"/>
    <w:rsid w:val="008207AD"/>
    <w:rsid w:val="008B2D6F"/>
    <w:rsid w:val="008B54FB"/>
    <w:rsid w:val="00940EE8"/>
    <w:rsid w:val="00A7084C"/>
    <w:rsid w:val="00BF10C3"/>
    <w:rsid w:val="00CB22A9"/>
    <w:rsid w:val="00D55988"/>
    <w:rsid w:val="00E842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hAnsi="Times New Roman" w:cs="Times New Roman" w:hint="default"/>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center"/>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alignright">
    <w:name w:val="align=right"/>
    <w:basedOn w:val="a"/>
    <w:pPr>
      <w:widowControl/>
      <w:spacing w:before="100" w:beforeAutospacing="1" w:after="100" w:afterAutospacing="1"/>
      <w:jc w:val="left"/>
    </w:pPr>
    <w:rPr>
      <w:rFonts w:ascii="宋体" w:hAnsi="宋体" w:cs="宋体"/>
      <w:kern w:val="0"/>
      <w:sz w:val="24"/>
      <w:szCs w:val="24"/>
    </w:rPr>
  </w:style>
  <w:style w:type="paragraph" w:styleId="1">
    <w:name w:val="toc 1"/>
    <w:basedOn w:val="a"/>
    <w:next w:val="a"/>
    <w:autoRedefine/>
    <w:uiPriority w:val="39"/>
    <w:unhideWhenUsed/>
    <w:rsid w:val="00D55988"/>
  </w:style>
  <w:style w:type="paragraph" w:styleId="2">
    <w:name w:val="toc 2"/>
    <w:basedOn w:val="a"/>
    <w:next w:val="a"/>
    <w:autoRedefine/>
    <w:uiPriority w:val="39"/>
    <w:unhideWhenUsed/>
    <w:rsid w:val="00D55988"/>
    <w:pPr>
      <w:ind w:leftChars="200" w:left="420"/>
    </w:pPr>
  </w:style>
  <w:style w:type="character" w:styleId="a6">
    <w:name w:val="Hyperlink"/>
    <w:basedOn w:val="a0"/>
    <w:uiPriority w:val="99"/>
    <w:unhideWhenUsed/>
    <w:rsid w:val="00D55988"/>
    <w:rPr>
      <w:color w:val="0000FF"/>
      <w:u w:val="single"/>
    </w:rPr>
  </w:style>
  <w:style w:type="character" w:styleId="a7">
    <w:name w:val="page number"/>
    <w:basedOn w:val="a0"/>
    <w:uiPriority w:val="99"/>
    <w:semiHidden/>
    <w:unhideWhenUsed/>
    <w:rsid w:val="00D55988"/>
  </w:style>
  <w:style w:type="character" w:customStyle="1" w:styleId="biaogeleft1">
    <w:name w:val="biaoge_left1"/>
    <w:basedOn w:val="a0"/>
    <w:rsid w:val="0079053B"/>
  </w:style>
  <w:style w:type="paragraph" w:styleId="a8">
    <w:name w:val="Balloon Text"/>
    <w:basedOn w:val="a"/>
    <w:link w:val="Char1"/>
    <w:uiPriority w:val="99"/>
    <w:semiHidden/>
    <w:unhideWhenUsed/>
    <w:rsid w:val="0079053B"/>
    <w:rPr>
      <w:sz w:val="18"/>
      <w:szCs w:val="18"/>
    </w:rPr>
  </w:style>
  <w:style w:type="character" w:customStyle="1" w:styleId="Char1">
    <w:name w:val="批注框文本 Char"/>
    <w:basedOn w:val="a0"/>
    <w:link w:val="a8"/>
    <w:uiPriority w:val="99"/>
    <w:semiHidden/>
    <w:rsid w:val="0079053B"/>
    <w:rPr>
      <w:rFonts w:cs="Times New Roman"/>
      <w:kern w:val="2"/>
      <w:sz w:val="18"/>
      <w:szCs w:val="18"/>
    </w:rPr>
  </w:style>
  <w:style w:type="paragraph" w:customStyle="1" w:styleId="index0428isshow">
    <w:name w:val="$index_0428_isshow"/>
    <w:basedOn w:val="a"/>
    <w:rsid w:val="0078434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6140041">
      <w:bodyDiv w:val="1"/>
      <w:marLeft w:val="0"/>
      <w:marRight w:val="0"/>
      <w:marTop w:val="0"/>
      <w:marBottom w:val="0"/>
      <w:divBdr>
        <w:top w:val="none" w:sz="0" w:space="0" w:color="auto"/>
        <w:left w:val="none" w:sz="0" w:space="0" w:color="auto"/>
        <w:bottom w:val="none" w:sz="0" w:space="0" w:color="auto"/>
        <w:right w:val="none" w:sz="0" w:space="0" w:color="auto"/>
      </w:divBdr>
      <w:divsChild>
        <w:div w:id="9380765">
          <w:marLeft w:val="0"/>
          <w:marRight w:val="0"/>
          <w:marTop w:val="0"/>
          <w:marBottom w:val="0"/>
          <w:divBdr>
            <w:top w:val="none" w:sz="0" w:space="0" w:color="auto"/>
            <w:left w:val="none" w:sz="0" w:space="0" w:color="auto"/>
            <w:bottom w:val="none" w:sz="0" w:space="0" w:color="auto"/>
            <w:right w:val="none" w:sz="0" w:space="0" w:color="auto"/>
          </w:divBdr>
        </w:div>
        <w:div w:id="38556228">
          <w:marLeft w:val="0"/>
          <w:marRight w:val="0"/>
          <w:marTop w:val="0"/>
          <w:marBottom w:val="0"/>
          <w:divBdr>
            <w:top w:val="none" w:sz="0" w:space="0" w:color="auto"/>
            <w:left w:val="none" w:sz="0" w:space="0" w:color="auto"/>
            <w:bottom w:val="none" w:sz="0" w:space="0" w:color="auto"/>
            <w:right w:val="none" w:sz="0" w:space="0" w:color="auto"/>
          </w:divBdr>
        </w:div>
        <w:div w:id="72089816">
          <w:marLeft w:val="0"/>
          <w:marRight w:val="0"/>
          <w:marTop w:val="0"/>
          <w:marBottom w:val="0"/>
          <w:divBdr>
            <w:top w:val="none" w:sz="0" w:space="0" w:color="auto"/>
            <w:left w:val="none" w:sz="0" w:space="0" w:color="auto"/>
            <w:bottom w:val="none" w:sz="0" w:space="0" w:color="auto"/>
            <w:right w:val="none" w:sz="0" w:space="0" w:color="auto"/>
          </w:divBdr>
        </w:div>
        <w:div w:id="149375192">
          <w:marLeft w:val="0"/>
          <w:marRight w:val="0"/>
          <w:marTop w:val="0"/>
          <w:marBottom w:val="0"/>
          <w:divBdr>
            <w:top w:val="none" w:sz="0" w:space="0" w:color="auto"/>
            <w:left w:val="none" w:sz="0" w:space="0" w:color="auto"/>
            <w:bottom w:val="none" w:sz="0" w:space="0" w:color="auto"/>
            <w:right w:val="none" w:sz="0" w:space="0" w:color="auto"/>
          </w:divBdr>
        </w:div>
        <w:div w:id="155191685">
          <w:marLeft w:val="0"/>
          <w:marRight w:val="0"/>
          <w:marTop w:val="0"/>
          <w:marBottom w:val="0"/>
          <w:divBdr>
            <w:top w:val="none" w:sz="0" w:space="0" w:color="auto"/>
            <w:left w:val="none" w:sz="0" w:space="0" w:color="auto"/>
            <w:bottom w:val="none" w:sz="0" w:space="0" w:color="auto"/>
            <w:right w:val="none" w:sz="0" w:space="0" w:color="auto"/>
          </w:divBdr>
        </w:div>
        <w:div w:id="156963428">
          <w:marLeft w:val="0"/>
          <w:marRight w:val="0"/>
          <w:marTop w:val="0"/>
          <w:marBottom w:val="0"/>
          <w:divBdr>
            <w:top w:val="none" w:sz="0" w:space="0" w:color="auto"/>
            <w:left w:val="none" w:sz="0" w:space="0" w:color="auto"/>
            <w:bottom w:val="none" w:sz="0" w:space="0" w:color="auto"/>
            <w:right w:val="none" w:sz="0" w:space="0" w:color="auto"/>
          </w:divBdr>
        </w:div>
        <w:div w:id="194193159">
          <w:marLeft w:val="0"/>
          <w:marRight w:val="0"/>
          <w:marTop w:val="0"/>
          <w:marBottom w:val="0"/>
          <w:divBdr>
            <w:top w:val="none" w:sz="0" w:space="0" w:color="auto"/>
            <w:left w:val="none" w:sz="0" w:space="0" w:color="auto"/>
            <w:bottom w:val="none" w:sz="0" w:space="0" w:color="auto"/>
            <w:right w:val="none" w:sz="0" w:space="0" w:color="auto"/>
          </w:divBdr>
        </w:div>
        <w:div w:id="209731807">
          <w:marLeft w:val="0"/>
          <w:marRight w:val="0"/>
          <w:marTop w:val="0"/>
          <w:marBottom w:val="0"/>
          <w:divBdr>
            <w:top w:val="none" w:sz="0" w:space="0" w:color="auto"/>
            <w:left w:val="none" w:sz="0" w:space="0" w:color="auto"/>
            <w:bottom w:val="none" w:sz="0" w:space="0" w:color="auto"/>
            <w:right w:val="none" w:sz="0" w:space="0" w:color="auto"/>
          </w:divBdr>
        </w:div>
        <w:div w:id="249049273">
          <w:marLeft w:val="0"/>
          <w:marRight w:val="0"/>
          <w:marTop w:val="0"/>
          <w:marBottom w:val="0"/>
          <w:divBdr>
            <w:top w:val="none" w:sz="0" w:space="0" w:color="auto"/>
            <w:left w:val="none" w:sz="0" w:space="0" w:color="auto"/>
            <w:bottom w:val="none" w:sz="0" w:space="0" w:color="auto"/>
            <w:right w:val="none" w:sz="0" w:space="0" w:color="auto"/>
          </w:divBdr>
        </w:div>
        <w:div w:id="253440109">
          <w:marLeft w:val="0"/>
          <w:marRight w:val="0"/>
          <w:marTop w:val="0"/>
          <w:marBottom w:val="0"/>
          <w:divBdr>
            <w:top w:val="none" w:sz="0" w:space="0" w:color="auto"/>
            <w:left w:val="none" w:sz="0" w:space="0" w:color="auto"/>
            <w:bottom w:val="none" w:sz="0" w:space="0" w:color="auto"/>
            <w:right w:val="none" w:sz="0" w:space="0" w:color="auto"/>
          </w:divBdr>
        </w:div>
        <w:div w:id="260451260">
          <w:marLeft w:val="0"/>
          <w:marRight w:val="0"/>
          <w:marTop w:val="0"/>
          <w:marBottom w:val="0"/>
          <w:divBdr>
            <w:top w:val="none" w:sz="0" w:space="0" w:color="auto"/>
            <w:left w:val="none" w:sz="0" w:space="0" w:color="auto"/>
            <w:bottom w:val="none" w:sz="0" w:space="0" w:color="auto"/>
            <w:right w:val="none" w:sz="0" w:space="0" w:color="auto"/>
          </w:divBdr>
        </w:div>
        <w:div w:id="311447318">
          <w:marLeft w:val="0"/>
          <w:marRight w:val="0"/>
          <w:marTop w:val="0"/>
          <w:marBottom w:val="0"/>
          <w:divBdr>
            <w:top w:val="none" w:sz="0" w:space="0" w:color="auto"/>
            <w:left w:val="none" w:sz="0" w:space="0" w:color="auto"/>
            <w:bottom w:val="none" w:sz="0" w:space="0" w:color="auto"/>
            <w:right w:val="none" w:sz="0" w:space="0" w:color="auto"/>
          </w:divBdr>
        </w:div>
        <w:div w:id="451049932">
          <w:marLeft w:val="0"/>
          <w:marRight w:val="0"/>
          <w:marTop w:val="0"/>
          <w:marBottom w:val="0"/>
          <w:divBdr>
            <w:top w:val="none" w:sz="0" w:space="0" w:color="auto"/>
            <w:left w:val="none" w:sz="0" w:space="0" w:color="auto"/>
            <w:bottom w:val="none" w:sz="0" w:space="0" w:color="auto"/>
            <w:right w:val="none" w:sz="0" w:space="0" w:color="auto"/>
          </w:divBdr>
        </w:div>
        <w:div w:id="525562931">
          <w:marLeft w:val="0"/>
          <w:marRight w:val="0"/>
          <w:marTop w:val="0"/>
          <w:marBottom w:val="0"/>
          <w:divBdr>
            <w:top w:val="none" w:sz="0" w:space="0" w:color="auto"/>
            <w:left w:val="none" w:sz="0" w:space="0" w:color="auto"/>
            <w:bottom w:val="none" w:sz="0" w:space="0" w:color="auto"/>
            <w:right w:val="none" w:sz="0" w:space="0" w:color="auto"/>
          </w:divBdr>
        </w:div>
        <w:div w:id="559559390">
          <w:marLeft w:val="0"/>
          <w:marRight w:val="0"/>
          <w:marTop w:val="0"/>
          <w:marBottom w:val="0"/>
          <w:divBdr>
            <w:top w:val="none" w:sz="0" w:space="0" w:color="auto"/>
            <w:left w:val="none" w:sz="0" w:space="0" w:color="auto"/>
            <w:bottom w:val="none" w:sz="0" w:space="0" w:color="auto"/>
            <w:right w:val="none" w:sz="0" w:space="0" w:color="auto"/>
          </w:divBdr>
        </w:div>
        <w:div w:id="575818782">
          <w:marLeft w:val="0"/>
          <w:marRight w:val="0"/>
          <w:marTop w:val="0"/>
          <w:marBottom w:val="0"/>
          <w:divBdr>
            <w:top w:val="none" w:sz="0" w:space="0" w:color="auto"/>
            <w:left w:val="none" w:sz="0" w:space="0" w:color="auto"/>
            <w:bottom w:val="none" w:sz="0" w:space="0" w:color="auto"/>
            <w:right w:val="none" w:sz="0" w:space="0" w:color="auto"/>
          </w:divBdr>
        </w:div>
        <w:div w:id="583950264">
          <w:marLeft w:val="0"/>
          <w:marRight w:val="0"/>
          <w:marTop w:val="0"/>
          <w:marBottom w:val="0"/>
          <w:divBdr>
            <w:top w:val="none" w:sz="0" w:space="0" w:color="auto"/>
            <w:left w:val="none" w:sz="0" w:space="0" w:color="auto"/>
            <w:bottom w:val="none" w:sz="0" w:space="0" w:color="auto"/>
            <w:right w:val="none" w:sz="0" w:space="0" w:color="auto"/>
          </w:divBdr>
        </w:div>
        <w:div w:id="588122738">
          <w:marLeft w:val="0"/>
          <w:marRight w:val="0"/>
          <w:marTop w:val="0"/>
          <w:marBottom w:val="0"/>
          <w:divBdr>
            <w:top w:val="none" w:sz="0" w:space="0" w:color="auto"/>
            <w:left w:val="none" w:sz="0" w:space="0" w:color="auto"/>
            <w:bottom w:val="none" w:sz="0" w:space="0" w:color="auto"/>
            <w:right w:val="none" w:sz="0" w:space="0" w:color="auto"/>
          </w:divBdr>
        </w:div>
        <w:div w:id="602540878">
          <w:marLeft w:val="0"/>
          <w:marRight w:val="0"/>
          <w:marTop w:val="0"/>
          <w:marBottom w:val="0"/>
          <w:divBdr>
            <w:top w:val="none" w:sz="0" w:space="0" w:color="auto"/>
            <w:left w:val="none" w:sz="0" w:space="0" w:color="auto"/>
            <w:bottom w:val="none" w:sz="0" w:space="0" w:color="auto"/>
            <w:right w:val="none" w:sz="0" w:space="0" w:color="auto"/>
          </w:divBdr>
        </w:div>
        <w:div w:id="614365507">
          <w:marLeft w:val="0"/>
          <w:marRight w:val="0"/>
          <w:marTop w:val="0"/>
          <w:marBottom w:val="0"/>
          <w:divBdr>
            <w:top w:val="none" w:sz="0" w:space="0" w:color="auto"/>
            <w:left w:val="none" w:sz="0" w:space="0" w:color="auto"/>
            <w:bottom w:val="none" w:sz="0" w:space="0" w:color="auto"/>
            <w:right w:val="none" w:sz="0" w:space="0" w:color="auto"/>
          </w:divBdr>
        </w:div>
        <w:div w:id="632053471">
          <w:marLeft w:val="15"/>
          <w:marRight w:val="0"/>
          <w:marTop w:val="29"/>
          <w:marBottom w:val="0"/>
          <w:divBdr>
            <w:top w:val="none" w:sz="0" w:space="0" w:color="auto"/>
            <w:left w:val="none" w:sz="0" w:space="0" w:color="auto"/>
            <w:bottom w:val="none" w:sz="0" w:space="0" w:color="auto"/>
            <w:right w:val="none" w:sz="0" w:space="0" w:color="auto"/>
          </w:divBdr>
        </w:div>
        <w:div w:id="646740542">
          <w:marLeft w:val="0"/>
          <w:marRight w:val="0"/>
          <w:marTop w:val="0"/>
          <w:marBottom w:val="0"/>
          <w:divBdr>
            <w:top w:val="none" w:sz="0" w:space="0" w:color="auto"/>
            <w:left w:val="none" w:sz="0" w:space="0" w:color="auto"/>
            <w:bottom w:val="none" w:sz="0" w:space="0" w:color="auto"/>
            <w:right w:val="none" w:sz="0" w:space="0" w:color="auto"/>
          </w:divBdr>
        </w:div>
        <w:div w:id="650527102">
          <w:marLeft w:val="0"/>
          <w:marRight w:val="0"/>
          <w:marTop w:val="0"/>
          <w:marBottom w:val="0"/>
          <w:divBdr>
            <w:top w:val="none" w:sz="0" w:space="0" w:color="auto"/>
            <w:left w:val="none" w:sz="0" w:space="0" w:color="auto"/>
            <w:bottom w:val="none" w:sz="0" w:space="0" w:color="auto"/>
            <w:right w:val="none" w:sz="0" w:space="0" w:color="auto"/>
          </w:divBdr>
        </w:div>
        <w:div w:id="658273083">
          <w:marLeft w:val="0"/>
          <w:marRight w:val="0"/>
          <w:marTop w:val="0"/>
          <w:marBottom w:val="0"/>
          <w:divBdr>
            <w:top w:val="none" w:sz="0" w:space="0" w:color="auto"/>
            <w:left w:val="none" w:sz="0" w:space="0" w:color="auto"/>
            <w:bottom w:val="none" w:sz="0" w:space="0" w:color="auto"/>
            <w:right w:val="none" w:sz="0" w:space="0" w:color="auto"/>
          </w:divBdr>
        </w:div>
        <w:div w:id="687832474">
          <w:marLeft w:val="15"/>
          <w:marRight w:val="0"/>
          <w:marTop w:val="29"/>
          <w:marBottom w:val="0"/>
          <w:divBdr>
            <w:top w:val="none" w:sz="0" w:space="0" w:color="auto"/>
            <w:left w:val="none" w:sz="0" w:space="0" w:color="auto"/>
            <w:bottom w:val="none" w:sz="0" w:space="0" w:color="auto"/>
            <w:right w:val="none" w:sz="0" w:space="0" w:color="auto"/>
          </w:divBdr>
        </w:div>
        <w:div w:id="704452485">
          <w:marLeft w:val="0"/>
          <w:marRight w:val="0"/>
          <w:marTop w:val="0"/>
          <w:marBottom w:val="0"/>
          <w:divBdr>
            <w:top w:val="none" w:sz="0" w:space="0" w:color="auto"/>
            <w:left w:val="none" w:sz="0" w:space="0" w:color="auto"/>
            <w:bottom w:val="none" w:sz="0" w:space="0" w:color="auto"/>
            <w:right w:val="none" w:sz="0" w:space="0" w:color="auto"/>
          </w:divBdr>
        </w:div>
        <w:div w:id="733546712">
          <w:marLeft w:val="0"/>
          <w:marRight w:val="0"/>
          <w:marTop w:val="0"/>
          <w:marBottom w:val="0"/>
          <w:divBdr>
            <w:top w:val="none" w:sz="0" w:space="0" w:color="auto"/>
            <w:left w:val="none" w:sz="0" w:space="0" w:color="auto"/>
            <w:bottom w:val="none" w:sz="0" w:space="0" w:color="auto"/>
            <w:right w:val="none" w:sz="0" w:space="0" w:color="auto"/>
          </w:divBdr>
        </w:div>
        <w:div w:id="738210553">
          <w:marLeft w:val="0"/>
          <w:marRight w:val="0"/>
          <w:marTop w:val="0"/>
          <w:marBottom w:val="0"/>
          <w:divBdr>
            <w:top w:val="none" w:sz="0" w:space="0" w:color="auto"/>
            <w:left w:val="none" w:sz="0" w:space="0" w:color="auto"/>
            <w:bottom w:val="none" w:sz="0" w:space="0" w:color="auto"/>
            <w:right w:val="none" w:sz="0" w:space="0" w:color="auto"/>
          </w:divBdr>
        </w:div>
        <w:div w:id="738526554">
          <w:marLeft w:val="0"/>
          <w:marRight w:val="0"/>
          <w:marTop w:val="0"/>
          <w:marBottom w:val="0"/>
          <w:divBdr>
            <w:top w:val="none" w:sz="0" w:space="0" w:color="auto"/>
            <w:left w:val="none" w:sz="0" w:space="0" w:color="auto"/>
            <w:bottom w:val="none" w:sz="0" w:space="0" w:color="auto"/>
            <w:right w:val="none" w:sz="0" w:space="0" w:color="auto"/>
          </w:divBdr>
        </w:div>
        <w:div w:id="751632415">
          <w:marLeft w:val="0"/>
          <w:marRight w:val="0"/>
          <w:marTop w:val="0"/>
          <w:marBottom w:val="0"/>
          <w:divBdr>
            <w:top w:val="none" w:sz="0" w:space="0" w:color="auto"/>
            <w:left w:val="none" w:sz="0" w:space="0" w:color="auto"/>
            <w:bottom w:val="none" w:sz="0" w:space="0" w:color="auto"/>
            <w:right w:val="none" w:sz="0" w:space="0" w:color="auto"/>
          </w:divBdr>
        </w:div>
        <w:div w:id="787705759">
          <w:marLeft w:val="0"/>
          <w:marRight w:val="0"/>
          <w:marTop w:val="0"/>
          <w:marBottom w:val="0"/>
          <w:divBdr>
            <w:top w:val="none" w:sz="0" w:space="0" w:color="auto"/>
            <w:left w:val="none" w:sz="0" w:space="0" w:color="auto"/>
            <w:bottom w:val="none" w:sz="0" w:space="0" w:color="auto"/>
            <w:right w:val="none" w:sz="0" w:space="0" w:color="auto"/>
          </w:divBdr>
        </w:div>
        <w:div w:id="813715471">
          <w:marLeft w:val="0"/>
          <w:marRight w:val="0"/>
          <w:marTop w:val="0"/>
          <w:marBottom w:val="0"/>
          <w:divBdr>
            <w:top w:val="none" w:sz="0" w:space="0" w:color="auto"/>
            <w:left w:val="none" w:sz="0" w:space="0" w:color="auto"/>
            <w:bottom w:val="none" w:sz="0" w:space="0" w:color="auto"/>
            <w:right w:val="none" w:sz="0" w:space="0" w:color="auto"/>
          </w:divBdr>
        </w:div>
        <w:div w:id="818572938">
          <w:marLeft w:val="0"/>
          <w:marRight w:val="0"/>
          <w:marTop w:val="0"/>
          <w:marBottom w:val="0"/>
          <w:divBdr>
            <w:top w:val="none" w:sz="0" w:space="0" w:color="auto"/>
            <w:left w:val="none" w:sz="0" w:space="0" w:color="auto"/>
            <w:bottom w:val="none" w:sz="0" w:space="0" w:color="auto"/>
            <w:right w:val="none" w:sz="0" w:space="0" w:color="auto"/>
          </w:divBdr>
        </w:div>
        <w:div w:id="820390360">
          <w:marLeft w:val="15"/>
          <w:marRight w:val="0"/>
          <w:marTop w:val="29"/>
          <w:marBottom w:val="0"/>
          <w:divBdr>
            <w:top w:val="none" w:sz="0" w:space="0" w:color="auto"/>
            <w:left w:val="none" w:sz="0" w:space="0" w:color="auto"/>
            <w:bottom w:val="none" w:sz="0" w:space="0" w:color="auto"/>
            <w:right w:val="none" w:sz="0" w:space="0" w:color="auto"/>
          </w:divBdr>
        </w:div>
        <w:div w:id="885945121">
          <w:marLeft w:val="0"/>
          <w:marRight w:val="0"/>
          <w:marTop w:val="0"/>
          <w:marBottom w:val="0"/>
          <w:divBdr>
            <w:top w:val="none" w:sz="0" w:space="0" w:color="auto"/>
            <w:left w:val="none" w:sz="0" w:space="0" w:color="auto"/>
            <w:bottom w:val="none" w:sz="0" w:space="0" w:color="auto"/>
            <w:right w:val="none" w:sz="0" w:space="0" w:color="auto"/>
          </w:divBdr>
        </w:div>
        <w:div w:id="893583701">
          <w:marLeft w:val="0"/>
          <w:marRight w:val="0"/>
          <w:marTop w:val="0"/>
          <w:marBottom w:val="0"/>
          <w:divBdr>
            <w:top w:val="none" w:sz="0" w:space="0" w:color="auto"/>
            <w:left w:val="none" w:sz="0" w:space="0" w:color="auto"/>
            <w:bottom w:val="none" w:sz="0" w:space="0" w:color="auto"/>
            <w:right w:val="none" w:sz="0" w:space="0" w:color="auto"/>
          </w:divBdr>
        </w:div>
        <w:div w:id="897744197">
          <w:marLeft w:val="0"/>
          <w:marRight w:val="0"/>
          <w:marTop w:val="0"/>
          <w:marBottom w:val="0"/>
          <w:divBdr>
            <w:top w:val="none" w:sz="0" w:space="0" w:color="auto"/>
            <w:left w:val="none" w:sz="0" w:space="0" w:color="auto"/>
            <w:bottom w:val="none" w:sz="0" w:space="0" w:color="auto"/>
            <w:right w:val="none" w:sz="0" w:space="0" w:color="auto"/>
          </w:divBdr>
        </w:div>
        <w:div w:id="920017784">
          <w:marLeft w:val="0"/>
          <w:marRight w:val="0"/>
          <w:marTop w:val="0"/>
          <w:marBottom w:val="0"/>
          <w:divBdr>
            <w:top w:val="none" w:sz="0" w:space="0" w:color="auto"/>
            <w:left w:val="none" w:sz="0" w:space="0" w:color="auto"/>
            <w:bottom w:val="none" w:sz="0" w:space="0" w:color="auto"/>
            <w:right w:val="none" w:sz="0" w:space="0" w:color="auto"/>
          </w:divBdr>
        </w:div>
        <w:div w:id="956713243">
          <w:marLeft w:val="0"/>
          <w:marRight w:val="0"/>
          <w:marTop w:val="0"/>
          <w:marBottom w:val="0"/>
          <w:divBdr>
            <w:top w:val="none" w:sz="0" w:space="0" w:color="auto"/>
            <w:left w:val="none" w:sz="0" w:space="0" w:color="auto"/>
            <w:bottom w:val="none" w:sz="0" w:space="0" w:color="auto"/>
            <w:right w:val="none" w:sz="0" w:space="0" w:color="auto"/>
          </w:divBdr>
        </w:div>
        <w:div w:id="963846979">
          <w:marLeft w:val="0"/>
          <w:marRight w:val="0"/>
          <w:marTop w:val="0"/>
          <w:marBottom w:val="0"/>
          <w:divBdr>
            <w:top w:val="none" w:sz="0" w:space="0" w:color="auto"/>
            <w:left w:val="none" w:sz="0" w:space="0" w:color="auto"/>
            <w:bottom w:val="none" w:sz="0" w:space="0" w:color="auto"/>
            <w:right w:val="none" w:sz="0" w:space="0" w:color="auto"/>
          </w:divBdr>
        </w:div>
        <w:div w:id="1036734799">
          <w:marLeft w:val="0"/>
          <w:marRight w:val="0"/>
          <w:marTop w:val="0"/>
          <w:marBottom w:val="0"/>
          <w:divBdr>
            <w:top w:val="none" w:sz="0" w:space="0" w:color="auto"/>
            <w:left w:val="none" w:sz="0" w:space="0" w:color="auto"/>
            <w:bottom w:val="none" w:sz="0" w:space="0" w:color="auto"/>
            <w:right w:val="none" w:sz="0" w:space="0" w:color="auto"/>
          </w:divBdr>
        </w:div>
        <w:div w:id="1050688984">
          <w:marLeft w:val="0"/>
          <w:marRight w:val="0"/>
          <w:marTop w:val="0"/>
          <w:marBottom w:val="0"/>
          <w:divBdr>
            <w:top w:val="none" w:sz="0" w:space="0" w:color="auto"/>
            <w:left w:val="none" w:sz="0" w:space="0" w:color="auto"/>
            <w:bottom w:val="none" w:sz="0" w:space="0" w:color="auto"/>
            <w:right w:val="none" w:sz="0" w:space="0" w:color="auto"/>
          </w:divBdr>
        </w:div>
        <w:div w:id="1056706970">
          <w:marLeft w:val="15"/>
          <w:marRight w:val="0"/>
          <w:marTop w:val="29"/>
          <w:marBottom w:val="0"/>
          <w:divBdr>
            <w:top w:val="none" w:sz="0" w:space="0" w:color="auto"/>
            <w:left w:val="none" w:sz="0" w:space="0" w:color="auto"/>
            <w:bottom w:val="none" w:sz="0" w:space="0" w:color="auto"/>
            <w:right w:val="none" w:sz="0" w:space="0" w:color="auto"/>
          </w:divBdr>
        </w:div>
        <w:div w:id="1073435643">
          <w:marLeft w:val="0"/>
          <w:marRight w:val="0"/>
          <w:marTop w:val="0"/>
          <w:marBottom w:val="0"/>
          <w:divBdr>
            <w:top w:val="none" w:sz="0" w:space="0" w:color="auto"/>
            <w:left w:val="none" w:sz="0" w:space="0" w:color="auto"/>
            <w:bottom w:val="none" w:sz="0" w:space="0" w:color="auto"/>
            <w:right w:val="none" w:sz="0" w:space="0" w:color="auto"/>
          </w:divBdr>
        </w:div>
        <w:div w:id="1108427998">
          <w:marLeft w:val="0"/>
          <w:marRight w:val="0"/>
          <w:marTop w:val="0"/>
          <w:marBottom w:val="0"/>
          <w:divBdr>
            <w:top w:val="none" w:sz="0" w:space="0" w:color="auto"/>
            <w:left w:val="none" w:sz="0" w:space="0" w:color="auto"/>
            <w:bottom w:val="none" w:sz="0" w:space="0" w:color="auto"/>
            <w:right w:val="none" w:sz="0" w:space="0" w:color="auto"/>
          </w:divBdr>
        </w:div>
        <w:div w:id="1111242969">
          <w:marLeft w:val="0"/>
          <w:marRight w:val="0"/>
          <w:marTop w:val="0"/>
          <w:marBottom w:val="0"/>
          <w:divBdr>
            <w:top w:val="none" w:sz="0" w:space="0" w:color="auto"/>
            <w:left w:val="none" w:sz="0" w:space="0" w:color="auto"/>
            <w:bottom w:val="none" w:sz="0" w:space="0" w:color="auto"/>
            <w:right w:val="none" w:sz="0" w:space="0" w:color="auto"/>
          </w:divBdr>
        </w:div>
        <w:div w:id="1113134725">
          <w:marLeft w:val="0"/>
          <w:marRight w:val="0"/>
          <w:marTop w:val="0"/>
          <w:marBottom w:val="0"/>
          <w:divBdr>
            <w:top w:val="none" w:sz="0" w:space="0" w:color="auto"/>
            <w:left w:val="none" w:sz="0" w:space="0" w:color="auto"/>
            <w:bottom w:val="none" w:sz="0" w:space="0" w:color="auto"/>
            <w:right w:val="none" w:sz="0" w:space="0" w:color="auto"/>
          </w:divBdr>
        </w:div>
        <w:div w:id="1116024151">
          <w:marLeft w:val="0"/>
          <w:marRight w:val="0"/>
          <w:marTop w:val="0"/>
          <w:marBottom w:val="0"/>
          <w:divBdr>
            <w:top w:val="none" w:sz="0" w:space="0" w:color="auto"/>
            <w:left w:val="none" w:sz="0" w:space="0" w:color="auto"/>
            <w:bottom w:val="none" w:sz="0" w:space="0" w:color="auto"/>
            <w:right w:val="none" w:sz="0" w:space="0" w:color="auto"/>
          </w:divBdr>
        </w:div>
        <w:div w:id="1124420171">
          <w:marLeft w:val="0"/>
          <w:marRight w:val="0"/>
          <w:marTop w:val="0"/>
          <w:marBottom w:val="0"/>
          <w:divBdr>
            <w:top w:val="none" w:sz="0" w:space="0" w:color="auto"/>
            <w:left w:val="none" w:sz="0" w:space="0" w:color="auto"/>
            <w:bottom w:val="none" w:sz="0" w:space="0" w:color="auto"/>
            <w:right w:val="none" w:sz="0" w:space="0" w:color="auto"/>
          </w:divBdr>
        </w:div>
        <w:div w:id="1148592827">
          <w:marLeft w:val="0"/>
          <w:marRight w:val="0"/>
          <w:marTop w:val="0"/>
          <w:marBottom w:val="0"/>
          <w:divBdr>
            <w:top w:val="none" w:sz="0" w:space="0" w:color="auto"/>
            <w:left w:val="none" w:sz="0" w:space="0" w:color="auto"/>
            <w:bottom w:val="none" w:sz="0" w:space="0" w:color="auto"/>
            <w:right w:val="none" w:sz="0" w:space="0" w:color="auto"/>
          </w:divBdr>
        </w:div>
        <w:div w:id="1188181743">
          <w:marLeft w:val="0"/>
          <w:marRight w:val="0"/>
          <w:marTop w:val="0"/>
          <w:marBottom w:val="0"/>
          <w:divBdr>
            <w:top w:val="none" w:sz="0" w:space="0" w:color="auto"/>
            <w:left w:val="none" w:sz="0" w:space="0" w:color="auto"/>
            <w:bottom w:val="none" w:sz="0" w:space="0" w:color="auto"/>
            <w:right w:val="none" w:sz="0" w:space="0" w:color="auto"/>
          </w:divBdr>
        </w:div>
        <w:div w:id="1268342773">
          <w:marLeft w:val="0"/>
          <w:marRight w:val="0"/>
          <w:marTop w:val="0"/>
          <w:marBottom w:val="0"/>
          <w:divBdr>
            <w:top w:val="none" w:sz="0" w:space="0" w:color="auto"/>
            <w:left w:val="none" w:sz="0" w:space="0" w:color="auto"/>
            <w:bottom w:val="none" w:sz="0" w:space="0" w:color="auto"/>
            <w:right w:val="none" w:sz="0" w:space="0" w:color="auto"/>
          </w:divBdr>
        </w:div>
        <w:div w:id="1268536960">
          <w:marLeft w:val="0"/>
          <w:marRight w:val="0"/>
          <w:marTop w:val="0"/>
          <w:marBottom w:val="0"/>
          <w:divBdr>
            <w:top w:val="none" w:sz="0" w:space="0" w:color="auto"/>
            <w:left w:val="none" w:sz="0" w:space="0" w:color="auto"/>
            <w:bottom w:val="none" w:sz="0" w:space="0" w:color="auto"/>
            <w:right w:val="none" w:sz="0" w:space="0" w:color="auto"/>
          </w:divBdr>
        </w:div>
        <w:div w:id="1292252850">
          <w:marLeft w:val="0"/>
          <w:marRight w:val="0"/>
          <w:marTop w:val="0"/>
          <w:marBottom w:val="0"/>
          <w:divBdr>
            <w:top w:val="none" w:sz="0" w:space="0" w:color="auto"/>
            <w:left w:val="none" w:sz="0" w:space="0" w:color="auto"/>
            <w:bottom w:val="none" w:sz="0" w:space="0" w:color="auto"/>
            <w:right w:val="none" w:sz="0" w:space="0" w:color="auto"/>
          </w:divBdr>
        </w:div>
        <w:div w:id="1323394073">
          <w:marLeft w:val="15"/>
          <w:marRight w:val="0"/>
          <w:marTop w:val="29"/>
          <w:marBottom w:val="0"/>
          <w:divBdr>
            <w:top w:val="none" w:sz="0" w:space="0" w:color="auto"/>
            <w:left w:val="none" w:sz="0" w:space="0" w:color="auto"/>
            <w:bottom w:val="none" w:sz="0" w:space="0" w:color="auto"/>
            <w:right w:val="none" w:sz="0" w:space="0" w:color="auto"/>
          </w:divBdr>
        </w:div>
        <w:div w:id="1348144057">
          <w:marLeft w:val="0"/>
          <w:marRight w:val="0"/>
          <w:marTop w:val="0"/>
          <w:marBottom w:val="0"/>
          <w:divBdr>
            <w:top w:val="none" w:sz="0" w:space="0" w:color="auto"/>
            <w:left w:val="none" w:sz="0" w:space="0" w:color="auto"/>
            <w:bottom w:val="none" w:sz="0" w:space="0" w:color="auto"/>
            <w:right w:val="none" w:sz="0" w:space="0" w:color="auto"/>
          </w:divBdr>
        </w:div>
        <w:div w:id="1352490150">
          <w:marLeft w:val="0"/>
          <w:marRight w:val="0"/>
          <w:marTop w:val="0"/>
          <w:marBottom w:val="0"/>
          <w:divBdr>
            <w:top w:val="none" w:sz="0" w:space="0" w:color="auto"/>
            <w:left w:val="none" w:sz="0" w:space="0" w:color="auto"/>
            <w:bottom w:val="none" w:sz="0" w:space="0" w:color="auto"/>
            <w:right w:val="none" w:sz="0" w:space="0" w:color="auto"/>
          </w:divBdr>
        </w:div>
        <w:div w:id="1437671127">
          <w:marLeft w:val="0"/>
          <w:marRight w:val="0"/>
          <w:marTop w:val="0"/>
          <w:marBottom w:val="0"/>
          <w:divBdr>
            <w:top w:val="none" w:sz="0" w:space="0" w:color="auto"/>
            <w:left w:val="none" w:sz="0" w:space="0" w:color="auto"/>
            <w:bottom w:val="none" w:sz="0" w:space="0" w:color="auto"/>
            <w:right w:val="none" w:sz="0" w:space="0" w:color="auto"/>
          </w:divBdr>
        </w:div>
        <w:div w:id="1456101186">
          <w:marLeft w:val="0"/>
          <w:marRight w:val="0"/>
          <w:marTop w:val="0"/>
          <w:marBottom w:val="0"/>
          <w:divBdr>
            <w:top w:val="none" w:sz="0" w:space="0" w:color="auto"/>
            <w:left w:val="none" w:sz="0" w:space="0" w:color="auto"/>
            <w:bottom w:val="none" w:sz="0" w:space="0" w:color="auto"/>
            <w:right w:val="none" w:sz="0" w:space="0" w:color="auto"/>
          </w:divBdr>
        </w:div>
        <w:div w:id="1471482875">
          <w:marLeft w:val="15"/>
          <w:marRight w:val="0"/>
          <w:marTop w:val="29"/>
          <w:marBottom w:val="0"/>
          <w:divBdr>
            <w:top w:val="none" w:sz="0" w:space="0" w:color="auto"/>
            <w:left w:val="none" w:sz="0" w:space="0" w:color="auto"/>
            <w:bottom w:val="none" w:sz="0" w:space="0" w:color="auto"/>
            <w:right w:val="none" w:sz="0" w:space="0" w:color="auto"/>
          </w:divBdr>
        </w:div>
        <w:div w:id="1479228639">
          <w:marLeft w:val="0"/>
          <w:marRight w:val="0"/>
          <w:marTop w:val="0"/>
          <w:marBottom w:val="0"/>
          <w:divBdr>
            <w:top w:val="none" w:sz="0" w:space="0" w:color="auto"/>
            <w:left w:val="none" w:sz="0" w:space="0" w:color="auto"/>
            <w:bottom w:val="none" w:sz="0" w:space="0" w:color="auto"/>
            <w:right w:val="none" w:sz="0" w:space="0" w:color="auto"/>
          </w:divBdr>
        </w:div>
        <w:div w:id="1480148533">
          <w:marLeft w:val="0"/>
          <w:marRight w:val="0"/>
          <w:marTop w:val="0"/>
          <w:marBottom w:val="0"/>
          <w:divBdr>
            <w:top w:val="none" w:sz="0" w:space="0" w:color="auto"/>
            <w:left w:val="none" w:sz="0" w:space="0" w:color="auto"/>
            <w:bottom w:val="none" w:sz="0" w:space="0" w:color="auto"/>
            <w:right w:val="none" w:sz="0" w:space="0" w:color="auto"/>
          </w:divBdr>
        </w:div>
        <w:div w:id="1483304632">
          <w:marLeft w:val="0"/>
          <w:marRight w:val="0"/>
          <w:marTop w:val="0"/>
          <w:marBottom w:val="0"/>
          <w:divBdr>
            <w:top w:val="none" w:sz="0" w:space="0" w:color="auto"/>
            <w:left w:val="none" w:sz="0" w:space="0" w:color="auto"/>
            <w:bottom w:val="none" w:sz="0" w:space="0" w:color="auto"/>
            <w:right w:val="none" w:sz="0" w:space="0" w:color="auto"/>
          </w:divBdr>
        </w:div>
        <w:div w:id="1496609031">
          <w:marLeft w:val="0"/>
          <w:marRight w:val="0"/>
          <w:marTop w:val="0"/>
          <w:marBottom w:val="0"/>
          <w:divBdr>
            <w:top w:val="none" w:sz="0" w:space="0" w:color="auto"/>
            <w:left w:val="none" w:sz="0" w:space="0" w:color="auto"/>
            <w:bottom w:val="none" w:sz="0" w:space="0" w:color="auto"/>
            <w:right w:val="none" w:sz="0" w:space="0" w:color="auto"/>
          </w:divBdr>
        </w:div>
        <w:div w:id="1499347260">
          <w:marLeft w:val="0"/>
          <w:marRight w:val="0"/>
          <w:marTop w:val="0"/>
          <w:marBottom w:val="0"/>
          <w:divBdr>
            <w:top w:val="none" w:sz="0" w:space="0" w:color="auto"/>
            <w:left w:val="none" w:sz="0" w:space="0" w:color="auto"/>
            <w:bottom w:val="none" w:sz="0" w:space="0" w:color="auto"/>
            <w:right w:val="none" w:sz="0" w:space="0" w:color="auto"/>
          </w:divBdr>
        </w:div>
        <w:div w:id="1526599536">
          <w:marLeft w:val="0"/>
          <w:marRight w:val="0"/>
          <w:marTop w:val="0"/>
          <w:marBottom w:val="0"/>
          <w:divBdr>
            <w:top w:val="none" w:sz="0" w:space="0" w:color="auto"/>
            <w:left w:val="none" w:sz="0" w:space="0" w:color="auto"/>
            <w:bottom w:val="none" w:sz="0" w:space="0" w:color="auto"/>
            <w:right w:val="none" w:sz="0" w:space="0" w:color="auto"/>
          </w:divBdr>
        </w:div>
        <w:div w:id="1539195487">
          <w:marLeft w:val="0"/>
          <w:marRight w:val="0"/>
          <w:marTop w:val="0"/>
          <w:marBottom w:val="0"/>
          <w:divBdr>
            <w:top w:val="none" w:sz="0" w:space="0" w:color="auto"/>
            <w:left w:val="none" w:sz="0" w:space="0" w:color="auto"/>
            <w:bottom w:val="none" w:sz="0" w:space="0" w:color="auto"/>
            <w:right w:val="none" w:sz="0" w:space="0" w:color="auto"/>
          </w:divBdr>
        </w:div>
        <w:div w:id="1545479744">
          <w:marLeft w:val="0"/>
          <w:marRight w:val="0"/>
          <w:marTop w:val="0"/>
          <w:marBottom w:val="0"/>
          <w:divBdr>
            <w:top w:val="none" w:sz="0" w:space="0" w:color="auto"/>
            <w:left w:val="none" w:sz="0" w:space="0" w:color="auto"/>
            <w:bottom w:val="none" w:sz="0" w:space="0" w:color="auto"/>
            <w:right w:val="none" w:sz="0" w:space="0" w:color="auto"/>
          </w:divBdr>
        </w:div>
        <w:div w:id="1548253640">
          <w:marLeft w:val="0"/>
          <w:marRight w:val="0"/>
          <w:marTop w:val="0"/>
          <w:marBottom w:val="0"/>
          <w:divBdr>
            <w:top w:val="none" w:sz="0" w:space="0" w:color="auto"/>
            <w:left w:val="none" w:sz="0" w:space="0" w:color="auto"/>
            <w:bottom w:val="none" w:sz="0" w:space="0" w:color="auto"/>
            <w:right w:val="none" w:sz="0" w:space="0" w:color="auto"/>
          </w:divBdr>
        </w:div>
        <w:div w:id="1675382038">
          <w:marLeft w:val="15"/>
          <w:marRight w:val="0"/>
          <w:marTop w:val="29"/>
          <w:marBottom w:val="0"/>
          <w:divBdr>
            <w:top w:val="none" w:sz="0" w:space="0" w:color="auto"/>
            <w:left w:val="none" w:sz="0" w:space="0" w:color="auto"/>
            <w:bottom w:val="none" w:sz="0" w:space="0" w:color="auto"/>
            <w:right w:val="none" w:sz="0" w:space="0" w:color="auto"/>
          </w:divBdr>
        </w:div>
        <w:div w:id="1687634746">
          <w:marLeft w:val="0"/>
          <w:marRight w:val="0"/>
          <w:marTop w:val="0"/>
          <w:marBottom w:val="0"/>
          <w:divBdr>
            <w:top w:val="none" w:sz="0" w:space="0" w:color="auto"/>
            <w:left w:val="none" w:sz="0" w:space="0" w:color="auto"/>
            <w:bottom w:val="none" w:sz="0" w:space="0" w:color="auto"/>
            <w:right w:val="none" w:sz="0" w:space="0" w:color="auto"/>
          </w:divBdr>
        </w:div>
        <w:div w:id="1691492781">
          <w:marLeft w:val="0"/>
          <w:marRight w:val="0"/>
          <w:marTop w:val="0"/>
          <w:marBottom w:val="0"/>
          <w:divBdr>
            <w:top w:val="none" w:sz="0" w:space="0" w:color="auto"/>
            <w:left w:val="none" w:sz="0" w:space="0" w:color="auto"/>
            <w:bottom w:val="none" w:sz="0" w:space="0" w:color="auto"/>
            <w:right w:val="none" w:sz="0" w:space="0" w:color="auto"/>
          </w:divBdr>
        </w:div>
        <w:div w:id="1693993428">
          <w:marLeft w:val="0"/>
          <w:marRight w:val="0"/>
          <w:marTop w:val="0"/>
          <w:marBottom w:val="0"/>
          <w:divBdr>
            <w:top w:val="none" w:sz="0" w:space="0" w:color="auto"/>
            <w:left w:val="none" w:sz="0" w:space="0" w:color="auto"/>
            <w:bottom w:val="none" w:sz="0" w:space="0" w:color="auto"/>
            <w:right w:val="none" w:sz="0" w:space="0" w:color="auto"/>
          </w:divBdr>
        </w:div>
        <w:div w:id="1714423711">
          <w:marLeft w:val="0"/>
          <w:marRight w:val="0"/>
          <w:marTop w:val="0"/>
          <w:marBottom w:val="0"/>
          <w:divBdr>
            <w:top w:val="none" w:sz="0" w:space="0" w:color="auto"/>
            <w:left w:val="none" w:sz="0" w:space="0" w:color="auto"/>
            <w:bottom w:val="none" w:sz="0" w:space="0" w:color="auto"/>
            <w:right w:val="none" w:sz="0" w:space="0" w:color="auto"/>
          </w:divBdr>
        </w:div>
        <w:div w:id="1731491556">
          <w:marLeft w:val="0"/>
          <w:marRight w:val="0"/>
          <w:marTop w:val="0"/>
          <w:marBottom w:val="0"/>
          <w:divBdr>
            <w:top w:val="none" w:sz="0" w:space="0" w:color="auto"/>
            <w:left w:val="none" w:sz="0" w:space="0" w:color="auto"/>
            <w:bottom w:val="none" w:sz="0" w:space="0" w:color="auto"/>
            <w:right w:val="none" w:sz="0" w:space="0" w:color="auto"/>
          </w:divBdr>
        </w:div>
        <w:div w:id="1748381771">
          <w:marLeft w:val="0"/>
          <w:marRight w:val="0"/>
          <w:marTop w:val="0"/>
          <w:marBottom w:val="0"/>
          <w:divBdr>
            <w:top w:val="none" w:sz="0" w:space="0" w:color="auto"/>
            <w:left w:val="none" w:sz="0" w:space="0" w:color="auto"/>
            <w:bottom w:val="none" w:sz="0" w:space="0" w:color="auto"/>
            <w:right w:val="none" w:sz="0" w:space="0" w:color="auto"/>
          </w:divBdr>
        </w:div>
        <w:div w:id="1765564995">
          <w:marLeft w:val="0"/>
          <w:marRight w:val="0"/>
          <w:marTop w:val="0"/>
          <w:marBottom w:val="0"/>
          <w:divBdr>
            <w:top w:val="none" w:sz="0" w:space="0" w:color="auto"/>
            <w:left w:val="none" w:sz="0" w:space="0" w:color="auto"/>
            <w:bottom w:val="none" w:sz="0" w:space="0" w:color="auto"/>
            <w:right w:val="none" w:sz="0" w:space="0" w:color="auto"/>
          </w:divBdr>
        </w:div>
        <w:div w:id="1832990057">
          <w:marLeft w:val="0"/>
          <w:marRight w:val="0"/>
          <w:marTop w:val="0"/>
          <w:marBottom w:val="0"/>
          <w:divBdr>
            <w:top w:val="none" w:sz="0" w:space="0" w:color="auto"/>
            <w:left w:val="none" w:sz="0" w:space="0" w:color="auto"/>
            <w:bottom w:val="none" w:sz="0" w:space="0" w:color="auto"/>
            <w:right w:val="none" w:sz="0" w:space="0" w:color="auto"/>
          </w:divBdr>
        </w:div>
        <w:div w:id="1869566191">
          <w:marLeft w:val="0"/>
          <w:marRight w:val="0"/>
          <w:marTop w:val="0"/>
          <w:marBottom w:val="0"/>
          <w:divBdr>
            <w:top w:val="none" w:sz="0" w:space="0" w:color="auto"/>
            <w:left w:val="none" w:sz="0" w:space="0" w:color="auto"/>
            <w:bottom w:val="none" w:sz="0" w:space="0" w:color="auto"/>
            <w:right w:val="none" w:sz="0" w:space="0" w:color="auto"/>
          </w:divBdr>
        </w:div>
        <w:div w:id="1878859281">
          <w:marLeft w:val="0"/>
          <w:marRight w:val="0"/>
          <w:marTop w:val="0"/>
          <w:marBottom w:val="0"/>
          <w:divBdr>
            <w:top w:val="none" w:sz="0" w:space="0" w:color="auto"/>
            <w:left w:val="none" w:sz="0" w:space="0" w:color="auto"/>
            <w:bottom w:val="none" w:sz="0" w:space="0" w:color="auto"/>
            <w:right w:val="none" w:sz="0" w:space="0" w:color="auto"/>
          </w:divBdr>
        </w:div>
        <w:div w:id="1953046184">
          <w:marLeft w:val="0"/>
          <w:marRight w:val="0"/>
          <w:marTop w:val="0"/>
          <w:marBottom w:val="0"/>
          <w:divBdr>
            <w:top w:val="none" w:sz="0" w:space="0" w:color="auto"/>
            <w:left w:val="none" w:sz="0" w:space="0" w:color="auto"/>
            <w:bottom w:val="none" w:sz="0" w:space="0" w:color="auto"/>
            <w:right w:val="none" w:sz="0" w:space="0" w:color="auto"/>
          </w:divBdr>
        </w:div>
        <w:div w:id="1974676444">
          <w:marLeft w:val="15"/>
          <w:marRight w:val="0"/>
          <w:marTop w:val="29"/>
          <w:marBottom w:val="0"/>
          <w:divBdr>
            <w:top w:val="none" w:sz="0" w:space="0" w:color="auto"/>
            <w:left w:val="none" w:sz="0" w:space="0" w:color="auto"/>
            <w:bottom w:val="none" w:sz="0" w:space="0" w:color="auto"/>
            <w:right w:val="none" w:sz="0" w:space="0" w:color="auto"/>
          </w:divBdr>
        </w:div>
        <w:div w:id="1978414180">
          <w:marLeft w:val="0"/>
          <w:marRight w:val="0"/>
          <w:marTop w:val="0"/>
          <w:marBottom w:val="0"/>
          <w:divBdr>
            <w:top w:val="none" w:sz="0" w:space="0" w:color="auto"/>
            <w:left w:val="none" w:sz="0" w:space="0" w:color="auto"/>
            <w:bottom w:val="none" w:sz="0" w:space="0" w:color="auto"/>
            <w:right w:val="none" w:sz="0" w:space="0" w:color="auto"/>
          </w:divBdr>
        </w:div>
        <w:div w:id="1997564498">
          <w:marLeft w:val="0"/>
          <w:marRight w:val="0"/>
          <w:marTop w:val="0"/>
          <w:marBottom w:val="0"/>
          <w:divBdr>
            <w:top w:val="none" w:sz="0" w:space="0" w:color="auto"/>
            <w:left w:val="none" w:sz="0" w:space="0" w:color="auto"/>
            <w:bottom w:val="none" w:sz="0" w:space="0" w:color="auto"/>
            <w:right w:val="none" w:sz="0" w:space="0" w:color="auto"/>
          </w:divBdr>
        </w:div>
        <w:div w:id="2006275062">
          <w:marLeft w:val="0"/>
          <w:marRight w:val="0"/>
          <w:marTop w:val="0"/>
          <w:marBottom w:val="0"/>
          <w:divBdr>
            <w:top w:val="none" w:sz="0" w:space="0" w:color="auto"/>
            <w:left w:val="none" w:sz="0" w:space="0" w:color="auto"/>
            <w:bottom w:val="none" w:sz="0" w:space="0" w:color="auto"/>
            <w:right w:val="none" w:sz="0" w:space="0" w:color="auto"/>
          </w:divBdr>
        </w:div>
        <w:div w:id="2025669870">
          <w:marLeft w:val="0"/>
          <w:marRight w:val="0"/>
          <w:marTop w:val="0"/>
          <w:marBottom w:val="0"/>
          <w:divBdr>
            <w:top w:val="none" w:sz="0" w:space="0" w:color="auto"/>
            <w:left w:val="none" w:sz="0" w:space="0" w:color="auto"/>
            <w:bottom w:val="none" w:sz="0" w:space="0" w:color="auto"/>
            <w:right w:val="none" w:sz="0" w:space="0" w:color="auto"/>
          </w:divBdr>
        </w:div>
        <w:div w:id="2034645946">
          <w:marLeft w:val="0"/>
          <w:marRight w:val="0"/>
          <w:marTop w:val="0"/>
          <w:marBottom w:val="0"/>
          <w:divBdr>
            <w:top w:val="none" w:sz="0" w:space="0" w:color="auto"/>
            <w:left w:val="none" w:sz="0" w:space="0" w:color="auto"/>
            <w:bottom w:val="none" w:sz="0" w:space="0" w:color="auto"/>
            <w:right w:val="none" w:sz="0" w:space="0" w:color="auto"/>
          </w:divBdr>
        </w:div>
        <w:div w:id="2067680882">
          <w:marLeft w:val="0"/>
          <w:marRight w:val="0"/>
          <w:marTop w:val="0"/>
          <w:marBottom w:val="0"/>
          <w:divBdr>
            <w:top w:val="none" w:sz="0" w:space="0" w:color="auto"/>
            <w:left w:val="none" w:sz="0" w:space="0" w:color="auto"/>
            <w:bottom w:val="none" w:sz="0" w:space="0" w:color="auto"/>
            <w:right w:val="none" w:sz="0" w:space="0" w:color="auto"/>
          </w:divBdr>
        </w:div>
        <w:div w:id="213347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4117</Words>
  <Characters>23473</Characters>
  <Application>Microsoft Office Word</Application>
  <DocSecurity>4</DocSecurity>
  <Lines>195</Lines>
  <Paragraphs>55</Paragraphs>
  <ScaleCrop>false</ScaleCrop>
  <Company/>
  <LinksUpToDate>false</LinksUpToDate>
  <CharactersWithSpaces>27535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hshu</dc:creator>
  <cp:keywords/>
  <dc:description/>
  <cp:lastModifiedBy>ZHONGM</cp:lastModifiedBy>
  <cp:revision>2</cp:revision>
  <dcterms:created xsi:type="dcterms:W3CDTF">2019-08-26T16:00:00Z</dcterms:created>
  <dcterms:modified xsi:type="dcterms:W3CDTF">2019-08-26T16:00:00Z</dcterms:modified>
</cp:coreProperties>
</file>